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754" w:rsidRDefault="00D6020C" w:rsidP="00D6020C">
      <w:pPr>
        <w:jc w:val="center"/>
        <w:rPr>
          <w:b/>
          <w:sz w:val="28"/>
          <w:szCs w:val="28"/>
        </w:rPr>
      </w:pPr>
      <w:r>
        <w:rPr>
          <w:b/>
          <w:sz w:val="28"/>
          <w:szCs w:val="28"/>
        </w:rPr>
        <w:t>Standard Solutions</w:t>
      </w:r>
    </w:p>
    <w:p w:rsidR="00D6020C" w:rsidRDefault="00D6020C" w:rsidP="00D6020C">
      <w:pPr>
        <w:jc w:val="center"/>
        <w:rPr>
          <w:sz w:val="28"/>
          <w:szCs w:val="28"/>
        </w:rPr>
      </w:pPr>
    </w:p>
    <w:p w:rsidR="00D6020C" w:rsidRDefault="00D6020C" w:rsidP="00D6020C">
      <w:pPr>
        <w:jc w:val="center"/>
        <w:rPr>
          <w:szCs w:val="28"/>
        </w:rPr>
      </w:pPr>
      <w:r>
        <w:rPr>
          <w:szCs w:val="28"/>
        </w:rPr>
        <w:t>Benson Long</w:t>
      </w:r>
    </w:p>
    <w:p w:rsidR="00D6020C" w:rsidRDefault="00D6020C" w:rsidP="00D6020C">
      <w:pPr>
        <w:jc w:val="center"/>
        <w:rPr>
          <w:szCs w:val="28"/>
        </w:rPr>
      </w:pPr>
    </w:p>
    <w:p w:rsidR="00D6020C" w:rsidRPr="008F5EB4" w:rsidRDefault="00D6020C" w:rsidP="00D6020C">
      <w:pPr>
        <w:jc w:val="center"/>
        <w:rPr>
          <w:i/>
          <w:szCs w:val="24"/>
        </w:rPr>
      </w:pPr>
      <w:r w:rsidRPr="008F5EB4">
        <w:rPr>
          <w:i/>
          <w:szCs w:val="24"/>
        </w:rPr>
        <w:t>Department of Chemistry and Biochemistry, Queens College – CUNY</w:t>
      </w:r>
    </w:p>
    <w:p w:rsidR="00D6020C" w:rsidRPr="008F5EB4" w:rsidRDefault="00D6020C" w:rsidP="00D6020C">
      <w:pPr>
        <w:jc w:val="center"/>
        <w:rPr>
          <w:i/>
          <w:szCs w:val="24"/>
        </w:rPr>
      </w:pPr>
      <w:r w:rsidRPr="008F5EB4">
        <w:rPr>
          <w:i/>
          <w:szCs w:val="24"/>
        </w:rPr>
        <w:t>CHEM 131.1, 07, Fall 2012</w:t>
      </w:r>
    </w:p>
    <w:p w:rsidR="00D6020C" w:rsidRPr="008F5EB4" w:rsidRDefault="00D6020C" w:rsidP="00D6020C">
      <w:pPr>
        <w:jc w:val="center"/>
        <w:rPr>
          <w:i/>
          <w:szCs w:val="24"/>
        </w:rPr>
      </w:pPr>
      <w:r w:rsidRPr="008F5EB4">
        <w:rPr>
          <w:i/>
          <w:szCs w:val="24"/>
        </w:rPr>
        <w:t xml:space="preserve">Instructor: </w:t>
      </w:r>
      <w:proofErr w:type="spellStart"/>
      <w:r w:rsidRPr="008F5EB4">
        <w:rPr>
          <w:i/>
          <w:szCs w:val="24"/>
        </w:rPr>
        <w:t>Freida</w:t>
      </w:r>
      <w:proofErr w:type="spellEnd"/>
      <w:r w:rsidRPr="008F5EB4">
        <w:rPr>
          <w:i/>
          <w:szCs w:val="24"/>
        </w:rPr>
        <w:t xml:space="preserve"> </w:t>
      </w:r>
      <w:proofErr w:type="spellStart"/>
      <w:r w:rsidRPr="008F5EB4">
        <w:rPr>
          <w:i/>
          <w:szCs w:val="24"/>
        </w:rPr>
        <w:t>Zavrov</w:t>
      </w:r>
      <w:proofErr w:type="spellEnd"/>
    </w:p>
    <w:p w:rsidR="00D6020C" w:rsidRDefault="00D6020C" w:rsidP="00197FDB">
      <w:pPr>
        <w:spacing w:line="480" w:lineRule="auto"/>
        <w:rPr>
          <w:szCs w:val="28"/>
        </w:rPr>
      </w:pPr>
      <w:r>
        <w:rPr>
          <w:b/>
          <w:szCs w:val="28"/>
        </w:rPr>
        <w:t>ABSTRACT</w:t>
      </w:r>
    </w:p>
    <w:p w:rsidR="00D6020C" w:rsidRDefault="00404ECC" w:rsidP="00197FDB">
      <w:pPr>
        <w:spacing w:line="480" w:lineRule="auto"/>
        <w:rPr>
          <w:szCs w:val="28"/>
        </w:rPr>
      </w:pPr>
      <w:r>
        <w:rPr>
          <w:szCs w:val="28"/>
        </w:rPr>
        <w:t xml:space="preserve">A standard solution </w:t>
      </w:r>
      <w:r w:rsidR="00152B86">
        <w:rPr>
          <w:szCs w:val="28"/>
        </w:rPr>
        <w:t>is a solution with a known concentration and is created to have an accurate molarity.</w:t>
      </w:r>
      <w:r w:rsidR="00B63FD8">
        <w:rPr>
          <w:szCs w:val="28"/>
        </w:rPr>
        <w:t xml:space="preserve"> Solutions are standardized because many solutions are hygroscopic and their concentration will change and become less accurate over time. Standard solutions of potassium hydrogen phthalate (KHP) and ferrous ammonium sulfate </w:t>
      </w:r>
      <w:proofErr w:type="spellStart"/>
      <w:r w:rsidR="00B63FD8">
        <w:rPr>
          <w:szCs w:val="28"/>
        </w:rPr>
        <w:t>hexahydrate</w:t>
      </w:r>
      <w:proofErr w:type="spellEnd"/>
      <w:r w:rsidR="00B63FD8">
        <w:rPr>
          <w:szCs w:val="28"/>
        </w:rPr>
        <w:t xml:space="preserve"> (FAS) were created.</w:t>
      </w:r>
      <w:r w:rsidR="0068322D">
        <w:rPr>
          <w:szCs w:val="28"/>
        </w:rPr>
        <w:t xml:space="preserve"> These standardized solutions were used to standardize stock solutions of sodium hydroxide (</w:t>
      </w:r>
      <w:proofErr w:type="spellStart"/>
      <w:r w:rsidR="0068322D">
        <w:rPr>
          <w:szCs w:val="28"/>
        </w:rPr>
        <w:t>NaOH</w:t>
      </w:r>
      <w:proofErr w:type="spellEnd"/>
      <w:r w:rsidR="0068322D">
        <w:rPr>
          <w:szCs w:val="28"/>
        </w:rPr>
        <w:t>) and potassium permanganate (KMnO</w:t>
      </w:r>
      <w:r w:rsidR="0068322D">
        <w:rPr>
          <w:szCs w:val="28"/>
          <w:vertAlign w:val="subscript"/>
        </w:rPr>
        <w:t>4</w:t>
      </w:r>
      <w:r w:rsidR="00197FDB">
        <w:rPr>
          <w:szCs w:val="28"/>
        </w:rPr>
        <w:t>). There will be a color change in the solutions when the equivalence point is reached and standardization is completed.</w:t>
      </w:r>
    </w:p>
    <w:p w:rsidR="00A147DD" w:rsidRDefault="00A147DD" w:rsidP="00197FDB">
      <w:pPr>
        <w:spacing w:line="480" w:lineRule="auto"/>
        <w:rPr>
          <w:szCs w:val="28"/>
        </w:rPr>
      </w:pPr>
    </w:p>
    <w:p w:rsidR="00A147DD" w:rsidRDefault="00A147DD" w:rsidP="00197FDB">
      <w:pPr>
        <w:spacing w:line="480" w:lineRule="auto"/>
        <w:rPr>
          <w:szCs w:val="28"/>
        </w:rPr>
      </w:pPr>
    </w:p>
    <w:p w:rsidR="00A147DD" w:rsidRDefault="00A147DD" w:rsidP="00197FDB">
      <w:pPr>
        <w:spacing w:line="480" w:lineRule="auto"/>
        <w:rPr>
          <w:szCs w:val="28"/>
        </w:rPr>
      </w:pPr>
    </w:p>
    <w:p w:rsidR="00A147DD" w:rsidRDefault="00A147DD" w:rsidP="00197FDB">
      <w:pPr>
        <w:spacing w:line="480" w:lineRule="auto"/>
        <w:rPr>
          <w:szCs w:val="28"/>
        </w:rPr>
      </w:pPr>
    </w:p>
    <w:p w:rsidR="00A147DD" w:rsidRDefault="00A147DD" w:rsidP="00197FDB">
      <w:pPr>
        <w:spacing w:line="480" w:lineRule="auto"/>
        <w:rPr>
          <w:szCs w:val="28"/>
        </w:rPr>
      </w:pPr>
    </w:p>
    <w:p w:rsidR="00A147DD" w:rsidRDefault="00A147DD" w:rsidP="00197FDB">
      <w:pPr>
        <w:spacing w:line="480" w:lineRule="auto"/>
        <w:rPr>
          <w:szCs w:val="28"/>
        </w:rPr>
      </w:pPr>
    </w:p>
    <w:p w:rsidR="00A147DD" w:rsidRDefault="00A147DD" w:rsidP="00197FDB">
      <w:pPr>
        <w:spacing w:line="480" w:lineRule="auto"/>
        <w:rPr>
          <w:szCs w:val="28"/>
        </w:rPr>
      </w:pPr>
    </w:p>
    <w:p w:rsidR="00A147DD" w:rsidRDefault="00A147DD" w:rsidP="00197FDB">
      <w:pPr>
        <w:spacing w:line="480" w:lineRule="auto"/>
        <w:rPr>
          <w:szCs w:val="28"/>
        </w:rPr>
      </w:pPr>
    </w:p>
    <w:p w:rsidR="00A147DD" w:rsidRDefault="00A147DD" w:rsidP="00197FDB">
      <w:pPr>
        <w:spacing w:line="480" w:lineRule="auto"/>
        <w:rPr>
          <w:szCs w:val="28"/>
        </w:rPr>
      </w:pPr>
    </w:p>
    <w:p w:rsidR="00A147DD" w:rsidRDefault="00A147DD" w:rsidP="00197FDB">
      <w:pPr>
        <w:spacing w:line="480" w:lineRule="auto"/>
        <w:rPr>
          <w:szCs w:val="28"/>
        </w:rPr>
      </w:pPr>
    </w:p>
    <w:p w:rsidR="00A147DD" w:rsidRDefault="00A147DD" w:rsidP="00197FDB">
      <w:pPr>
        <w:spacing w:line="480" w:lineRule="auto"/>
        <w:rPr>
          <w:szCs w:val="28"/>
        </w:rPr>
      </w:pPr>
    </w:p>
    <w:p w:rsidR="00A147DD" w:rsidRDefault="00A147DD" w:rsidP="00A147DD">
      <w:pPr>
        <w:pStyle w:val="ListParagraph"/>
        <w:numPr>
          <w:ilvl w:val="0"/>
          <w:numId w:val="1"/>
        </w:numPr>
        <w:spacing w:line="480" w:lineRule="auto"/>
        <w:rPr>
          <w:b/>
          <w:szCs w:val="28"/>
        </w:rPr>
      </w:pPr>
      <w:r w:rsidRPr="00A147DD">
        <w:rPr>
          <w:b/>
          <w:szCs w:val="28"/>
        </w:rPr>
        <w:lastRenderedPageBreak/>
        <w:t>INTRODUCTION</w:t>
      </w:r>
    </w:p>
    <w:p w:rsidR="00155108" w:rsidRPr="001D0C5F" w:rsidRDefault="00B02172" w:rsidP="008E3F82">
      <w:pPr>
        <w:spacing w:line="480" w:lineRule="auto"/>
        <w:ind w:left="360" w:firstLine="720"/>
        <w:rPr>
          <w:szCs w:val="28"/>
        </w:rPr>
      </w:pPr>
      <w:r>
        <w:rPr>
          <w:szCs w:val="28"/>
        </w:rPr>
        <w:t>The pu</w:t>
      </w:r>
      <w:r w:rsidR="0087610F">
        <w:rPr>
          <w:szCs w:val="28"/>
        </w:rPr>
        <w:t>rpose of this experiment was to learn about standard solutions and how to create them.</w:t>
      </w:r>
      <w:r w:rsidR="008B30F6">
        <w:rPr>
          <w:szCs w:val="28"/>
        </w:rPr>
        <w:t xml:space="preserve"> </w:t>
      </w:r>
      <w:r w:rsidR="000C1FDE">
        <w:rPr>
          <w:szCs w:val="28"/>
        </w:rPr>
        <w:t>Standard solutions are created by standardizing stock solutions.</w:t>
      </w:r>
      <w:r w:rsidR="00040704">
        <w:rPr>
          <w:szCs w:val="28"/>
        </w:rPr>
        <w:t xml:space="preserve"> Two standard solutions were produced with acid/base and oxidation/reduction reactions. Acid/base reactions were used between potassium hydrogen phthalate and sodium hydroxide because </w:t>
      </w:r>
      <w:r w:rsidR="001D0C5F">
        <w:rPr>
          <w:szCs w:val="28"/>
        </w:rPr>
        <w:t>the reactants are neutralized and a salt and sometimes H</w:t>
      </w:r>
      <w:r w:rsidR="001D0C5F">
        <w:rPr>
          <w:szCs w:val="28"/>
          <w:vertAlign w:val="subscript"/>
        </w:rPr>
        <w:t>2</w:t>
      </w:r>
      <w:r w:rsidR="001D0C5F">
        <w:rPr>
          <w:szCs w:val="28"/>
        </w:rPr>
        <w:t xml:space="preserve">O can be formed. Oxidation/reduction reactions were used between ferrous ammonium sulfate and potassium permanganate because aqueous iron (II) reacts with aqueous permanganate to change the color of the solution. Both of these reactions are measured with titration and </w:t>
      </w:r>
      <w:r w:rsidR="000A1304">
        <w:rPr>
          <w:szCs w:val="28"/>
        </w:rPr>
        <w:t>show</w:t>
      </w:r>
      <w:r w:rsidR="001D0C5F">
        <w:rPr>
          <w:szCs w:val="28"/>
        </w:rPr>
        <w:t xml:space="preserve"> us when the reaction is complete or has reached its end point.</w:t>
      </w:r>
    </w:p>
    <w:p w:rsidR="00A147DD" w:rsidRDefault="00A147DD" w:rsidP="00A147DD">
      <w:pPr>
        <w:pStyle w:val="ListParagraph"/>
        <w:numPr>
          <w:ilvl w:val="0"/>
          <w:numId w:val="1"/>
        </w:numPr>
        <w:spacing w:line="480" w:lineRule="auto"/>
        <w:rPr>
          <w:b/>
          <w:szCs w:val="28"/>
        </w:rPr>
      </w:pPr>
      <w:r>
        <w:rPr>
          <w:b/>
          <w:szCs w:val="28"/>
        </w:rPr>
        <w:t>EXPERIMENTAL</w:t>
      </w:r>
    </w:p>
    <w:p w:rsidR="00BF4266" w:rsidRDefault="00D12B2E" w:rsidP="00713774">
      <w:pPr>
        <w:spacing w:line="480" w:lineRule="auto"/>
        <w:ind w:left="360" w:firstLine="720"/>
        <w:rPr>
          <w:szCs w:val="28"/>
        </w:rPr>
      </w:pPr>
      <w:r>
        <w:rPr>
          <w:szCs w:val="28"/>
        </w:rPr>
        <w:t>For the first part of the experiment involving acid/base reactions, a 100 mL volumetric flask was obtained from the stockroom. 2.021 grams of KHP was weighed using a small sheet of paper and an electronic balance and placed into a clean and empty beaker.</w:t>
      </w:r>
      <w:r w:rsidR="00713774">
        <w:rPr>
          <w:szCs w:val="28"/>
        </w:rPr>
        <w:t xml:space="preserve"> </w:t>
      </w:r>
      <w:r w:rsidR="002F0711">
        <w:rPr>
          <w:szCs w:val="28"/>
        </w:rPr>
        <w:t>20 mL of H</w:t>
      </w:r>
      <w:r w:rsidR="002F0711">
        <w:rPr>
          <w:szCs w:val="28"/>
          <w:vertAlign w:val="subscript"/>
        </w:rPr>
        <w:t>2</w:t>
      </w:r>
      <w:r w:rsidR="002F0711">
        <w:rPr>
          <w:szCs w:val="28"/>
        </w:rPr>
        <w:t>O was measured using a 100 mL graduated cylinder and the H</w:t>
      </w:r>
      <w:r w:rsidR="002F0711">
        <w:rPr>
          <w:szCs w:val="28"/>
          <w:vertAlign w:val="subscript"/>
        </w:rPr>
        <w:t>2</w:t>
      </w:r>
      <w:r w:rsidR="002F0711">
        <w:rPr>
          <w:szCs w:val="28"/>
        </w:rPr>
        <w:t>O was poured into the beaker containing KHP. The KHP was transferred to the volumetric flask and about 30 mL of distilled H</w:t>
      </w:r>
      <w:r w:rsidR="002F0711">
        <w:rPr>
          <w:szCs w:val="28"/>
          <w:vertAlign w:val="subscript"/>
        </w:rPr>
        <w:t>2</w:t>
      </w:r>
      <w:r w:rsidR="002F0711">
        <w:rPr>
          <w:szCs w:val="28"/>
        </w:rPr>
        <w:t>O was added into the volumetric flask after rinsing the beaker to pick up remainder KHP.</w:t>
      </w:r>
      <w:r w:rsidR="003E2540">
        <w:rPr>
          <w:szCs w:val="28"/>
        </w:rPr>
        <w:t xml:space="preserve"> Once the volumetric flask was filled a little more than half of the flask, a </w:t>
      </w:r>
      <w:proofErr w:type="spellStart"/>
      <w:r w:rsidR="003E2540">
        <w:rPr>
          <w:szCs w:val="28"/>
        </w:rPr>
        <w:t>parafilm</w:t>
      </w:r>
      <w:proofErr w:type="spellEnd"/>
      <w:r w:rsidR="003E2540">
        <w:rPr>
          <w:szCs w:val="28"/>
        </w:rPr>
        <w:t xml:space="preserve"> was placed on top and the mixture was inverted to dissolve the KHP.</w:t>
      </w:r>
      <w:r w:rsidR="007D2A1C">
        <w:rPr>
          <w:szCs w:val="28"/>
        </w:rPr>
        <w:t xml:space="preserve"> Once the KHP fully dissolved, the standard KHP solution was prepared for a neutralization reaction.</w:t>
      </w:r>
    </w:p>
    <w:p w:rsidR="00F94480" w:rsidRDefault="0012178B" w:rsidP="00713774">
      <w:pPr>
        <w:spacing w:line="480" w:lineRule="auto"/>
        <w:ind w:left="360" w:firstLine="720"/>
        <w:rPr>
          <w:szCs w:val="28"/>
        </w:rPr>
      </w:pPr>
      <w:r>
        <w:rPr>
          <w:szCs w:val="28"/>
        </w:rPr>
        <w:t xml:space="preserve">Two burettes were set up. The burettes were rinsed with distilled water and the stopcocks were tested. One burette was filled with </w:t>
      </w:r>
      <w:proofErr w:type="spellStart"/>
      <w:r>
        <w:rPr>
          <w:szCs w:val="28"/>
        </w:rPr>
        <w:t>NaOH</w:t>
      </w:r>
      <w:proofErr w:type="spellEnd"/>
      <w:r>
        <w:rPr>
          <w:szCs w:val="28"/>
        </w:rPr>
        <w:t xml:space="preserve"> to the 50 mL mark and the other burette was filled with KHP to the 50 mL mark. 25 mL of the standard KHP solution was </w:t>
      </w:r>
      <w:r>
        <w:rPr>
          <w:szCs w:val="28"/>
        </w:rPr>
        <w:lastRenderedPageBreak/>
        <w:t xml:space="preserve">taken from the burette and added into an Erlenmeyer flask. Then </w:t>
      </w:r>
      <w:proofErr w:type="spellStart"/>
      <w:r>
        <w:rPr>
          <w:szCs w:val="28"/>
        </w:rPr>
        <w:t>NaOH</w:t>
      </w:r>
      <w:proofErr w:type="spellEnd"/>
      <w:r>
        <w:rPr>
          <w:szCs w:val="28"/>
        </w:rPr>
        <w:t xml:space="preserve"> was added drop by drop into the flask with KHP until a permanent pink color appeared which indicated that the end point was reached. The volume of </w:t>
      </w:r>
      <w:proofErr w:type="spellStart"/>
      <w:r>
        <w:rPr>
          <w:szCs w:val="28"/>
        </w:rPr>
        <w:t>NaOH</w:t>
      </w:r>
      <w:proofErr w:type="spellEnd"/>
      <w:r>
        <w:rPr>
          <w:szCs w:val="28"/>
        </w:rPr>
        <w:t xml:space="preserve"> used for the titration was recorded. The titration was repeated a second time but with a larger volume of KHP.</w:t>
      </w:r>
    </w:p>
    <w:p w:rsidR="009D4812" w:rsidRDefault="001C43FE" w:rsidP="00713774">
      <w:pPr>
        <w:spacing w:line="480" w:lineRule="auto"/>
        <w:ind w:left="360" w:firstLine="720"/>
        <w:rPr>
          <w:szCs w:val="28"/>
        </w:rPr>
      </w:pPr>
      <w:r>
        <w:rPr>
          <w:szCs w:val="28"/>
        </w:rPr>
        <w:t>For the second part of the experiment, a 100 mL volumetric flask was obtained from the stockroom. This time, 4 grams of FAS was weighed using an electronic balance and a small sheet of paper. The 4 grams of FAS was placed into a clean and empty beaker.</w:t>
      </w:r>
      <w:r w:rsidR="00B23538">
        <w:rPr>
          <w:szCs w:val="28"/>
        </w:rPr>
        <w:t xml:space="preserve"> 25 mL of distilled H</w:t>
      </w:r>
      <w:r w:rsidR="00B23538">
        <w:rPr>
          <w:szCs w:val="28"/>
          <w:vertAlign w:val="subscript"/>
        </w:rPr>
        <w:t>2</w:t>
      </w:r>
      <w:r w:rsidR="00B23538">
        <w:rPr>
          <w:szCs w:val="28"/>
        </w:rPr>
        <w:t>O was added to the beaker to dissolve the FAS. Since not all of it was dissolved, more water was added to the beaker and the mixture of FAS and H</w:t>
      </w:r>
      <w:r w:rsidR="00B23538">
        <w:rPr>
          <w:szCs w:val="28"/>
          <w:vertAlign w:val="subscript"/>
        </w:rPr>
        <w:t>2</w:t>
      </w:r>
      <w:r w:rsidR="00B23538">
        <w:rPr>
          <w:szCs w:val="28"/>
        </w:rPr>
        <w:t xml:space="preserve">O was transferred to the 100 mL volumetric flask. The flask was covered with a </w:t>
      </w:r>
      <w:proofErr w:type="spellStart"/>
      <w:r w:rsidR="00B23538">
        <w:rPr>
          <w:szCs w:val="28"/>
        </w:rPr>
        <w:t>parafilm</w:t>
      </w:r>
      <w:proofErr w:type="spellEnd"/>
      <w:r w:rsidR="00B23538">
        <w:rPr>
          <w:szCs w:val="28"/>
        </w:rPr>
        <w:t xml:space="preserve"> when enough H</w:t>
      </w:r>
      <w:r w:rsidR="00B23538">
        <w:rPr>
          <w:szCs w:val="28"/>
          <w:vertAlign w:val="subscript"/>
        </w:rPr>
        <w:t>2</w:t>
      </w:r>
      <w:r w:rsidR="00B23538">
        <w:rPr>
          <w:szCs w:val="28"/>
        </w:rPr>
        <w:t>O was added until the volume reached the indicated line. The standard ferrous ammonium sulfate solution was prepared for the titration process.</w:t>
      </w:r>
    </w:p>
    <w:p w:rsidR="00501521" w:rsidRPr="00AA5EAE" w:rsidRDefault="00084EC2" w:rsidP="00713774">
      <w:pPr>
        <w:spacing w:line="480" w:lineRule="auto"/>
        <w:ind w:left="360" w:firstLine="720"/>
        <w:rPr>
          <w:szCs w:val="28"/>
        </w:rPr>
      </w:pPr>
      <w:r>
        <w:rPr>
          <w:szCs w:val="28"/>
        </w:rPr>
        <w:t>Two burettes were set up at the beginning of the lab. The burettes were cleaned with distilled H</w:t>
      </w:r>
      <w:r>
        <w:rPr>
          <w:szCs w:val="28"/>
          <w:vertAlign w:val="subscript"/>
        </w:rPr>
        <w:t>2</w:t>
      </w:r>
      <w:r>
        <w:rPr>
          <w:szCs w:val="28"/>
        </w:rPr>
        <w:t>O and the stopcocks were tested to see if there was a steady stream.</w:t>
      </w:r>
      <w:r w:rsidR="009F3121">
        <w:rPr>
          <w:szCs w:val="28"/>
        </w:rPr>
        <w:t xml:space="preserve"> The stopcocks were closed before each burette was filled with the standard FAS solution and potassium permanganate.</w:t>
      </w:r>
      <w:r w:rsidR="0070057D">
        <w:rPr>
          <w:szCs w:val="28"/>
        </w:rPr>
        <w:t xml:space="preserve"> Each burette was filled to the brim to 50 mL of each solution. </w:t>
      </w:r>
      <w:r w:rsidR="00BB63E6">
        <w:rPr>
          <w:szCs w:val="28"/>
        </w:rPr>
        <w:t>An Erlenmeyer flask was obtained and 25 mL of the Fas solution was placed into the flask.</w:t>
      </w:r>
      <w:r w:rsidR="00AA5EAE">
        <w:rPr>
          <w:szCs w:val="28"/>
        </w:rPr>
        <w:t xml:space="preserve"> Another 15 mL of 3 M sulfuric acid was added to the 25 mL FAS solution so there are H</w:t>
      </w:r>
      <w:r w:rsidR="00AA5EAE">
        <w:rPr>
          <w:szCs w:val="28"/>
          <w:vertAlign w:val="superscript"/>
        </w:rPr>
        <w:t>+</w:t>
      </w:r>
      <w:r w:rsidR="00AA5EAE">
        <w:rPr>
          <w:szCs w:val="28"/>
        </w:rPr>
        <w:t xml:space="preserve"> ions that allow the oxidation/reduction reaction to occur. The Erlenmeyer flask was moved to the other burette where the potassium permanganate was and potassium permanganate was added into the FAS solution drop by drop until a persisting red color change occurred.</w:t>
      </w:r>
      <w:r w:rsidR="006F77F7">
        <w:rPr>
          <w:szCs w:val="28"/>
        </w:rPr>
        <w:t xml:space="preserve"> When the solu</w:t>
      </w:r>
      <w:r w:rsidR="00A3303B">
        <w:rPr>
          <w:szCs w:val="28"/>
        </w:rPr>
        <w:t xml:space="preserve">tion remained a red color, the </w:t>
      </w:r>
      <w:r w:rsidR="00E06228">
        <w:rPr>
          <w:szCs w:val="28"/>
        </w:rPr>
        <w:t>titration was completed</w:t>
      </w:r>
      <w:r w:rsidR="00A3303B">
        <w:rPr>
          <w:szCs w:val="28"/>
        </w:rPr>
        <w:t xml:space="preserve"> and the solution</w:t>
      </w:r>
      <w:r w:rsidR="00E06228">
        <w:rPr>
          <w:szCs w:val="28"/>
        </w:rPr>
        <w:t xml:space="preserve"> reached the end point. </w:t>
      </w:r>
      <w:r w:rsidR="00C72A6E">
        <w:rPr>
          <w:szCs w:val="28"/>
        </w:rPr>
        <w:t>This process was repeated a second time except a larger volume of FAS was used.</w:t>
      </w:r>
    </w:p>
    <w:p w:rsidR="00A147DD" w:rsidRPr="00E20C8E" w:rsidRDefault="00A147DD" w:rsidP="00A147DD">
      <w:pPr>
        <w:pStyle w:val="ListParagraph"/>
        <w:numPr>
          <w:ilvl w:val="0"/>
          <w:numId w:val="1"/>
        </w:numPr>
        <w:spacing w:line="480" w:lineRule="auto"/>
        <w:rPr>
          <w:b/>
          <w:szCs w:val="28"/>
        </w:rPr>
      </w:pPr>
      <w:r>
        <w:rPr>
          <w:b/>
          <w:szCs w:val="28"/>
        </w:rPr>
        <w:lastRenderedPageBreak/>
        <w:t>RESULTS AND DISCUSSION</w:t>
      </w:r>
    </w:p>
    <w:p w:rsidR="00E20C8E" w:rsidRDefault="00FE1863" w:rsidP="004F7EB5">
      <w:pPr>
        <w:spacing w:line="480" w:lineRule="auto"/>
        <w:ind w:left="360" w:firstLine="720"/>
        <w:rPr>
          <w:szCs w:val="28"/>
        </w:rPr>
      </w:pPr>
      <w:r>
        <w:rPr>
          <w:szCs w:val="28"/>
        </w:rPr>
        <w:t xml:space="preserve">The difference between a stock solution and a standard solution is the accuracy of each solution.  A standard solution is more accurate in concentration </w:t>
      </w:r>
      <w:r w:rsidR="004F7EB5">
        <w:rPr>
          <w:szCs w:val="28"/>
        </w:rPr>
        <w:t>than that of a stock solution. A</w:t>
      </w:r>
      <w:r>
        <w:rPr>
          <w:szCs w:val="28"/>
        </w:rPr>
        <w:t xml:space="preserve"> solution with a highly precise molarity allows better results to be obtained from experiments.</w:t>
      </w:r>
      <w:r w:rsidR="004F7EB5">
        <w:rPr>
          <w:szCs w:val="28"/>
        </w:rPr>
        <w:t xml:space="preserve"> </w:t>
      </w:r>
      <w:r w:rsidR="00292E60">
        <w:rPr>
          <w:szCs w:val="28"/>
        </w:rPr>
        <w:t>If 0.1 M barium hydroxide was used instead of sodium hydroxide, the volume of the base would change because one mole of barium hydroxide reacts with two moles of KHP.</w:t>
      </w:r>
      <w:r w:rsidR="007B241B">
        <w:rPr>
          <w:szCs w:val="28"/>
        </w:rPr>
        <w:t xml:space="preserve"> However, one mole of sodium hydroxide reacts with one mole of KHP so the volumes are different.</w:t>
      </w:r>
    </w:p>
    <w:p w:rsidR="00A43DE0" w:rsidRDefault="00641954" w:rsidP="004F7EB5">
      <w:pPr>
        <w:spacing w:line="480" w:lineRule="auto"/>
        <w:ind w:left="360" w:firstLine="720"/>
        <w:rPr>
          <w:szCs w:val="28"/>
        </w:rPr>
      </w:pPr>
      <w:r>
        <w:rPr>
          <w:szCs w:val="28"/>
        </w:rPr>
        <w:t xml:space="preserve">The average concentration of the sodium hydroxide solution is </w:t>
      </w:r>
      <w:r w:rsidR="000A1304">
        <w:rPr>
          <w:szCs w:val="28"/>
        </w:rPr>
        <w:t>0.163</w:t>
      </w:r>
      <w:r>
        <w:rPr>
          <w:szCs w:val="28"/>
        </w:rPr>
        <w:t xml:space="preserve"> M. Some potential sources of error that could have caused variation in the concentration are the volumetric measurement of the acid using the burette, overshooting in the titration process causing the solution to pass the equivalence point and inaccurate measurements which lead to calculations that are generally false.</w:t>
      </w:r>
      <w:r w:rsidR="00195361">
        <w:rPr>
          <w:szCs w:val="28"/>
        </w:rPr>
        <w:t xml:space="preserve"> If a solution of iron (III) was titrated with potassium permanganate, nothing would happen unless the iron solution was reduced to iron (II) first.</w:t>
      </w:r>
    </w:p>
    <w:p w:rsidR="0087267B" w:rsidRPr="00E20C8E" w:rsidRDefault="0087267B" w:rsidP="004F7EB5">
      <w:pPr>
        <w:spacing w:line="480" w:lineRule="auto"/>
        <w:ind w:left="360" w:firstLine="720"/>
        <w:rPr>
          <w:szCs w:val="28"/>
        </w:rPr>
      </w:pPr>
      <w:r>
        <w:rPr>
          <w:szCs w:val="28"/>
        </w:rPr>
        <w:t>The average concentration of potassium permanganate is 0.131 M.</w:t>
      </w:r>
      <w:r w:rsidR="00BE6816">
        <w:rPr>
          <w:szCs w:val="28"/>
        </w:rPr>
        <w:t xml:space="preserve"> The potential sources of error that could have caused variation in the concentration are the same as the sources of error with the sodium hydroxide titration: </w:t>
      </w:r>
      <w:r w:rsidR="00BE6816">
        <w:rPr>
          <w:szCs w:val="28"/>
        </w:rPr>
        <w:t>volumetric measurement of the acid using the burette, overshooting in the titration process causing the solution to pass the equivalence point and inaccurate measurements which lead to calculations that are generally false</w:t>
      </w:r>
      <w:r w:rsidR="00BE6816">
        <w:rPr>
          <w:szCs w:val="28"/>
        </w:rPr>
        <w:t>.</w:t>
      </w:r>
    </w:p>
    <w:p w:rsidR="00A147DD" w:rsidRPr="007E3E45" w:rsidRDefault="00A147DD" w:rsidP="00D04892">
      <w:pPr>
        <w:pStyle w:val="ListParagraph"/>
        <w:numPr>
          <w:ilvl w:val="0"/>
          <w:numId w:val="1"/>
        </w:numPr>
        <w:spacing w:line="480" w:lineRule="auto"/>
        <w:rPr>
          <w:b/>
          <w:szCs w:val="28"/>
        </w:rPr>
      </w:pPr>
      <w:r>
        <w:rPr>
          <w:b/>
          <w:szCs w:val="28"/>
        </w:rPr>
        <w:t>CONCLUSION</w:t>
      </w:r>
    </w:p>
    <w:p w:rsidR="004F529A" w:rsidRDefault="00E11810" w:rsidP="00D04892">
      <w:pPr>
        <w:spacing w:line="480" w:lineRule="auto"/>
        <w:ind w:left="360" w:firstLine="720"/>
        <w:rPr>
          <w:szCs w:val="28"/>
        </w:rPr>
      </w:pPr>
      <w:r>
        <w:rPr>
          <w:szCs w:val="28"/>
        </w:rPr>
        <w:t xml:space="preserve">Standard solutions and the process of standardization are important concepts in chemistry. They allow us to create and maintain accurate results from experiments and force </w:t>
      </w:r>
      <w:r>
        <w:rPr>
          <w:szCs w:val="28"/>
        </w:rPr>
        <w:lastRenderedPageBreak/>
        <w:t>us to recognize that excellent results can only be obtained through trial and error.</w:t>
      </w:r>
      <w:r w:rsidR="00663A32">
        <w:rPr>
          <w:szCs w:val="28"/>
        </w:rPr>
        <w:t xml:space="preserve"> By learning how to use standardization techniques, we also learn about other science concepts such as titration, equivalence point,</w:t>
      </w:r>
      <w:r w:rsidR="00B60433">
        <w:rPr>
          <w:szCs w:val="28"/>
        </w:rPr>
        <w:t xml:space="preserve"> and</w:t>
      </w:r>
      <w:r w:rsidR="00663A32">
        <w:rPr>
          <w:szCs w:val="28"/>
        </w:rPr>
        <w:t xml:space="preserve"> acid/base and oxidation/reduction reactions. Chemistry is an interconnected field of study where concepts are related and contribute to one another.</w:t>
      </w:r>
    </w:p>
    <w:p w:rsidR="004F529A" w:rsidRDefault="004F529A" w:rsidP="000A1304">
      <w:pPr>
        <w:ind w:left="720"/>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4F529A" w:rsidRDefault="004F529A" w:rsidP="004F529A">
      <w:pPr>
        <w:rPr>
          <w:szCs w:val="28"/>
        </w:rPr>
      </w:pPr>
    </w:p>
    <w:p w:rsidR="000D7B99" w:rsidRDefault="000D7B99" w:rsidP="004F529A">
      <w:pPr>
        <w:rPr>
          <w:szCs w:val="28"/>
        </w:rPr>
      </w:pPr>
    </w:p>
    <w:p w:rsidR="004F529A" w:rsidRDefault="004F529A" w:rsidP="004F529A">
      <w:pPr>
        <w:rPr>
          <w:szCs w:val="28"/>
        </w:rPr>
      </w:pPr>
    </w:p>
    <w:p w:rsidR="007E3E45" w:rsidRPr="00D951FC" w:rsidRDefault="007E3E45" w:rsidP="004F529A">
      <w:pPr>
        <w:rPr>
          <w:szCs w:val="28"/>
        </w:rPr>
      </w:pPr>
      <w:r>
        <w:rPr>
          <w:szCs w:val="28"/>
        </w:rPr>
        <w:lastRenderedPageBreak/>
        <w:t>Table I.</w:t>
      </w:r>
      <w:r w:rsidR="00D951FC">
        <w:rPr>
          <w:szCs w:val="28"/>
        </w:rPr>
        <w:t xml:space="preserve"> The molar mass of KHP, mass of KHP </w:t>
      </w:r>
      <w:proofErr w:type="gramStart"/>
      <w:r w:rsidR="00D951FC">
        <w:rPr>
          <w:szCs w:val="28"/>
        </w:rPr>
        <w:t>used,</w:t>
      </w:r>
      <w:proofErr w:type="gramEnd"/>
      <w:r w:rsidR="00D951FC">
        <w:rPr>
          <w:szCs w:val="28"/>
        </w:rPr>
        <w:t xml:space="preserve"> volume of H</w:t>
      </w:r>
      <w:r w:rsidR="00D951FC">
        <w:rPr>
          <w:szCs w:val="28"/>
          <w:vertAlign w:val="subscript"/>
        </w:rPr>
        <w:t>2</w:t>
      </w:r>
      <w:r w:rsidR="00D951FC">
        <w:rPr>
          <w:szCs w:val="28"/>
        </w:rPr>
        <w:t>O used and molarity of KHP calculated for the titration and standardization of KHP.</w:t>
      </w:r>
    </w:p>
    <w:tbl>
      <w:tblPr>
        <w:tblStyle w:val="TableGrid"/>
        <w:tblW w:w="0" w:type="auto"/>
        <w:tblLook w:val="04A0" w:firstRow="1" w:lastRow="0" w:firstColumn="1" w:lastColumn="0" w:noHBand="0" w:noVBand="1"/>
      </w:tblPr>
      <w:tblGrid>
        <w:gridCol w:w="4788"/>
        <w:gridCol w:w="4788"/>
      </w:tblGrid>
      <w:tr w:rsidR="007E3E45" w:rsidTr="007E3E45">
        <w:tc>
          <w:tcPr>
            <w:tcW w:w="4788" w:type="dxa"/>
          </w:tcPr>
          <w:p w:rsidR="007E3E45" w:rsidRDefault="007E3E45" w:rsidP="00851DE8">
            <w:pPr>
              <w:spacing w:line="276" w:lineRule="auto"/>
              <w:jc w:val="center"/>
              <w:rPr>
                <w:szCs w:val="28"/>
              </w:rPr>
            </w:pPr>
            <w:r>
              <w:rPr>
                <w:szCs w:val="28"/>
              </w:rPr>
              <w:t>Molar mass of KHP</w:t>
            </w:r>
          </w:p>
        </w:tc>
        <w:tc>
          <w:tcPr>
            <w:tcW w:w="4788" w:type="dxa"/>
          </w:tcPr>
          <w:p w:rsidR="007E3E45" w:rsidRDefault="00851DE8" w:rsidP="00851DE8">
            <w:pPr>
              <w:spacing w:line="276" w:lineRule="auto"/>
              <w:jc w:val="center"/>
              <w:rPr>
                <w:szCs w:val="28"/>
              </w:rPr>
            </w:pPr>
            <w:r>
              <w:rPr>
                <w:szCs w:val="28"/>
              </w:rPr>
              <w:t>204.22 g/</w:t>
            </w:r>
            <w:proofErr w:type="spellStart"/>
            <w:r>
              <w:rPr>
                <w:szCs w:val="28"/>
              </w:rPr>
              <w:t>mol</w:t>
            </w:r>
            <w:proofErr w:type="spellEnd"/>
          </w:p>
        </w:tc>
      </w:tr>
      <w:tr w:rsidR="007E3E45" w:rsidTr="007E3E45">
        <w:tc>
          <w:tcPr>
            <w:tcW w:w="4788" w:type="dxa"/>
          </w:tcPr>
          <w:p w:rsidR="007E3E45" w:rsidRDefault="007E3E45" w:rsidP="00851DE8">
            <w:pPr>
              <w:spacing w:line="276" w:lineRule="auto"/>
              <w:jc w:val="center"/>
              <w:rPr>
                <w:szCs w:val="28"/>
              </w:rPr>
            </w:pPr>
            <w:r>
              <w:rPr>
                <w:szCs w:val="28"/>
              </w:rPr>
              <w:t>Mass of KHP</w:t>
            </w:r>
          </w:p>
        </w:tc>
        <w:tc>
          <w:tcPr>
            <w:tcW w:w="4788" w:type="dxa"/>
          </w:tcPr>
          <w:p w:rsidR="007E3E45" w:rsidRDefault="00851DE8" w:rsidP="00851DE8">
            <w:pPr>
              <w:spacing w:line="276" w:lineRule="auto"/>
              <w:jc w:val="center"/>
              <w:rPr>
                <w:szCs w:val="28"/>
              </w:rPr>
            </w:pPr>
            <w:r>
              <w:rPr>
                <w:szCs w:val="28"/>
              </w:rPr>
              <w:t>2.021 g</w:t>
            </w:r>
          </w:p>
        </w:tc>
      </w:tr>
      <w:tr w:rsidR="007E3E45" w:rsidTr="007E3E45">
        <w:tc>
          <w:tcPr>
            <w:tcW w:w="4788" w:type="dxa"/>
          </w:tcPr>
          <w:p w:rsidR="007E3E45" w:rsidRPr="007E3E45" w:rsidRDefault="007E3E45" w:rsidP="00851DE8">
            <w:pPr>
              <w:spacing w:line="276" w:lineRule="auto"/>
              <w:jc w:val="center"/>
              <w:rPr>
                <w:szCs w:val="28"/>
              </w:rPr>
            </w:pPr>
            <w:r>
              <w:rPr>
                <w:szCs w:val="28"/>
              </w:rPr>
              <w:t>Volume of H</w:t>
            </w:r>
            <w:r>
              <w:rPr>
                <w:szCs w:val="28"/>
                <w:vertAlign w:val="subscript"/>
              </w:rPr>
              <w:t>2</w:t>
            </w:r>
            <w:r>
              <w:rPr>
                <w:szCs w:val="28"/>
              </w:rPr>
              <w:t>O</w:t>
            </w:r>
          </w:p>
        </w:tc>
        <w:tc>
          <w:tcPr>
            <w:tcW w:w="4788" w:type="dxa"/>
          </w:tcPr>
          <w:p w:rsidR="007E3E45" w:rsidRDefault="00851DE8" w:rsidP="00851DE8">
            <w:pPr>
              <w:spacing w:line="276" w:lineRule="auto"/>
              <w:jc w:val="center"/>
              <w:rPr>
                <w:szCs w:val="28"/>
              </w:rPr>
            </w:pPr>
            <w:r>
              <w:rPr>
                <w:szCs w:val="28"/>
              </w:rPr>
              <w:t>100 mL</w:t>
            </w:r>
          </w:p>
        </w:tc>
      </w:tr>
      <w:tr w:rsidR="007E3E45" w:rsidTr="007E3E45">
        <w:tc>
          <w:tcPr>
            <w:tcW w:w="4788" w:type="dxa"/>
          </w:tcPr>
          <w:p w:rsidR="007E3E45" w:rsidRDefault="007E3E45" w:rsidP="00851DE8">
            <w:pPr>
              <w:spacing w:line="276" w:lineRule="auto"/>
              <w:jc w:val="center"/>
              <w:rPr>
                <w:szCs w:val="28"/>
              </w:rPr>
            </w:pPr>
            <w:r>
              <w:rPr>
                <w:szCs w:val="28"/>
              </w:rPr>
              <w:t>Molarity of KHP</w:t>
            </w:r>
          </w:p>
        </w:tc>
        <w:tc>
          <w:tcPr>
            <w:tcW w:w="4788" w:type="dxa"/>
          </w:tcPr>
          <w:p w:rsidR="007E3E45" w:rsidRDefault="00851DE8" w:rsidP="00851DE8">
            <w:pPr>
              <w:spacing w:line="276" w:lineRule="auto"/>
              <w:jc w:val="center"/>
              <w:rPr>
                <w:szCs w:val="28"/>
              </w:rPr>
            </w:pPr>
            <w:r>
              <w:rPr>
                <w:szCs w:val="28"/>
              </w:rPr>
              <w:t>0.0989 M</w:t>
            </w:r>
          </w:p>
        </w:tc>
      </w:tr>
    </w:tbl>
    <w:p w:rsidR="007E3E45" w:rsidRPr="007E3E45" w:rsidRDefault="007E3E45" w:rsidP="004F529A">
      <w:pPr>
        <w:rPr>
          <w:szCs w:val="28"/>
        </w:rPr>
      </w:pPr>
    </w:p>
    <w:p w:rsidR="00A147DD" w:rsidRPr="00AA6694" w:rsidRDefault="007E3E45" w:rsidP="004F529A">
      <w:pPr>
        <w:rPr>
          <w:szCs w:val="28"/>
        </w:rPr>
      </w:pPr>
      <w:r>
        <w:rPr>
          <w:szCs w:val="28"/>
        </w:rPr>
        <w:t>Table II.</w:t>
      </w:r>
      <w:r w:rsidR="00AA6694">
        <w:rPr>
          <w:szCs w:val="28"/>
        </w:rPr>
        <w:t xml:space="preserve"> The molar mass of FAS, mass of FAS </w:t>
      </w:r>
      <w:proofErr w:type="gramStart"/>
      <w:r w:rsidR="00AA6694">
        <w:rPr>
          <w:szCs w:val="28"/>
        </w:rPr>
        <w:t>used,</w:t>
      </w:r>
      <w:proofErr w:type="gramEnd"/>
      <w:r w:rsidR="00AA6694">
        <w:rPr>
          <w:szCs w:val="28"/>
        </w:rPr>
        <w:t xml:space="preserve"> volume of H</w:t>
      </w:r>
      <w:r w:rsidR="00AA6694">
        <w:rPr>
          <w:szCs w:val="28"/>
          <w:vertAlign w:val="subscript"/>
        </w:rPr>
        <w:t>2</w:t>
      </w:r>
      <w:r w:rsidR="00AA6694">
        <w:rPr>
          <w:szCs w:val="28"/>
        </w:rPr>
        <w:t>O used and molarity of FAS calculated for the titration and standardization of FAS.</w:t>
      </w:r>
    </w:p>
    <w:tbl>
      <w:tblPr>
        <w:tblStyle w:val="TableGrid"/>
        <w:tblW w:w="0" w:type="auto"/>
        <w:tblLook w:val="04A0" w:firstRow="1" w:lastRow="0" w:firstColumn="1" w:lastColumn="0" w:noHBand="0" w:noVBand="1"/>
      </w:tblPr>
      <w:tblGrid>
        <w:gridCol w:w="4788"/>
        <w:gridCol w:w="4788"/>
      </w:tblGrid>
      <w:tr w:rsidR="004F529A" w:rsidTr="004F529A">
        <w:tc>
          <w:tcPr>
            <w:tcW w:w="4788" w:type="dxa"/>
          </w:tcPr>
          <w:p w:rsidR="004F529A" w:rsidRDefault="004F529A" w:rsidP="00851DE8">
            <w:pPr>
              <w:jc w:val="center"/>
              <w:rPr>
                <w:szCs w:val="28"/>
              </w:rPr>
            </w:pPr>
            <w:r>
              <w:rPr>
                <w:szCs w:val="28"/>
              </w:rPr>
              <w:t>Molar mass of FAS</w:t>
            </w:r>
          </w:p>
        </w:tc>
        <w:tc>
          <w:tcPr>
            <w:tcW w:w="4788" w:type="dxa"/>
          </w:tcPr>
          <w:p w:rsidR="004F529A" w:rsidRDefault="00851DE8" w:rsidP="00851DE8">
            <w:pPr>
              <w:jc w:val="center"/>
              <w:rPr>
                <w:szCs w:val="28"/>
              </w:rPr>
            </w:pPr>
            <w:r>
              <w:rPr>
                <w:szCs w:val="28"/>
              </w:rPr>
              <w:t>284.05 g/</w:t>
            </w:r>
            <w:proofErr w:type="spellStart"/>
            <w:r>
              <w:rPr>
                <w:szCs w:val="28"/>
              </w:rPr>
              <w:t>mol</w:t>
            </w:r>
            <w:proofErr w:type="spellEnd"/>
          </w:p>
        </w:tc>
      </w:tr>
      <w:tr w:rsidR="004F529A" w:rsidTr="004F529A">
        <w:tc>
          <w:tcPr>
            <w:tcW w:w="4788" w:type="dxa"/>
          </w:tcPr>
          <w:p w:rsidR="004F529A" w:rsidRDefault="004F529A" w:rsidP="00851DE8">
            <w:pPr>
              <w:jc w:val="center"/>
              <w:rPr>
                <w:szCs w:val="28"/>
              </w:rPr>
            </w:pPr>
            <w:r>
              <w:rPr>
                <w:szCs w:val="28"/>
              </w:rPr>
              <w:t>Mass of FAS</w:t>
            </w:r>
          </w:p>
        </w:tc>
        <w:tc>
          <w:tcPr>
            <w:tcW w:w="4788" w:type="dxa"/>
          </w:tcPr>
          <w:p w:rsidR="004F529A" w:rsidRDefault="00851DE8" w:rsidP="00851DE8">
            <w:pPr>
              <w:jc w:val="center"/>
              <w:rPr>
                <w:szCs w:val="28"/>
              </w:rPr>
            </w:pPr>
            <w:r>
              <w:rPr>
                <w:szCs w:val="28"/>
              </w:rPr>
              <w:t>4.069 g</w:t>
            </w:r>
          </w:p>
        </w:tc>
      </w:tr>
      <w:tr w:rsidR="004F529A" w:rsidTr="004F529A">
        <w:tc>
          <w:tcPr>
            <w:tcW w:w="4788" w:type="dxa"/>
          </w:tcPr>
          <w:p w:rsidR="004F529A" w:rsidRPr="004F529A" w:rsidRDefault="004F529A" w:rsidP="00851DE8">
            <w:pPr>
              <w:jc w:val="center"/>
              <w:rPr>
                <w:szCs w:val="28"/>
              </w:rPr>
            </w:pPr>
            <w:r>
              <w:rPr>
                <w:szCs w:val="28"/>
              </w:rPr>
              <w:t>Volume of H</w:t>
            </w:r>
            <w:r>
              <w:rPr>
                <w:szCs w:val="28"/>
                <w:vertAlign w:val="subscript"/>
              </w:rPr>
              <w:t>2</w:t>
            </w:r>
            <w:r>
              <w:rPr>
                <w:szCs w:val="28"/>
              </w:rPr>
              <w:t>O</w:t>
            </w:r>
          </w:p>
        </w:tc>
        <w:tc>
          <w:tcPr>
            <w:tcW w:w="4788" w:type="dxa"/>
          </w:tcPr>
          <w:p w:rsidR="004F529A" w:rsidRDefault="00851DE8" w:rsidP="00851DE8">
            <w:pPr>
              <w:jc w:val="center"/>
              <w:rPr>
                <w:szCs w:val="28"/>
              </w:rPr>
            </w:pPr>
            <w:r>
              <w:rPr>
                <w:szCs w:val="28"/>
              </w:rPr>
              <w:t>100 mL</w:t>
            </w:r>
          </w:p>
        </w:tc>
      </w:tr>
      <w:tr w:rsidR="004F529A" w:rsidTr="004F529A">
        <w:tc>
          <w:tcPr>
            <w:tcW w:w="4788" w:type="dxa"/>
          </w:tcPr>
          <w:p w:rsidR="004F529A" w:rsidRDefault="004F529A" w:rsidP="00851DE8">
            <w:pPr>
              <w:jc w:val="center"/>
              <w:rPr>
                <w:szCs w:val="28"/>
              </w:rPr>
            </w:pPr>
            <w:r>
              <w:rPr>
                <w:szCs w:val="28"/>
              </w:rPr>
              <w:t>Molarity of FAS</w:t>
            </w:r>
          </w:p>
        </w:tc>
        <w:tc>
          <w:tcPr>
            <w:tcW w:w="4788" w:type="dxa"/>
          </w:tcPr>
          <w:p w:rsidR="004F529A" w:rsidRDefault="00851DE8" w:rsidP="00851DE8">
            <w:pPr>
              <w:jc w:val="center"/>
              <w:rPr>
                <w:szCs w:val="28"/>
              </w:rPr>
            </w:pPr>
            <w:r>
              <w:rPr>
                <w:szCs w:val="28"/>
              </w:rPr>
              <w:t>0.143 M</w:t>
            </w:r>
          </w:p>
        </w:tc>
      </w:tr>
    </w:tbl>
    <w:p w:rsidR="004F529A" w:rsidRDefault="004F529A" w:rsidP="004F529A">
      <w:pPr>
        <w:rPr>
          <w:szCs w:val="28"/>
        </w:rPr>
      </w:pPr>
    </w:p>
    <w:p w:rsidR="004F529A" w:rsidRDefault="004F529A" w:rsidP="004F529A">
      <w:pPr>
        <w:rPr>
          <w:szCs w:val="28"/>
        </w:rPr>
      </w:pPr>
      <w:r>
        <w:rPr>
          <w:szCs w:val="28"/>
        </w:rPr>
        <w:t>Table III.</w:t>
      </w:r>
      <w:r w:rsidR="009E3083">
        <w:rPr>
          <w:szCs w:val="28"/>
        </w:rPr>
        <w:t xml:space="preserve"> </w:t>
      </w:r>
      <w:r w:rsidR="0023344B">
        <w:rPr>
          <w:szCs w:val="28"/>
        </w:rPr>
        <w:t xml:space="preserve">The readings of KHP (acid) and </w:t>
      </w:r>
      <w:proofErr w:type="spellStart"/>
      <w:r w:rsidR="0023344B">
        <w:rPr>
          <w:szCs w:val="28"/>
        </w:rPr>
        <w:t>NaOH</w:t>
      </w:r>
      <w:proofErr w:type="spellEnd"/>
      <w:r w:rsidR="0023344B">
        <w:rPr>
          <w:szCs w:val="28"/>
        </w:rPr>
        <w:t xml:space="preserve"> (base) for two trials and</w:t>
      </w:r>
      <w:r w:rsidR="001911BD">
        <w:rPr>
          <w:szCs w:val="28"/>
        </w:rPr>
        <w:t xml:space="preserve"> the calculated concentrations for</w:t>
      </w:r>
      <w:r w:rsidR="0023344B">
        <w:rPr>
          <w:szCs w:val="28"/>
        </w:rPr>
        <w:t xml:space="preserve"> the acid and base.</w:t>
      </w:r>
    </w:p>
    <w:tbl>
      <w:tblPr>
        <w:tblStyle w:val="TableGrid"/>
        <w:tblW w:w="0" w:type="auto"/>
        <w:tblLook w:val="04A0" w:firstRow="1" w:lastRow="0" w:firstColumn="1" w:lastColumn="0" w:noHBand="0" w:noVBand="1"/>
      </w:tblPr>
      <w:tblGrid>
        <w:gridCol w:w="3542"/>
        <w:gridCol w:w="3017"/>
        <w:gridCol w:w="3017"/>
      </w:tblGrid>
      <w:tr w:rsidR="00851DE8" w:rsidTr="00851DE8">
        <w:tc>
          <w:tcPr>
            <w:tcW w:w="3542" w:type="dxa"/>
          </w:tcPr>
          <w:p w:rsidR="00851DE8" w:rsidRDefault="00851DE8" w:rsidP="00851DE8">
            <w:pPr>
              <w:jc w:val="center"/>
              <w:rPr>
                <w:szCs w:val="28"/>
              </w:rPr>
            </w:pPr>
          </w:p>
        </w:tc>
        <w:tc>
          <w:tcPr>
            <w:tcW w:w="3017" w:type="dxa"/>
          </w:tcPr>
          <w:p w:rsidR="00851DE8" w:rsidRDefault="00851DE8" w:rsidP="00851DE8">
            <w:pPr>
              <w:jc w:val="center"/>
              <w:rPr>
                <w:szCs w:val="28"/>
              </w:rPr>
            </w:pPr>
            <w:r>
              <w:rPr>
                <w:szCs w:val="28"/>
              </w:rPr>
              <w:t>Trial #1</w:t>
            </w:r>
          </w:p>
        </w:tc>
        <w:tc>
          <w:tcPr>
            <w:tcW w:w="3017" w:type="dxa"/>
          </w:tcPr>
          <w:p w:rsidR="00851DE8" w:rsidRDefault="00851DE8" w:rsidP="00851DE8">
            <w:pPr>
              <w:jc w:val="center"/>
              <w:rPr>
                <w:szCs w:val="28"/>
              </w:rPr>
            </w:pPr>
            <w:r>
              <w:rPr>
                <w:szCs w:val="28"/>
              </w:rPr>
              <w:t>Trial #2</w:t>
            </w:r>
          </w:p>
        </w:tc>
      </w:tr>
      <w:tr w:rsidR="00851DE8" w:rsidTr="00851DE8">
        <w:tc>
          <w:tcPr>
            <w:tcW w:w="3542" w:type="dxa"/>
          </w:tcPr>
          <w:p w:rsidR="00851DE8" w:rsidRDefault="00851DE8" w:rsidP="00851DE8">
            <w:pPr>
              <w:jc w:val="center"/>
              <w:rPr>
                <w:szCs w:val="28"/>
              </w:rPr>
            </w:pPr>
            <w:r>
              <w:rPr>
                <w:szCs w:val="28"/>
              </w:rPr>
              <w:t>Initial acid burette reading</w:t>
            </w:r>
          </w:p>
        </w:tc>
        <w:tc>
          <w:tcPr>
            <w:tcW w:w="3017" w:type="dxa"/>
          </w:tcPr>
          <w:p w:rsidR="00851DE8" w:rsidRDefault="00851DE8" w:rsidP="00851DE8">
            <w:pPr>
              <w:jc w:val="center"/>
              <w:rPr>
                <w:szCs w:val="28"/>
              </w:rPr>
            </w:pPr>
            <w:r>
              <w:rPr>
                <w:szCs w:val="28"/>
              </w:rPr>
              <w:t>50 mL</w:t>
            </w:r>
          </w:p>
        </w:tc>
        <w:tc>
          <w:tcPr>
            <w:tcW w:w="3017" w:type="dxa"/>
          </w:tcPr>
          <w:p w:rsidR="00851DE8" w:rsidRDefault="00851DE8" w:rsidP="00851DE8">
            <w:pPr>
              <w:jc w:val="center"/>
              <w:rPr>
                <w:szCs w:val="28"/>
              </w:rPr>
            </w:pPr>
            <w:r>
              <w:rPr>
                <w:szCs w:val="28"/>
              </w:rPr>
              <w:t>50 mL</w:t>
            </w:r>
          </w:p>
        </w:tc>
      </w:tr>
      <w:tr w:rsidR="00851DE8" w:rsidTr="00851DE8">
        <w:tc>
          <w:tcPr>
            <w:tcW w:w="3542" w:type="dxa"/>
          </w:tcPr>
          <w:p w:rsidR="00851DE8" w:rsidRDefault="00851DE8" w:rsidP="00851DE8">
            <w:pPr>
              <w:jc w:val="center"/>
              <w:rPr>
                <w:szCs w:val="28"/>
              </w:rPr>
            </w:pPr>
            <w:r>
              <w:rPr>
                <w:szCs w:val="28"/>
              </w:rPr>
              <w:t>Final acid burette reading</w:t>
            </w:r>
          </w:p>
        </w:tc>
        <w:tc>
          <w:tcPr>
            <w:tcW w:w="3017" w:type="dxa"/>
          </w:tcPr>
          <w:p w:rsidR="00851DE8" w:rsidRDefault="00851DE8" w:rsidP="00851DE8">
            <w:pPr>
              <w:jc w:val="center"/>
              <w:rPr>
                <w:szCs w:val="28"/>
              </w:rPr>
            </w:pPr>
            <w:r>
              <w:rPr>
                <w:szCs w:val="28"/>
              </w:rPr>
              <w:t>24 mL</w:t>
            </w:r>
          </w:p>
        </w:tc>
        <w:tc>
          <w:tcPr>
            <w:tcW w:w="3017" w:type="dxa"/>
          </w:tcPr>
          <w:p w:rsidR="00851DE8" w:rsidRDefault="00851DE8" w:rsidP="00851DE8">
            <w:pPr>
              <w:jc w:val="center"/>
              <w:rPr>
                <w:szCs w:val="28"/>
              </w:rPr>
            </w:pPr>
            <w:r>
              <w:rPr>
                <w:szCs w:val="28"/>
              </w:rPr>
              <w:t>21.5 mL</w:t>
            </w:r>
          </w:p>
        </w:tc>
      </w:tr>
      <w:tr w:rsidR="00851DE8" w:rsidTr="00851DE8">
        <w:tc>
          <w:tcPr>
            <w:tcW w:w="3542" w:type="dxa"/>
          </w:tcPr>
          <w:p w:rsidR="00851DE8" w:rsidRDefault="00851DE8" w:rsidP="00851DE8">
            <w:pPr>
              <w:jc w:val="center"/>
              <w:rPr>
                <w:szCs w:val="28"/>
              </w:rPr>
            </w:pPr>
            <w:r>
              <w:rPr>
                <w:szCs w:val="28"/>
              </w:rPr>
              <w:t>Volume of acid in flask</w:t>
            </w:r>
          </w:p>
        </w:tc>
        <w:tc>
          <w:tcPr>
            <w:tcW w:w="3017" w:type="dxa"/>
          </w:tcPr>
          <w:p w:rsidR="00851DE8" w:rsidRDefault="00851DE8" w:rsidP="00851DE8">
            <w:pPr>
              <w:jc w:val="center"/>
              <w:rPr>
                <w:szCs w:val="28"/>
              </w:rPr>
            </w:pPr>
            <w:r>
              <w:rPr>
                <w:szCs w:val="28"/>
              </w:rPr>
              <w:t>26 mL</w:t>
            </w:r>
          </w:p>
        </w:tc>
        <w:tc>
          <w:tcPr>
            <w:tcW w:w="3017" w:type="dxa"/>
          </w:tcPr>
          <w:p w:rsidR="00851DE8" w:rsidRDefault="00851DE8" w:rsidP="00851DE8">
            <w:pPr>
              <w:jc w:val="center"/>
              <w:rPr>
                <w:szCs w:val="28"/>
              </w:rPr>
            </w:pPr>
            <w:r>
              <w:rPr>
                <w:szCs w:val="28"/>
              </w:rPr>
              <w:t>28.5 mL</w:t>
            </w:r>
          </w:p>
        </w:tc>
      </w:tr>
      <w:tr w:rsidR="00851DE8" w:rsidTr="00851DE8">
        <w:tc>
          <w:tcPr>
            <w:tcW w:w="3542" w:type="dxa"/>
          </w:tcPr>
          <w:p w:rsidR="00851DE8" w:rsidRDefault="00851DE8" w:rsidP="00851DE8">
            <w:pPr>
              <w:jc w:val="center"/>
              <w:rPr>
                <w:szCs w:val="28"/>
              </w:rPr>
            </w:pPr>
            <w:r>
              <w:rPr>
                <w:szCs w:val="28"/>
              </w:rPr>
              <w:t>Concentration of acid</w:t>
            </w:r>
          </w:p>
        </w:tc>
        <w:tc>
          <w:tcPr>
            <w:tcW w:w="3017" w:type="dxa"/>
          </w:tcPr>
          <w:p w:rsidR="00851DE8" w:rsidRDefault="008F22E6" w:rsidP="00851DE8">
            <w:pPr>
              <w:jc w:val="center"/>
              <w:rPr>
                <w:szCs w:val="28"/>
              </w:rPr>
            </w:pPr>
            <w:r>
              <w:rPr>
                <w:szCs w:val="28"/>
              </w:rPr>
              <w:t>0.0989 M</w:t>
            </w:r>
          </w:p>
        </w:tc>
        <w:tc>
          <w:tcPr>
            <w:tcW w:w="3017" w:type="dxa"/>
          </w:tcPr>
          <w:p w:rsidR="00851DE8" w:rsidRDefault="008F22E6" w:rsidP="00851DE8">
            <w:pPr>
              <w:jc w:val="center"/>
              <w:rPr>
                <w:szCs w:val="28"/>
              </w:rPr>
            </w:pPr>
            <w:r>
              <w:rPr>
                <w:szCs w:val="28"/>
              </w:rPr>
              <w:t>0.0989 M</w:t>
            </w:r>
          </w:p>
        </w:tc>
      </w:tr>
      <w:tr w:rsidR="00851DE8" w:rsidTr="00851DE8">
        <w:tc>
          <w:tcPr>
            <w:tcW w:w="3542" w:type="dxa"/>
          </w:tcPr>
          <w:p w:rsidR="00851DE8" w:rsidRDefault="00851DE8" w:rsidP="00851DE8">
            <w:pPr>
              <w:jc w:val="center"/>
              <w:rPr>
                <w:szCs w:val="28"/>
              </w:rPr>
            </w:pPr>
            <w:r>
              <w:rPr>
                <w:szCs w:val="28"/>
              </w:rPr>
              <w:t>Initial base burette reading</w:t>
            </w:r>
          </w:p>
        </w:tc>
        <w:tc>
          <w:tcPr>
            <w:tcW w:w="3017" w:type="dxa"/>
          </w:tcPr>
          <w:p w:rsidR="00851DE8" w:rsidRDefault="00851DE8" w:rsidP="00851DE8">
            <w:pPr>
              <w:jc w:val="center"/>
              <w:rPr>
                <w:szCs w:val="28"/>
              </w:rPr>
            </w:pPr>
            <w:r>
              <w:rPr>
                <w:szCs w:val="28"/>
              </w:rPr>
              <w:t>50 mL</w:t>
            </w:r>
          </w:p>
        </w:tc>
        <w:tc>
          <w:tcPr>
            <w:tcW w:w="3017" w:type="dxa"/>
          </w:tcPr>
          <w:p w:rsidR="00851DE8" w:rsidRDefault="00851DE8" w:rsidP="00851DE8">
            <w:pPr>
              <w:jc w:val="center"/>
              <w:rPr>
                <w:szCs w:val="28"/>
              </w:rPr>
            </w:pPr>
            <w:r>
              <w:rPr>
                <w:szCs w:val="28"/>
              </w:rPr>
              <w:t>50 mL</w:t>
            </w:r>
          </w:p>
        </w:tc>
      </w:tr>
      <w:tr w:rsidR="00851DE8" w:rsidTr="00851DE8">
        <w:tc>
          <w:tcPr>
            <w:tcW w:w="3542" w:type="dxa"/>
          </w:tcPr>
          <w:p w:rsidR="00851DE8" w:rsidRDefault="00851DE8" w:rsidP="00851DE8">
            <w:pPr>
              <w:jc w:val="center"/>
              <w:rPr>
                <w:szCs w:val="28"/>
              </w:rPr>
            </w:pPr>
            <w:r>
              <w:rPr>
                <w:szCs w:val="28"/>
              </w:rPr>
              <w:t>Final base burette reading</w:t>
            </w:r>
          </w:p>
        </w:tc>
        <w:tc>
          <w:tcPr>
            <w:tcW w:w="3017" w:type="dxa"/>
          </w:tcPr>
          <w:p w:rsidR="00851DE8" w:rsidRDefault="00851DE8" w:rsidP="00851DE8">
            <w:pPr>
              <w:jc w:val="center"/>
              <w:rPr>
                <w:szCs w:val="28"/>
              </w:rPr>
            </w:pPr>
            <w:r>
              <w:rPr>
                <w:szCs w:val="28"/>
              </w:rPr>
              <w:t>30.6 mL</w:t>
            </w:r>
          </w:p>
        </w:tc>
        <w:tc>
          <w:tcPr>
            <w:tcW w:w="3017" w:type="dxa"/>
          </w:tcPr>
          <w:p w:rsidR="00851DE8" w:rsidRDefault="00851DE8" w:rsidP="00851DE8">
            <w:pPr>
              <w:jc w:val="center"/>
              <w:rPr>
                <w:szCs w:val="28"/>
              </w:rPr>
            </w:pPr>
            <w:r>
              <w:rPr>
                <w:szCs w:val="28"/>
              </w:rPr>
              <w:t>35.5 mL</w:t>
            </w:r>
          </w:p>
        </w:tc>
      </w:tr>
      <w:tr w:rsidR="00851DE8" w:rsidTr="00851DE8">
        <w:tc>
          <w:tcPr>
            <w:tcW w:w="3542" w:type="dxa"/>
          </w:tcPr>
          <w:p w:rsidR="00851DE8" w:rsidRDefault="00851DE8" w:rsidP="00851DE8">
            <w:pPr>
              <w:jc w:val="center"/>
              <w:rPr>
                <w:szCs w:val="28"/>
              </w:rPr>
            </w:pPr>
            <w:r>
              <w:rPr>
                <w:szCs w:val="28"/>
              </w:rPr>
              <w:t>Volume of base required for endpoint</w:t>
            </w:r>
          </w:p>
        </w:tc>
        <w:tc>
          <w:tcPr>
            <w:tcW w:w="3017" w:type="dxa"/>
          </w:tcPr>
          <w:p w:rsidR="00851DE8" w:rsidRDefault="00851DE8" w:rsidP="00851DE8">
            <w:pPr>
              <w:jc w:val="center"/>
              <w:rPr>
                <w:szCs w:val="28"/>
              </w:rPr>
            </w:pPr>
            <w:r>
              <w:rPr>
                <w:szCs w:val="28"/>
              </w:rPr>
              <w:t>19.4 mL</w:t>
            </w:r>
          </w:p>
        </w:tc>
        <w:tc>
          <w:tcPr>
            <w:tcW w:w="3017" w:type="dxa"/>
          </w:tcPr>
          <w:p w:rsidR="00851DE8" w:rsidRDefault="00851DE8" w:rsidP="00851DE8">
            <w:pPr>
              <w:jc w:val="center"/>
              <w:rPr>
                <w:szCs w:val="28"/>
              </w:rPr>
            </w:pPr>
            <w:r>
              <w:rPr>
                <w:szCs w:val="28"/>
              </w:rPr>
              <w:t>14.5 mL</w:t>
            </w:r>
          </w:p>
        </w:tc>
      </w:tr>
      <w:tr w:rsidR="00851DE8" w:rsidTr="00851DE8">
        <w:tc>
          <w:tcPr>
            <w:tcW w:w="3542" w:type="dxa"/>
          </w:tcPr>
          <w:p w:rsidR="00851DE8" w:rsidRDefault="00851DE8" w:rsidP="00851DE8">
            <w:pPr>
              <w:jc w:val="center"/>
              <w:rPr>
                <w:szCs w:val="28"/>
              </w:rPr>
            </w:pPr>
            <w:r>
              <w:rPr>
                <w:szCs w:val="28"/>
              </w:rPr>
              <w:t>Concentration of base</w:t>
            </w:r>
          </w:p>
        </w:tc>
        <w:tc>
          <w:tcPr>
            <w:tcW w:w="3017" w:type="dxa"/>
          </w:tcPr>
          <w:p w:rsidR="00851DE8" w:rsidRDefault="00B16096" w:rsidP="00851DE8">
            <w:pPr>
              <w:jc w:val="center"/>
              <w:rPr>
                <w:szCs w:val="28"/>
              </w:rPr>
            </w:pPr>
            <w:r>
              <w:rPr>
                <w:szCs w:val="28"/>
              </w:rPr>
              <w:t>0.1325 M</w:t>
            </w:r>
          </w:p>
        </w:tc>
        <w:tc>
          <w:tcPr>
            <w:tcW w:w="3017" w:type="dxa"/>
          </w:tcPr>
          <w:p w:rsidR="00851DE8" w:rsidRDefault="00B16096" w:rsidP="00851DE8">
            <w:pPr>
              <w:jc w:val="center"/>
              <w:rPr>
                <w:szCs w:val="28"/>
              </w:rPr>
            </w:pPr>
            <w:r>
              <w:rPr>
                <w:szCs w:val="28"/>
              </w:rPr>
              <w:t xml:space="preserve"> 0.1943 M</w:t>
            </w:r>
          </w:p>
        </w:tc>
      </w:tr>
    </w:tbl>
    <w:p w:rsidR="004F529A" w:rsidRDefault="004F529A" w:rsidP="004F529A">
      <w:pPr>
        <w:rPr>
          <w:szCs w:val="28"/>
        </w:rPr>
      </w:pPr>
    </w:p>
    <w:p w:rsidR="00137E27" w:rsidRDefault="00137E27" w:rsidP="004F529A">
      <w:pPr>
        <w:rPr>
          <w:szCs w:val="28"/>
        </w:rPr>
      </w:pPr>
      <w:r>
        <w:rPr>
          <w:szCs w:val="28"/>
        </w:rPr>
        <w:t>Table IV.</w:t>
      </w:r>
      <w:r w:rsidR="001911BD">
        <w:rPr>
          <w:szCs w:val="28"/>
        </w:rPr>
        <w:t xml:space="preserve"> The readings of FAS and potassium permanganate for two trials and the calculated concentrations for FAS and potassium permanganate.</w:t>
      </w:r>
      <w:bookmarkStart w:id="0" w:name="_GoBack"/>
      <w:bookmarkEnd w:id="0"/>
    </w:p>
    <w:tbl>
      <w:tblPr>
        <w:tblStyle w:val="TableGrid"/>
        <w:tblW w:w="0" w:type="auto"/>
        <w:tblLook w:val="04A0" w:firstRow="1" w:lastRow="0" w:firstColumn="1" w:lastColumn="0" w:noHBand="0" w:noVBand="1"/>
      </w:tblPr>
      <w:tblGrid>
        <w:gridCol w:w="3542"/>
        <w:gridCol w:w="3017"/>
        <w:gridCol w:w="3017"/>
      </w:tblGrid>
      <w:tr w:rsidR="00977573" w:rsidTr="00977573">
        <w:tc>
          <w:tcPr>
            <w:tcW w:w="3542" w:type="dxa"/>
          </w:tcPr>
          <w:p w:rsidR="00977573" w:rsidRDefault="00977573" w:rsidP="00977573">
            <w:pPr>
              <w:jc w:val="center"/>
              <w:rPr>
                <w:szCs w:val="28"/>
              </w:rPr>
            </w:pPr>
          </w:p>
        </w:tc>
        <w:tc>
          <w:tcPr>
            <w:tcW w:w="3017" w:type="dxa"/>
          </w:tcPr>
          <w:p w:rsidR="00977573" w:rsidRDefault="00977573" w:rsidP="00977573">
            <w:pPr>
              <w:jc w:val="center"/>
              <w:rPr>
                <w:szCs w:val="28"/>
              </w:rPr>
            </w:pPr>
            <w:r>
              <w:rPr>
                <w:szCs w:val="28"/>
              </w:rPr>
              <w:t>Trial #1</w:t>
            </w:r>
          </w:p>
        </w:tc>
        <w:tc>
          <w:tcPr>
            <w:tcW w:w="3017" w:type="dxa"/>
          </w:tcPr>
          <w:p w:rsidR="00977573" w:rsidRDefault="00977573" w:rsidP="00977573">
            <w:pPr>
              <w:jc w:val="center"/>
              <w:rPr>
                <w:szCs w:val="28"/>
              </w:rPr>
            </w:pPr>
            <w:r>
              <w:rPr>
                <w:szCs w:val="28"/>
              </w:rPr>
              <w:t>Trial #2</w:t>
            </w:r>
          </w:p>
        </w:tc>
      </w:tr>
      <w:tr w:rsidR="00977573" w:rsidTr="00977573">
        <w:tc>
          <w:tcPr>
            <w:tcW w:w="3542" w:type="dxa"/>
          </w:tcPr>
          <w:p w:rsidR="00977573" w:rsidRDefault="00977573" w:rsidP="00977573">
            <w:pPr>
              <w:jc w:val="center"/>
              <w:rPr>
                <w:szCs w:val="28"/>
              </w:rPr>
            </w:pPr>
            <w:r>
              <w:rPr>
                <w:szCs w:val="28"/>
              </w:rPr>
              <w:t>Initial FAS burette reading</w:t>
            </w:r>
          </w:p>
        </w:tc>
        <w:tc>
          <w:tcPr>
            <w:tcW w:w="3017" w:type="dxa"/>
          </w:tcPr>
          <w:p w:rsidR="00977573" w:rsidRDefault="00977573" w:rsidP="00977573">
            <w:pPr>
              <w:jc w:val="center"/>
              <w:rPr>
                <w:szCs w:val="28"/>
              </w:rPr>
            </w:pPr>
            <w:r>
              <w:rPr>
                <w:szCs w:val="28"/>
              </w:rPr>
              <w:t>50 mL</w:t>
            </w:r>
          </w:p>
        </w:tc>
        <w:tc>
          <w:tcPr>
            <w:tcW w:w="3017" w:type="dxa"/>
          </w:tcPr>
          <w:p w:rsidR="00977573" w:rsidRDefault="00977573" w:rsidP="00977573">
            <w:pPr>
              <w:jc w:val="center"/>
              <w:rPr>
                <w:szCs w:val="28"/>
              </w:rPr>
            </w:pPr>
            <w:r>
              <w:rPr>
                <w:szCs w:val="28"/>
              </w:rPr>
              <w:t>28.3 mL</w:t>
            </w:r>
          </w:p>
        </w:tc>
      </w:tr>
      <w:tr w:rsidR="00977573" w:rsidTr="00977573">
        <w:tc>
          <w:tcPr>
            <w:tcW w:w="3542" w:type="dxa"/>
          </w:tcPr>
          <w:p w:rsidR="00977573" w:rsidRDefault="00977573" w:rsidP="00977573">
            <w:pPr>
              <w:jc w:val="center"/>
              <w:rPr>
                <w:szCs w:val="28"/>
              </w:rPr>
            </w:pPr>
            <w:r>
              <w:rPr>
                <w:szCs w:val="28"/>
              </w:rPr>
              <w:t>Final FAS burette reading</w:t>
            </w:r>
          </w:p>
        </w:tc>
        <w:tc>
          <w:tcPr>
            <w:tcW w:w="3017" w:type="dxa"/>
          </w:tcPr>
          <w:p w:rsidR="00977573" w:rsidRDefault="00977573" w:rsidP="00977573">
            <w:pPr>
              <w:jc w:val="center"/>
              <w:rPr>
                <w:szCs w:val="28"/>
              </w:rPr>
            </w:pPr>
            <w:r>
              <w:rPr>
                <w:szCs w:val="28"/>
              </w:rPr>
              <w:t>25.8 mL</w:t>
            </w:r>
          </w:p>
        </w:tc>
        <w:tc>
          <w:tcPr>
            <w:tcW w:w="3017" w:type="dxa"/>
          </w:tcPr>
          <w:p w:rsidR="00977573" w:rsidRDefault="00977573" w:rsidP="00977573">
            <w:pPr>
              <w:jc w:val="center"/>
              <w:rPr>
                <w:szCs w:val="28"/>
              </w:rPr>
            </w:pPr>
            <w:r>
              <w:rPr>
                <w:szCs w:val="28"/>
              </w:rPr>
              <w:t>1.2 mL</w:t>
            </w:r>
          </w:p>
        </w:tc>
      </w:tr>
      <w:tr w:rsidR="00977573" w:rsidTr="00977573">
        <w:tc>
          <w:tcPr>
            <w:tcW w:w="3542" w:type="dxa"/>
          </w:tcPr>
          <w:p w:rsidR="00977573" w:rsidRDefault="00977573" w:rsidP="00977573">
            <w:pPr>
              <w:jc w:val="center"/>
              <w:rPr>
                <w:szCs w:val="28"/>
              </w:rPr>
            </w:pPr>
            <w:r>
              <w:rPr>
                <w:szCs w:val="28"/>
              </w:rPr>
              <w:t>Volume of FAS in flask</w:t>
            </w:r>
          </w:p>
        </w:tc>
        <w:tc>
          <w:tcPr>
            <w:tcW w:w="3017" w:type="dxa"/>
          </w:tcPr>
          <w:p w:rsidR="00977573" w:rsidRDefault="00977573" w:rsidP="00977573">
            <w:pPr>
              <w:jc w:val="center"/>
              <w:rPr>
                <w:szCs w:val="28"/>
              </w:rPr>
            </w:pPr>
            <w:r>
              <w:rPr>
                <w:szCs w:val="28"/>
              </w:rPr>
              <w:t>24.2 mL</w:t>
            </w:r>
          </w:p>
        </w:tc>
        <w:tc>
          <w:tcPr>
            <w:tcW w:w="3017" w:type="dxa"/>
          </w:tcPr>
          <w:p w:rsidR="00977573" w:rsidRDefault="00977573" w:rsidP="00977573">
            <w:pPr>
              <w:jc w:val="center"/>
              <w:rPr>
                <w:szCs w:val="28"/>
              </w:rPr>
            </w:pPr>
            <w:r>
              <w:rPr>
                <w:szCs w:val="28"/>
              </w:rPr>
              <w:t>27.1 mL</w:t>
            </w:r>
          </w:p>
        </w:tc>
      </w:tr>
      <w:tr w:rsidR="00977573" w:rsidTr="00977573">
        <w:tc>
          <w:tcPr>
            <w:tcW w:w="3542" w:type="dxa"/>
          </w:tcPr>
          <w:p w:rsidR="00977573" w:rsidRDefault="00977573" w:rsidP="00977573">
            <w:pPr>
              <w:jc w:val="center"/>
              <w:rPr>
                <w:szCs w:val="28"/>
              </w:rPr>
            </w:pPr>
            <w:r>
              <w:rPr>
                <w:szCs w:val="28"/>
              </w:rPr>
              <w:t>Concentration of FAS</w:t>
            </w:r>
          </w:p>
        </w:tc>
        <w:tc>
          <w:tcPr>
            <w:tcW w:w="3017" w:type="dxa"/>
          </w:tcPr>
          <w:p w:rsidR="00977573" w:rsidRDefault="00977573" w:rsidP="00977573">
            <w:pPr>
              <w:jc w:val="center"/>
              <w:rPr>
                <w:szCs w:val="28"/>
              </w:rPr>
            </w:pPr>
            <w:r>
              <w:rPr>
                <w:szCs w:val="28"/>
              </w:rPr>
              <w:t>0.143 M</w:t>
            </w:r>
          </w:p>
        </w:tc>
        <w:tc>
          <w:tcPr>
            <w:tcW w:w="3017" w:type="dxa"/>
          </w:tcPr>
          <w:p w:rsidR="00977573" w:rsidRDefault="00977573" w:rsidP="00977573">
            <w:pPr>
              <w:jc w:val="center"/>
              <w:rPr>
                <w:szCs w:val="28"/>
              </w:rPr>
            </w:pPr>
            <w:r>
              <w:rPr>
                <w:szCs w:val="28"/>
              </w:rPr>
              <w:t>0.143 M</w:t>
            </w:r>
          </w:p>
        </w:tc>
      </w:tr>
      <w:tr w:rsidR="00977573" w:rsidTr="00977573">
        <w:tc>
          <w:tcPr>
            <w:tcW w:w="3542" w:type="dxa"/>
          </w:tcPr>
          <w:p w:rsidR="00977573" w:rsidRDefault="00977573" w:rsidP="00977573">
            <w:pPr>
              <w:jc w:val="center"/>
              <w:rPr>
                <w:szCs w:val="28"/>
              </w:rPr>
            </w:pPr>
            <w:r>
              <w:rPr>
                <w:szCs w:val="28"/>
              </w:rPr>
              <w:t>Initial permanganate burette reading</w:t>
            </w:r>
          </w:p>
        </w:tc>
        <w:tc>
          <w:tcPr>
            <w:tcW w:w="3017" w:type="dxa"/>
          </w:tcPr>
          <w:p w:rsidR="00977573" w:rsidRDefault="00977573" w:rsidP="00977573">
            <w:pPr>
              <w:jc w:val="center"/>
              <w:rPr>
                <w:szCs w:val="28"/>
              </w:rPr>
            </w:pPr>
            <w:r>
              <w:rPr>
                <w:szCs w:val="28"/>
              </w:rPr>
              <w:t>50 mL</w:t>
            </w:r>
          </w:p>
        </w:tc>
        <w:tc>
          <w:tcPr>
            <w:tcW w:w="3017" w:type="dxa"/>
          </w:tcPr>
          <w:p w:rsidR="00977573" w:rsidRDefault="00977573" w:rsidP="00977573">
            <w:pPr>
              <w:jc w:val="center"/>
              <w:rPr>
                <w:szCs w:val="28"/>
              </w:rPr>
            </w:pPr>
            <w:r>
              <w:rPr>
                <w:szCs w:val="28"/>
              </w:rPr>
              <w:t>47.5 mL</w:t>
            </w:r>
          </w:p>
        </w:tc>
      </w:tr>
      <w:tr w:rsidR="00977573" w:rsidTr="00977573">
        <w:tc>
          <w:tcPr>
            <w:tcW w:w="3542" w:type="dxa"/>
          </w:tcPr>
          <w:p w:rsidR="00977573" w:rsidRDefault="00977573" w:rsidP="00977573">
            <w:pPr>
              <w:jc w:val="center"/>
              <w:rPr>
                <w:szCs w:val="28"/>
              </w:rPr>
            </w:pPr>
            <w:r>
              <w:rPr>
                <w:szCs w:val="28"/>
              </w:rPr>
              <w:t>Final permanganate burette reading</w:t>
            </w:r>
          </w:p>
        </w:tc>
        <w:tc>
          <w:tcPr>
            <w:tcW w:w="3017" w:type="dxa"/>
          </w:tcPr>
          <w:p w:rsidR="00977573" w:rsidRDefault="00977573" w:rsidP="00977573">
            <w:pPr>
              <w:jc w:val="center"/>
              <w:rPr>
                <w:szCs w:val="28"/>
              </w:rPr>
            </w:pPr>
            <w:r>
              <w:rPr>
                <w:szCs w:val="28"/>
              </w:rPr>
              <w:t>22.8 mL</w:t>
            </w:r>
          </w:p>
        </w:tc>
        <w:tc>
          <w:tcPr>
            <w:tcW w:w="3017" w:type="dxa"/>
          </w:tcPr>
          <w:p w:rsidR="00977573" w:rsidRDefault="00977573" w:rsidP="00977573">
            <w:pPr>
              <w:jc w:val="center"/>
              <w:rPr>
                <w:szCs w:val="28"/>
              </w:rPr>
            </w:pPr>
            <w:r>
              <w:rPr>
                <w:szCs w:val="28"/>
              </w:rPr>
              <w:t>18.9 mL</w:t>
            </w:r>
          </w:p>
        </w:tc>
      </w:tr>
      <w:tr w:rsidR="00977573" w:rsidTr="00977573">
        <w:tc>
          <w:tcPr>
            <w:tcW w:w="3542" w:type="dxa"/>
          </w:tcPr>
          <w:p w:rsidR="00977573" w:rsidRDefault="00977573" w:rsidP="00977573">
            <w:pPr>
              <w:jc w:val="center"/>
              <w:rPr>
                <w:szCs w:val="28"/>
              </w:rPr>
            </w:pPr>
            <w:r>
              <w:rPr>
                <w:szCs w:val="28"/>
              </w:rPr>
              <w:t>Volume of permanganate required for endpoint</w:t>
            </w:r>
          </w:p>
        </w:tc>
        <w:tc>
          <w:tcPr>
            <w:tcW w:w="3017" w:type="dxa"/>
          </w:tcPr>
          <w:p w:rsidR="00977573" w:rsidRDefault="00977573" w:rsidP="00977573">
            <w:pPr>
              <w:jc w:val="center"/>
              <w:rPr>
                <w:szCs w:val="28"/>
              </w:rPr>
            </w:pPr>
            <w:r>
              <w:rPr>
                <w:szCs w:val="28"/>
              </w:rPr>
              <w:t>27.2 mL</w:t>
            </w:r>
          </w:p>
        </w:tc>
        <w:tc>
          <w:tcPr>
            <w:tcW w:w="3017" w:type="dxa"/>
          </w:tcPr>
          <w:p w:rsidR="00977573" w:rsidRDefault="00977573" w:rsidP="00977573">
            <w:pPr>
              <w:jc w:val="center"/>
              <w:rPr>
                <w:szCs w:val="28"/>
              </w:rPr>
            </w:pPr>
            <w:r>
              <w:rPr>
                <w:szCs w:val="28"/>
              </w:rPr>
              <w:t>28.6 mL</w:t>
            </w:r>
          </w:p>
        </w:tc>
      </w:tr>
      <w:tr w:rsidR="00977573" w:rsidTr="00977573">
        <w:tc>
          <w:tcPr>
            <w:tcW w:w="3542" w:type="dxa"/>
          </w:tcPr>
          <w:p w:rsidR="00977573" w:rsidRDefault="00977573" w:rsidP="00977573">
            <w:pPr>
              <w:jc w:val="center"/>
              <w:rPr>
                <w:szCs w:val="28"/>
              </w:rPr>
            </w:pPr>
            <w:r>
              <w:rPr>
                <w:szCs w:val="28"/>
              </w:rPr>
              <w:t>Concentration of permanganate</w:t>
            </w:r>
          </w:p>
        </w:tc>
        <w:tc>
          <w:tcPr>
            <w:tcW w:w="3017" w:type="dxa"/>
          </w:tcPr>
          <w:p w:rsidR="00977573" w:rsidRDefault="00977573" w:rsidP="00977573">
            <w:pPr>
              <w:jc w:val="center"/>
              <w:rPr>
                <w:szCs w:val="28"/>
              </w:rPr>
            </w:pPr>
            <w:r>
              <w:rPr>
                <w:szCs w:val="28"/>
              </w:rPr>
              <w:t>0.127 M</w:t>
            </w:r>
          </w:p>
        </w:tc>
        <w:tc>
          <w:tcPr>
            <w:tcW w:w="3017" w:type="dxa"/>
          </w:tcPr>
          <w:p w:rsidR="00977573" w:rsidRDefault="00977573" w:rsidP="00977573">
            <w:pPr>
              <w:jc w:val="center"/>
              <w:rPr>
                <w:szCs w:val="28"/>
              </w:rPr>
            </w:pPr>
            <w:r>
              <w:rPr>
                <w:szCs w:val="28"/>
              </w:rPr>
              <w:t>0.135 M</w:t>
            </w:r>
          </w:p>
        </w:tc>
      </w:tr>
    </w:tbl>
    <w:p w:rsidR="004F529A" w:rsidRPr="007E3E45" w:rsidRDefault="004F529A" w:rsidP="004F529A">
      <w:pPr>
        <w:rPr>
          <w:szCs w:val="28"/>
        </w:rPr>
      </w:pPr>
    </w:p>
    <w:sectPr w:rsidR="004F529A" w:rsidRPr="007E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705BD"/>
    <w:multiLevelType w:val="hybridMultilevel"/>
    <w:tmpl w:val="9E9A23AA"/>
    <w:lvl w:ilvl="0" w:tplc="FD6A82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B0C"/>
    <w:rsid w:val="00040704"/>
    <w:rsid w:val="00084EC2"/>
    <w:rsid w:val="000A1304"/>
    <w:rsid w:val="000C1FDE"/>
    <w:rsid w:val="000D7B99"/>
    <w:rsid w:val="0012178B"/>
    <w:rsid w:val="00137E27"/>
    <w:rsid w:val="00152B86"/>
    <w:rsid w:val="00155108"/>
    <w:rsid w:val="001911BD"/>
    <w:rsid w:val="00195361"/>
    <w:rsid w:val="00197FDB"/>
    <w:rsid w:val="001C43FE"/>
    <w:rsid w:val="001D0C5F"/>
    <w:rsid w:val="0023344B"/>
    <w:rsid w:val="0028145C"/>
    <w:rsid w:val="0028185A"/>
    <w:rsid w:val="00292E60"/>
    <w:rsid w:val="002F0711"/>
    <w:rsid w:val="00346FB1"/>
    <w:rsid w:val="003E2540"/>
    <w:rsid w:val="00404ECC"/>
    <w:rsid w:val="00486B2D"/>
    <w:rsid w:val="004A12E8"/>
    <w:rsid w:val="004F529A"/>
    <w:rsid w:val="004F7EB5"/>
    <w:rsid w:val="00501521"/>
    <w:rsid w:val="00641954"/>
    <w:rsid w:val="00663A32"/>
    <w:rsid w:val="0068322D"/>
    <w:rsid w:val="006F77F7"/>
    <w:rsid w:val="0070057D"/>
    <w:rsid w:val="00713774"/>
    <w:rsid w:val="00731ABD"/>
    <w:rsid w:val="007B241B"/>
    <w:rsid w:val="007D2A1C"/>
    <w:rsid w:val="007E3E45"/>
    <w:rsid w:val="00851DE8"/>
    <w:rsid w:val="0087267B"/>
    <w:rsid w:val="0087610F"/>
    <w:rsid w:val="008B30F6"/>
    <w:rsid w:val="008E3F82"/>
    <w:rsid w:val="008F22E6"/>
    <w:rsid w:val="00977573"/>
    <w:rsid w:val="009D4812"/>
    <w:rsid w:val="009E3083"/>
    <w:rsid w:val="009F3121"/>
    <w:rsid w:val="00A147DD"/>
    <w:rsid w:val="00A3303B"/>
    <w:rsid w:val="00A43DE0"/>
    <w:rsid w:val="00AA5EAE"/>
    <w:rsid w:val="00AA6694"/>
    <w:rsid w:val="00AB7754"/>
    <w:rsid w:val="00B02172"/>
    <w:rsid w:val="00B16096"/>
    <w:rsid w:val="00B23538"/>
    <w:rsid w:val="00B60433"/>
    <w:rsid w:val="00B63FD8"/>
    <w:rsid w:val="00BB63E6"/>
    <w:rsid w:val="00BE6816"/>
    <w:rsid w:val="00BF4266"/>
    <w:rsid w:val="00C5188E"/>
    <w:rsid w:val="00C72A6E"/>
    <w:rsid w:val="00D04892"/>
    <w:rsid w:val="00D12B2E"/>
    <w:rsid w:val="00D6020C"/>
    <w:rsid w:val="00D951FC"/>
    <w:rsid w:val="00DA0F09"/>
    <w:rsid w:val="00DB4B0C"/>
    <w:rsid w:val="00E06228"/>
    <w:rsid w:val="00E11810"/>
    <w:rsid w:val="00E20C8E"/>
    <w:rsid w:val="00F94480"/>
    <w:rsid w:val="00FE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7DD"/>
    <w:pPr>
      <w:ind w:left="720"/>
      <w:contextualSpacing/>
    </w:pPr>
  </w:style>
  <w:style w:type="table" w:styleId="TableGrid">
    <w:name w:val="Table Grid"/>
    <w:basedOn w:val="TableNormal"/>
    <w:uiPriority w:val="59"/>
    <w:rsid w:val="007E3E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7DD"/>
    <w:pPr>
      <w:ind w:left="720"/>
      <w:contextualSpacing/>
    </w:pPr>
  </w:style>
  <w:style w:type="table" w:styleId="TableGrid">
    <w:name w:val="Table Grid"/>
    <w:basedOn w:val="TableNormal"/>
    <w:uiPriority w:val="59"/>
    <w:rsid w:val="007E3E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6</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77</cp:revision>
  <dcterms:created xsi:type="dcterms:W3CDTF">2012-11-26T20:12:00Z</dcterms:created>
  <dcterms:modified xsi:type="dcterms:W3CDTF">2012-11-29T08:23:00Z</dcterms:modified>
</cp:coreProperties>
</file>