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spacing w:after="0" w:before="0" w:lineRule="auto"/>
        <w:rPr>
          <w:rFonts w:ascii="Calibri" w:cs="Calibri" w:eastAsia="Calibri" w:hAnsi="Calibri"/>
          <w:sz w:val="24"/>
          <w:szCs w:val="24"/>
        </w:rPr>
      </w:pPr>
      <w:bookmarkStart w:colFirst="0" w:colLast="0" w:name="_518j82kybbys" w:id="0"/>
      <w:bookmarkEnd w:id="0"/>
      <w:r w:rsidDel="00000000" w:rsidR="00000000" w:rsidRPr="00000000">
        <w:rPr>
          <w:rFonts w:ascii="Calibri" w:cs="Calibri" w:eastAsia="Calibri" w:hAnsi="Calibri"/>
          <w:sz w:val="24"/>
          <w:szCs w:val="24"/>
          <w:rtl w:val="0"/>
        </w:rPr>
        <w:t xml:space="preserve">Robinhood 10-K, Financial Statements, and Financial Ratios:</w:t>
      </w:r>
    </w:p>
    <w:p w:rsidR="00000000" w:rsidDel="00000000" w:rsidP="00000000" w:rsidRDefault="00000000" w:rsidRPr="00000000" w14:paraId="00000003">
      <w:pPr>
        <w:numPr>
          <w:ilvl w:val="0"/>
          <w:numId w:val="1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Robinhood’s 2025 10-K Annual Report can be found </w:t>
      </w:r>
      <w:hyperlink r:id="rId6">
        <w:r w:rsidDel="00000000" w:rsidR="00000000" w:rsidRPr="00000000">
          <w:rPr>
            <w:rFonts w:ascii="Calibri" w:cs="Calibri" w:eastAsia="Calibri" w:hAnsi="Calibri"/>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04">
      <w:pPr>
        <w:numPr>
          <w:ilvl w:val="0"/>
          <w:numId w:val="1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Attached are financial statement screenshots from that report</w:t>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anchor allowOverlap="1" behindDoc="0" distB="114300" distT="114300" distL="114300" distR="114300" hidden="0" layoutInCell="1" locked="0" relativeHeight="0" simplePos="0">
            <wp:simplePos x="0" y="0"/>
            <wp:positionH relativeFrom="page">
              <wp:posOffset>9525</wp:posOffset>
            </wp:positionH>
            <wp:positionV relativeFrom="page">
              <wp:posOffset>6810374</wp:posOffset>
            </wp:positionV>
            <wp:extent cx="7753350" cy="31623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2353"/>
                    <a:stretch>
                      <a:fillRect/>
                    </a:stretch>
                  </pic:blipFill>
                  <pic:spPr>
                    <a:xfrm>
                      <a:off x="0" y="0"/>
                      <a:ext cx="7753350" cy="3162300"/>
                    </a:xfrm>
                    <a:prstGeom prst="rect"/>
                    <a:ln/>
                  </pic:spPr>
                </pic:pic>
              </a:graphicData>
            </a:graphic>
          </wp:anchor>
        </w:drawing>
      </w:r>
      <w:r w:rsidDel="00000000" w:rsidR="00000000" w:rsidRPr="00000000">
        <w:rPr>
          <w:rFonts w:ascii="Calibri" w:cs="Calibri" w:eastAsia="Calibri" w:hAnsi="Calibri"/>
          <w:b w:val="1"/>
          <w:bCs w:val="1"/>
          <w:sz w:val="24"/>
          <w:szCs w:val="24"/>
        </w:rPr>
        <w:drawing>
          <wp:anchor allowOverlap="1" behindDoc="0" distB="114300" distT="114300" distL="114300" distR="114300" hidden="0" layoutInCell="1" locked="0" relativeHeight="0" simplePos="0">
            <wp:simplePos x="0" y="0"/>
            <wp:positionH relativeFrom="page">
              <wp:posOffset>9525</wp:posOffset>
            </wp:positionH>
            <wp:positionV relativeFrom="page">
              <wp:posOffset>3590925</wp:posOffset>
            </wp:positionV>
            <wp:extent cx="7753350" cy="2686050"/>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8"/>
                    <a:srcRect b="0" l="0" r="0" t="1742"/>
                    <a:stretch>
                      <a:fillRect/>
                    </a:stretch>
                  </pic:blipFill>
                  <pic:spPr>
                    <a:xfrm>
                      <a:off x="0" y="0"/>
                      <a:ext cx="7753350" cy="2686050"/>
                    </a:xfrm>
                    <a:prstGeom prst="rect"/>
                    <a:ln/>
                  </pic:spPr>
                </pic:pic>
              </a:graphicData>
            </a:graphic>
          </wp:anchor>
        </w:drawing>
      </w:r>
      <w:r w:rsidDel="00000000" w:rsidR="00000000" w:rsidRPr="00000000">
        <w:rPr>
          <w:rFonts w:ascii="Calibri" w:cs="Calibri" w:eastAsia="Calibri" w:hAnsi="Calibri"/>
          <w:b w:val="1"/>
          <w:bCs w:val="1"/>
          <w:sz w:val="24"/>
          <w:szCs w:val="24"/>
        </w:rPr>
        <w:drawing>
          <wp:anchor allowOverlap="1" behindDoc="0" distB="0" distT="0" distL="0" distR="0" hidden="0" layoutInCell="1" locked="0" relativeHeight="0" simplePos="0">
            <wp:simplePos x="0" y="0"/>
            <wp:positionH relativeFrom="page">
              <wp:posOffset>9525</wp:posOffset>
            </wp:positionH>
            <wp:positionV relativeFrom="page">
              <wp:posOffset>1895475</wp:posOffset>
            </wp:positionV>
            <wp:extent cx="7753350" cy="1697178"/>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9"/>
                    <a:srcRect b="0" l="0" r="0" t="3162"/>
                    <a:stretch>
                      <a:fillRect/>
                    </a:stretch>
                  </pic:blipFill>
                  <pic:spPr>
                    <a:xfrm>
                      <a:off x="0" y="0"/>
                      <a:ext cx="7753350" cy="1697178"/>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numPr>
          <w:ilvl w:val="0"/>
          <w:numId w:val="14"/>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Current ratio</w:t>
      </w:r>
      <w:r w:rsidDel="00000000" w:rsidR="00000000" w:rsidRPr="00000000">
        <w:rPr>
          <w:rFonts w:ascii="Calibri" w:cs="Calibri" w:eastAsia="Calibri" w:hAnsi="Calibri"/>
          <w:sz w:val="24"/>
          <w:szCs w:val="24"/>
          <w:rtl w:val="0"/>
        </w:rPr>
        <w:t xml:space="preserve"> (CA / CL)</w:t>
      </w:r>
    </w:p>
    <w:p w:rsidR="00000000" w:rsidDel="00000000" w:rsidP="00000000" w:rsidRDefault="00000000" w:rsidRPr="00000000" w14:paraId="00000007">
      <w:pPr>
        <w:numPr>
          <w:ilvl w:val="1"/>
          <w:numId w:val="14"/>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36,305 / 28,771 = </w:t>
      </w:r>
      <w:r w:rsidDel="00000000" w:rsidR="00000000" w:rsidRPr="00000000">
        <w:rPr>
          <w:rFonts w:ascii="Calibri" w:cs="Calibri" w:eastAsia="Calibri" w:hAnsi="Calibri"/>
          <w:b w:val="1"/>
          <w:bCs w:val="1"/>
          <w:sz w:val="24"/>
          <w:szCs w:val="24"/>
          <w:rtl w:val="0"/>
        </w:rPr>
        <w:t xml:space="preserve">1.26</w:t>
      </w:r>
    </w:p>
    <w:p w:rsidR="00000000" w:rsidDel="00000000" w:rsidP="00000000" w:rsidRDefault="00000000" w:rsidRPr="00000000" w14:paraId="00000008">
      <w:pPr>
        <w:numPr>
          <w:ilvl w:val="0"/>
          <w:numId w:val="2"/>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Debt Ratio</w:t>
      </w:r>
      <w:r w:rsidDel="00000000" w:rsidR="00000000" w:rsidRPr="00000000">
        <w:rPr>
          <w:rFonts w:ascii="Calibri" w:cs="Calibri" w:eastAsia="Calibri" w:hAnsi="Calibri"/>
          <w:sz w:val="24"/>
          <w:szCs w:val="24"/>
          <w:rtl w:val="0"/>
        </w:rPr>
        <w:t xml:space="preserve"> (TL / TA)</w:t>
      </w:r>
    </w:p>
    <w:p w:rsidR="00000000" w:rsidDel="00000000" w:rsidP="00000000" w:rsidRDefault="00000000" w:rsidRPr="00000000" w14:paraId="00000009">
      <w:pPr>
        <w:numPr>
          <w:ilvl w:val="1"/>
          <w:numId w:val="2"/>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28,986 / 38,137 =  </w:t>
      </w:r>
      <w:r w:rsidDel="00000000" w:rsidR="00000000" w:rsidRPr="00000000">
        <w:rPr>
          <w:rFonts w:ascii="Calibri" w:cs="Calibri" w:eastAsia="Calibri" w:hAnsi="Calibri"/>
          <w:b w:val="1"/>
          <w:bCs w:val="1"/>
          <w:sz w:val="24"/>
          <w:szCs w:val="24"/>
          <w:rtl w:val="0"/>
        </w:rPr>
        <w:t xml:space="preserve">0.76 or 76%</w:t>
      </w:r>
    </w:p>
    <w:p w:rsidR="00000000" w:rsidDel="00000000" w:rsidP="00000000" w:rsidRDefault="00000000" w:rsidRPr="00000000" w14:paraId="0000000A">
      <w:pPr>
        <w:numPr>
          <w:ilvl w:val="0"/>
          <w:numId w:val="1"/>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Equity Multiplier</w:t>
      </w:r>
      <w:r w:rsidDel="00000000" w:rsidR="00000000" w:rsidRPr="00000000">
        <w:rPr>
          <w:rFonts w:ascii="Calibri" w:cs="Calibri" w:eastAsia="Calibri" w:hAnsi="Calibri"/>
          <w:sz w:val="24"/>
          <w:szCs w:val="24"/>
          <w:rtl w:val="0"/>
        </w:rPr>
        <w:t xml:space="preserve"> (TA/TE or TA/Net Worth)</w:t>
      </w:r>
    </w:p>
    <w:p w:rsidR="00000000" w:rsidDel="00000000" w:rsidP="00000000" w:rsidRDefault="00000000" w:rsidRPr="00000000" w14:paraId="0000000B">
      <w:pPr>
        <w:numPr>
          <w:ilvl w:val="1"/>
          <w:numId w:val="1"/>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38,137 / 9,151 = </w:t>
      </w:r>
      <w:r w:rsidDel="00000000" w:rsidR="00000000" w:rsidRPr="00000000">
        <w:rPr>
          <w:rFonts w:ascii="Calibri" w:cs="Calibri" w:eastAsia="Calibri" w:hAnsi="Calibri"/>
          <w:b w:val="1"/>
          <w:bCs w:val="1"/>
          <w:sz w:val="24"/>
          <w:szCs w:val="24"/>
          <w:rtl w:val="0"/>
        </w:rPr>
        <w:t xml:space="preserve">4.17</w:t>
      </w:r>
    </w:p>
    <w:p w:rsidR="00000000" w:rsidDel="00000000" w:rsidP="00000000" w:rsidRDefault="00000000" w:rsidRPr="00000000" w14:paraId="0000000C">
      <w:pPr>
        <w:numPr>
          <w:ilvl w:val="0"/>
          <w:numId w:val="7"/>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Total-Asset-Turn-Over</w:t>
      </w:r>
      <w:r w:rsidDel="00000000" w:rsidR="00000000" w:rsidRPr="00000000">
        <w:rPr>
          <w:rFonts w:ascii="Calibri" w:cs="Calibri" w:eastAsia="Calibri" w:hAnsi="Calibri"/>
          <w:sz w:val="24"/>
          <w:szCs w:val="24"/>
          <w:rtl w:val="0"/>
        </w:rPr>
        <w:t xml:space="preserve"> (Sales / Total Assets)</w:t>
      </w:r>
    </w:p>
    <w:p w:rsidR="00000000" w:rsidDel="00000000" w:rsidP="00000000" w:rsidRDefault="00000000" w:rsidRPr="00000000" w14:paraId="0000000D">
      <w:pPr>
        <w:numPr>
          <w:ilvl w:val="1"/>
          <w:numId w:val="7"/>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4,473 / 38,137 = </w:t>
      </w:r>
      <w:r w:rsidDel="00000000" w:rsidR="00000000" w:rsidRPr="00000000">
        <w:rPr>
          <w:rFonts w:ascii="Calibri" w:cs="Calibri" w:eastAsia="Calibri" w:hAnsi="Calibri"/>
          <w:b w:val="1"/>
          <w:bCs w:val="1"/>
          <w:sz w:val="24"/>
          <w:szCs w:val="24"/>
          <w:rtl w:val="0"/>
        </w:rPr>
        <w:t xml:space="preserve">0.117x</w:t>
      </w:r>
    </w:p>
    <w:p w:rsidR="00000000" w:rsidDel="00000000" w:rsidP="00000000" w:rsidRDefault="00000000" w:rsidRPr="00000000" w14:paraId="0000000E">
      <w:pPr>
        <w:numPr>
          <w:ilvl w:val="0"/>
          <w:numId w:val="4"/>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Pre-tax Profit Margin</w:t>
      </w:r>
      <w:r w:rsidDel="00000000" w:rsidR="00000000" w:rsidRPr="00000000">
        <w:rPr>
          <w:rFonts w:ascii="Calibri" w:cs="Calibri" w:eastAsia="Calibri" w:hAnsi="Calibri"/>
          <w:sz w:val="24"/>
          <w:szCs w:val="24"/>
          <w:rtl w:val="0"/>
        </w:rPr>
        <w:t xml:space="preserve"> (EBT / Sales)</w:t>
      </w:r>
    </w:p>
    <w:p w:rsidR="00000000" w:rsidDel="00000000" w:rsidP="00000000" w:rsidRDefault="00000000" w:rsidRPr="00000000" w14:paraId="0000000F">
      <w:pPr>
        <w:numPr>
          <w:ilvl w:val="1"/>
          <w:numId w:val="4"/>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2,108 / 4,473 = </w:t>
      </w:r>
      <w:r w:rsidDel="00000000" w:rsidR="00000000" w:rsidRPr="00000000">
        <w:rPr>
          <w:rFonts w:ascii="Calibri" w:cs="Calibri" w:eastAsia="Calibri" w:hAnsi="Calibri"/>
          <w:b w:val="1"/>
          <w:bCs w:val="1"/>
          <w:sz w:val="24"/>
          <w:szCs w:val="24"/>
          <w:rtl w:val="0"/>
        </w:rPr>
        <w:t xml:space="preserve">47.13%</w:t>
      </w:r>
    </w:p>
    <w:p w:rsidR="00000000" w:rsidDel="00000000" w:rsidP="00000000" w:rsidRDefault="00000000" w:rsidRPr="00000000" w14:paraId="00000010">
      <w:pPr>
        <w:numPr>
          <w:ilvl w:val="0"/>
          <w:numId w:val="15"/>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Pre-tax Return-On-Assets</w:t>
      </w:r>
      <w:r w:rsidDel="00000000" w:rsidR="00000000" w:rsidRPr="00000000">
        <w:rPr>
          <w:rFonts w:ascii="Calibri" w:cs="Calibri" w:eastAsia="Calibri" w:hAnsi="Calibri"/>
          <w:sz w:val="24"/>
          <w:szCs w:val="24"/>
          <w:rtl w:val="0"/>
        </w:rPr>
        <w:t xml:space="preserve"> (EBT / TA)</w:t>
      </w:r>
    </w:p>
    <w:p w:rsidR="00000000" w:rsidDel="00000000" w:rsidP="00000000" w:rsidRDefault="00000000" w:rsidRPr="00000000" w14:paraId="00000011">
      <w:pPr>
        <w:numPr>
          <w:ilvl w:val="1"/>
          <w:numId w:val="15"/>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2,108 / 38,137 = </w:t>
      </w:r>
      <w:r w:rsidDel="00000000" w:rsidR="00000000" w:rsidRPr="00000000">
        <w:rPr>
          <w:rFonts w:ascii="Calibri" w:cs="Calibri" w:eastAsia="Calibri" w:hAnsi="Calibri"/>
          <w:b w:val="1"/>
          <w:bCs w:val="1"/>
          <w:sz w:val="24"/>
          <w:szCs w:val="24"/>
          <w:rtl w:val="0"/>
        </w:rPr>
        <w:t xml:space="preserve">5.53%</w:t>
      </w:r>
    </w:p>
    <w:p w:rsidR="00000000" w:rsidDel="00000000" w:rsidP="00000000" w:rsidRDefault="00000000" w:rsidRPr="00000000" w14:paraId="00000012">
      <w:pPr>
        <w:numPr>
          <w:ilvl w:val="0"/>
          <w:numId w:val="10"/>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Pre-tax Return-On-Equity</w:t>
      </w:r>
      <w:r w:rsidDel="00000000" w:rsidR="00000000" w:rsidRPr="00000000">
        <w:rPr>
          <w:rFonts w:ascii="Calibri" w:cs="Calibri" w:eastAsia="Calibri" w:hAnsi="Calibri"/>
          <w:sz w:val="24"/>
          <w:szCs w:val="24"/>
          <w:rtl w:val="0"/>
        </w:rPr>
        <w:t xml:space="preserve"> (EBT / TE)</w:t>
      </w:r>
    </w:p>
    <w:p w:rsidR="00000000" w:rsidDel="00000000" w:rsidP="00000000" w:rsidRDefault="00000000" w:rsidRPr="00000000" w14:paraId="00000013">
      <w:pPr>
        <w:numPr>
          <w:ilvl w:val="1"/>
          <w:numId w:val="10"/>
        </w:numPr>
        <w:spacing w:after="20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2,108 / 9,151 = </w:t>
      </w:r>
      <w:r w:rsidDel="00000000" w:rsidR="00000000" w:rsidRPr="00000000">
        <w:rPr>
          <w:rFonts w:ascii="Calibri" w:cs="Calibri" w:eastAsia="Calibri" w:hAnsi="Calibri"/>
          <w:b w:val="1"/>
          <w:bCs w:val="1"/>
          <w:sz w:val="24"/>
          <w:szCs w:val="24"/>
          <w:rtl w:val="0"/>
        </w:rPr>
        <w:t xml:space="preserve">23.04%</w:t>
      </w:r>
    </w:p>
    <w:p w:rsidR="00000000" w:rsidDel="00000000" w:rsidP="00000000" w:rsidRDefault="00000000" w:rsidRPr="00000000" w14:paraId="00000014">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pStyle w:val="Heading1"/>
        <w:spacing w:after="0" w:before="0" w:lineRule="auto"/>
        <w:rPr>
          <w:rFonts w:ascii="Calibri" w:cs="Calibri" w:eastAsia="Calibri" w:hAnsi="Calibri"/>
          <w:sz w:val="24"/>
          <w:szCs w:val="24"/>
        </w:rPr>
      </w:pPr>
      <w:bookmarkStart w:colFirst="0" w:colLast="0" w:name="_be0omfnukkv3" w:id="1"/>
      <w:bookmarkEnd w:id="1"/>
      <w:r w:rsidDel="00000000" w:rsidR="00000000" w:rsidRPr="00000000">
        <w:rPr>
          <w:rFonts w:ascii="Calibri" w:cs="Calibri" w:eastAsia="Calibri" w:hAnsi="Calibri"/>
          <w:sz w:val="24"/>
          <w:szCs w:val="24"/>
          <w:rtl w:val="0"/>
        </w:rPr>
        <w:t xml:space="preserve">Industry Classification &amp; Benchmarks: </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 Markets, Inc. is classified by the SEC under SIC 6211 (Security Brokers, Dealers &amp; Flotation Companies). For benchmarking purposes, this analysis uses RMA's </w:t>
      </w:r>
      <w:hyperlink r:id="rId10">
        <w:r w:rsidDel="00000000" w:rsidR="00000000" w:rsidRPr="00000000">
          <w:rPr>
            <w:rFonts w:ascii="Calibri" w:cs="Calibri" w:eastAsia="Calibri" w:hAnsi="Calibri"/>
            <w:color w:val="1155cc"/>
            <w:sz w:val="24"/>
            <w:szCs w:val="24"/>
            <w:u w:val="single"/>
            <w:rtl w:val="0"/>
          </w:rPr>
          <w:t xml:space="preserve">NAICS 523150 (Investment Banking and Securities Intermediation)</w:t>
        </w:r>
      </w:hyperlink>
      <w:r w:rsidDel="00000000" w:rsidR="00000000" w:rsidRPr="00000000">
        <w:rPr>
          <w:rFonts w:ascii="Calibri" w:cs="Calibri" w:eastAsia="Calibri" w:hAnsi="Calibri"/>
          <w:sz w:val="24"/>
          <w:szCs w:val="24"/>
          <w:rtl w:val="0"/>
        </w:rPr>
        <w:t xml:space="preserve"> industry table. This analysis refers to the values shown in the</w:t>
      </w:r>
      <w:r w:rsidDel="00000000" w:rsidR="00000000" w:rsidRPr="00000000">
        <w:rPr>
          <w:rFonts w:ascii="Calibri" w:cs="Calibri" w:eastAsia="Calibri" w:hAnsi="Calibri"/>
          <w:b w:val="1"/>
          <w:bCs w:val="1"/>
          <w:sz w:val="24"/>
          <w:szCs w:val="24"/>
          <w:rtl w:val="0"/>
        </w:rPr>
        <w:t xml:space="preserve"> 4/1/24 - 3/31/25 ALL</w:t>
      </w:r>
      <w:r w:rsidDel="00000000" w:rsidR="00000000" w:rsidRPr="00000000">
        <w:rPr>
          <w:rFonts w:ascii="Calibri" w:cs="Calibri" w:eastAsia="Calibri" w:hAnsi="Calibri"/>
          <w:sz w:val="24"/>
          <w:szCs w:val="24"/>
          <w:rtl w:val="0"/>
        </w:rPr>
        <w:t xml:space="preserve"> column.</w:t>
      </w:r>
      <w:r w:rsidDel="00000000" w:rsidR="00000000" w:rsidRPr="00000000">
        <w:drawing>
          <wp:anchor allowOverlap="1" behindDoc="0" distB="114300" distT="114300" distL="114300" distR="114300" hidden="0" layoutInCell="1" locked="0" relativeHeight="0" simplePos="0">
            <wp:simplePos x="0" y="0"/>
            <wp:positionH relativeFrom="column">
              <wp:posOffset>-91439</wp:posOffset>
            </wp:positionH>
            <wp:positionV relativeFrom="paragraph">
              <wp:posOffset>952500</wp:posOffset>
            </wp:positionV>
            <wp:extent cx="6215063" cy="8096953"/>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15063" cy="8096953"/>
                    </a:xfrm>
                    <a:prstGeom prst="rect"/>
                    <a:ln/>
                  </pic:spPr>
                </pic:pic>
              </a:graphicData>
            </a:graphic>
          </wp:anchor>
        </w:drawing>
      </w:r>
    </w:p>
    <w:p w:rsidR="00000000" w:rsidDel="00000000" w:rsidP="00000000" w:rsidRDefault="00000000" w:rsidRPr="00000000" w14:paraId="0000001E">
      <w:pPr>
        <w:numPr>
          <w:ilvl w:val="0"/>
          <w:numId w:val="3"/>
        </w:numPr>
        <w:spacing w:line="48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Current ratio </w:t>
      </w:r>
    </w:p>
    <w:p w:rsidR="00000000" w:rsidDel="00000000" w:rsidP="00000000" w:rsidRDefault="00000000" w:rsidRPr="00000000" w14:paraId="0000001F">
      <w:pPr>
        <w:numPr>
          <w:ilvl w:val="1"/>
          <w:numId w:val="3"/>
        </w:numPr>
        <w:spacing w:after="0" w:afterAutospacing="0" w:line="48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w:t>
      </w:r>
    </w:p>
    <w:p w:rsidR="00000000" w:rsidDel="00000000" w:rsidP="00000000" w:rsidRDefault="00000000" w:rsidRPr="00000000" w14:paraId="00000020">
      <w:pPr>
        <w:numPr>
          <w:ilvl w:val="0"/>
          <w:numId w:val="3"/>
        </w:numPr>
        <w:spacing w:line="48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Debt Ratio</w:t>
      </w:r>
      <w:r w:rsidDel="00000000" w:rsidR="00000000" w:rsidRPr="00000000">
        <w:rPr>
          <w:rFonts w:ascii="Calibri" w:cs="Calibri" w:eastAsia="Calibri" w:hAnsi="Calibri"/>
          <w:sz w:val="24"/>
          <w:szCs w:val="24"/>
          <w:rtl w:val="0"/>
        </w:rPr>
        <w:t xml:space="preserve"> (RMA calls equity ‘worth’) </w:t>
      </w:r>
    </w:p>
    <w:p w:rsidR="00000000" w:rsidDel="00000000" w:rsidP="00000000" w:rsidRDefault="00000000" w:rsidRPr="00000000" w14:paraId="00000021">
      <w:pPr>
        <w:numPr>
          <w:ilvl w:val="1"/>
          <w:numId w:val="3"/>
        </w:numPr>
        <w:spacing w:after="0" w:afterAutospacing="0" w:line="480" w:lineRule="auto"/>
        <w:ind w:left="1440" w:hanging="360"/>
        <w:rPr>
          <w:sz w:val="24"/>
          <w:szCs w:val="24"/>
        </w:rPr>
      </w:pPr>
      <w:r w:rsidDel="00000000" w:rsidR="00000000" w:rsidRPr="00000000">
        <w:rPr>
          <w:rFonts w:ascii="Calibri" w:cs="Calibri" w:eastAsia="Calibri" w:hAnsi="Calibri"/>
          <w:sz w:val="24"/>
          <w:szCs w:val="24"/>
          <w:rtl w:val="0"/>
        </w:rPr>
        <w:t xml:space="preserve">1 - 0.38.3 = </w:t>
      </w:r>
      <w:r w:rsidDel="00000000" w:rsidR="00000000" w:rsidRPr="00000000">
        <w:rPr>
          <w:rFonts w:ascii="Calibri" w:cs="Calibri" w:eastAsia="Calibri" w:hAnsi="Calibri"/>
          <w:b w:val="1"/>
          <w:bCs w:val="1"/>
          <w:sz w:val="24"/>
          <w:szCs w:val="24"/>
          <w:rtl w:val="0"/>
        </w:rPr>
        <w:t xml:space="preserve">0.617 or 61.7%</w:t>
      </w:r>
    </w:p>
    <w:p w:rsidR="00000000" w:rsidDel="00000000" w:rsidP="00000000" w:rsidRDefault="00000000" w:rsidRPr="00000000" w14:paraId="00000022">
      <w:pPr>
        <w:numPr>
          <w:ilvl w:val="0"/>
          <w:numId w:val="18"/>
        </w:numPr>
        <w:spacing w:line="48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Equity Multiplier</w:t>
      </w:r>
      <w:r w:rsidDel="00000000" w:rsidR="00000000" w:rsidRPr="00000000">
        <w:rPr>
          <w:rFonts w:ascii="Calibri" w:cs="Calibri" w:eastAsia="Calibri" w:hAnsi="Calibri"/>
          <w:sz w:val="24"/>
          <w:szCs w:val="24"/>
          <w:rtl w:val="0"/>
        </w:rPr>
        <w:t xml:space="preserve"> (TA/TE or TA/Net Worth)</w:t>
      </w:r>
    </w:p>
    <w:p w:rsidR="00000000" w:rsidDel="00000000" w:rsidP="00000000" w:rsidRDefault="00000000" w:rsidRPr="00000000" w14:paraId="00000023">
      <w:pPr>
        <w:numPr>
          <w:ilvl w:val="1"/>
          <w:numId w:val="18"/>
        </w:numPr>
        <w:spacing w:after="0" w:afterAutospacing="0" w:line="480" w:lineRule="auto"/>
        <w:ind w:left="1440" w:hanging="360"/>
        <w:rPr>
          <w:sz w:val="24"/>
          <w:szCs w:val="24"/>
        </w:rPr>
      </w:pPr>
      <w:r w:rsidDel="00000000" w:rsidR="00000000" w:rsidRPr="00000000">
        <w:rPr>
          <w:rFonts w:ascii="Calibri" w:cs="Calibri" w:eastAsia="Calibri" w:hAnsi="Calibri"/>
          <w:sz w:val="24"/>
          <w:szCs w:val="24"/>
          <w:rtl w:val="0"/>
        </w:rPr>
        <w:t xml:space="preserve">100 / 38.3 = </w:t>
      </w:r>
      <w:r w:rsidDel="00000000" w:rsidR="00000000" w:rsidRPr="00000000">
        <w:rPr>
          <w:rFonts w:ascii="Calibri" w:cs="Calibri" w:eastAsia="Calibri" w:hAnsi="Calibri"/>
          <w:b w:val="1"/>
          <w:bCs w:val="1"/>
          <w:sz w:val="24"/>
          <w:szCs w:val="24"/>
          <w:rtl w:val="0"/>
        </w:rPr>
        <w:t xml:space="preserve">2.61</w:t>
      </w:r>
    </w:p>
    <w:p w:rsidR="00000000" w:rsidDel="00000000" w:rsidP="00000000" w:rsidRDefault="00000000" w:rsidRPr="00000000" w14:paraId="00000024">
      <w:pPr>
        <w:numPr>
          <w:ilvl w:val="0"/>
          <w:numId w:val="8"/>
        </w:numPr>
        <w:spacing w:line="48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Total-Asset-Turn-Over </w:t>
      </w:r>
    </w:p>
    <w:p w:rsidR="00000000" w:rsidDel="00000000" w:rsidP="00000000" w:rsidRDefault="00000000" w:rsidRPr="00000000" w14:paraId="00000025">
      <w:pPr>
        <w:numPr>
          <w:ilvl w:val="1"/>
          <w:numId w:val="8"/>
        </w:numPr>
        <w:spacing w:after="0" w:afterAutospacing="0" w:line="48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w:t>
      </w:r>
    </w:p>
    <w:p w:rsidR="00000000" w:rsidDel="00000000" w:rsidP="00000000" w:rsidRDefault="00000000" w:rsidRPr="00000000" w14:paraId="00000026">
      <w:pPr>
        <w:numPr>
          <w:ilvl w:val="0"/>
          <w:numId w:val="13"/>
        </w:numPr>
        <w:spacing w:line="48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Pre-tax Profit Margin</w:t>
      </w:r>
      <w:r w:rsidDel="00000000" w:rsidR="00000000" w:rsidRPr="00000000">
        <w:rPr>
          <w:rFonts w:ascii="Calibri" w:cs="Calibri" w:eastAsia="Calibri" w:hAnsi="Calibri"/>
          <w:sz w:val="24"/>
          <w:szCs w:val="24"/>
          <w:rtl w:val="0"/>
        </w:rPr>
        <w:t xml:space="preserve"> (using earnings before taxes, EBT, rather than net income) </w:t>
      </w:r>
    </w:p>
    <w:p w:rsidR="00000000" w:rsidDel="00000000" w:rsidP="00000000" w:rsidRDefault="00000000" w:rsidRPr="00000000" w14:paraId="00000027">
      <w:pPr>
        <w:numPr>
          <w:ilvl w:val="1"/>
          <w:numId w:val="13"/>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18.1%</w:t>
      </w:r>
    </w:p>
    <w:p w:rsidR="00000000" w:rsidDel="00000000" w:rsidP="00000000" w:rsidRDefault="00000000" w:rsidRPr="00000000" w14:paraId="00000028">
      <w:pPr>
        <w:numPr>
          <w:ilvl w:val="0"/>
          <w:numId w:val="11"/>
        </w:numPr>
        <w:spacing w:line="48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Pre-tax Return-On-Assets </w:t>
      </w:r>
    </w:p>
    <w:p w:rsidR="00000000" w:rsidDel="00000000" w:rsidP="00000000" w:rsidRDefault="00000000" w:rsidRPr="00000000" w14:paraId="00000029">
      <w:pPr>
        <w:numPr>
          <w:ilvl w:val="1"/>
          <w:numId w:val="11"/>
        </w:numPr>
        <w:spacing w:after="0" w:afterAutospacing="0" w:line="48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16.7%</w:t>
      </w:r>
    </w:p>
    <w:p w:rsidR="00000000" w:rsidDel="00000000" w:rsidP="00000000" w:rsidRDefault="00000000" w:rsidRPr="00000000" w14:paraId="0000002A">
      <w:pPr>
        <w:numPr>
          <w:ilvl w:val="0"/>
          <w:numId w:val="5"/>
        </w:numPr>
        <w:spacing w:line="48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Pre-tax Return-On-Equity</w:t>
      </w:r>
    </w:p>
    <w:p w:rsidR="00000000" w:rsidDel="00000000" w:rsidP="00000000" w:rsidRDefault="00000000" w:rsidRPr="00000000" w14:paraId="0000002B">
      <w:pPr>
        <w:numPr>
          <w:ilvl w:val="1"/>
          <w:numId w:val="5"/>
        </w:numPr>
        <w:spacing w:after="200" w:line="48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42.6%</w:t>
      </w:r>
    </w:p>
    <w:p w:rsidR="00000000" w:rsidDel="00000000" w:rsidP="00000000" w:rsidRDefault="00000000" w:rsidRPr="00000000" w14:paraId="0000002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spacing w:before="400" w:lineRule="auto"/>
        <w:rPr>
          <w:rFonts w:ascii="Calibri" w:cs="Calibri" w:eastAsia="Calibri" w:hAnsi="Calibri"/>
          <w:sz w:val="24"/>
          <w:szCs w:val="24"/>
        </w:rPr>
      </w:pPr>
      <w:bookmarkStart w:colFirst="0" w:colLast="0" w:name="_slv9ujvm3o42" w:id="2"/>
      <w:bookmarkEnd w:id="2"/>
      <w:r w:rsidDel="00000000" w:rsidR="00000000" w:rsidRPr="00000000">
        <w:rPr>
          <w:rFonts w:ascii="Calibri" w:cs="Calibri" w:eastAsia="Calibri" w:hAnsi="Calibri"/>
          <w:sz w:val="24"/>
          <w:szCs w:val="24"/>
          <w:rtl w:val="0"/>
        </w:rPr>
        <w:t xml:space="preserve">Comparative Analysis</w:t>
      </w:r>
    </w:p>
    <w:p w:rsidR="00000000" w:rsidDel="00000000" w:rsidP="00000000" w:rsidRDefault="00000000" w:rsidRPr="00000000" w14:paraId="00000037">
      <w:pPr>
        <w:rPr>
          <w:rFonts w:ascii="Calibri" w:cs="Calibri" w:eastAsia="Calibri" w:hAnsi="Calibri"/>
          <w:b w:val="1"/>
          <w:bCs w:val="1"/>
          <w:sz w:val="24"/>
          <w:szCs w:val="24"/>
        </w:rPr>
      </w:pPr>
      <w:r w:rsidDel="00000000" w:rsidR="00000000" w:rsidRPr="00000000">
        <w:rPr>
          <w:rtl w:val="0"/>
        </w:rPr>
      </w:r>
    </w:p>
    <w:tbl>
      <w:tblPr>
        <w:tblStyle w:val="Table1"/>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470"/>
        <w:gridCol w:w="1860"/>
        <w:gridCol w:w="1560"/>
        <w:gridCol w:w="2160"/>
        <w:tblGridChange w:id="0">
          <w:tblGrid>
            <w:gridCol w:w="2250"/>
            <w:gridCol w:w="1470"/>
            <w:gridCol w:w="1860"/>
            <w:gridCol w:w="1560"/>
            <w:gridCol w:w="2160"/>
          </w:tblGrid>
        </w:tblGridChange>
      </w:tblGrid>
      <w:tr>
        <w:trPr>
          <w:cantSplit w:val="0"/>
          <w:tblHeader w:val="0"/>
        </w:trPr>
        <w:tc>
          <w:tcPr/>
          <w:p w:rsidR="00000000" w:rsidDel="00000000" w:rsidP="00000000" w:rsidRDefault="00000000" w:rsidRPr="00000000" w14:paraId="0000003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Metric</w:t>
            </w:r>
          </w:p>
        </w:tc>
        <w:tc>
          <w:tcPr/>
          <w:p w:rsidR="00000000" w:rsidDel="00000000" w:rsidP="00000000" w:rsidRDefault="00000000" w:rsidRPr="00000000" w14:paraId="0000003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w:t>
            </w:r>
          </w:p>
        </w:tc>
        <w:tc>
          <w:tcPr/>
          <w:p w:rsidR="00000000" w:rsidDel="00000000" w:rsidP="00000000" w:rsidRDefault="00000000" w:rsidRPr="00000000" w14:paraId="0000003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RMA Benchmark</w:t>
            </w:r>
          </w:p>
        </w:tc>
        <w:tc>
          <w:tcPr/>
          <w:p w:rsidR="00000000" w:rsidDel="00000000" w:rsidP="00000000" w:rsidRDefault="00000000" w:rsidRPr="00000000" w14:paraId="0000003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Difference</w:t>
            </w:r>
          </w:p>
        </w:tc>
        <w:tc>
          <w:tcPr/>
          <w:p w:rsidR="00000000" w:rsidDel="00000000" w:rsidP="00000000" w:rsidRDefault="00000000" w:rsidRPr="00000000" w14:paraId="0000003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Assesment</w:t>
            </w:r>
          </w:p>
        </w:tc>
      </w:tr>
      <w:tr>
        <w:trPr>
          <w:cantSplit w:val="0"/>
          <w:tblHeader w:val="0"/>
        </w:trPr>
        <w:tc>
          <w:tcPr/>
          <w:p w:rsidR="00000000" w:rsidDel="00000000" w:rsidP="00000000" w:rsidRDefault="00000000" w:rsidRPr="00000000" w14:paraId="0000003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Ratio</w:t>
            </w:r>
          </w:p>
        </w:tc>
        <w:tc>
          <w:tcPr/>
          <w:p w:rsidR="00000000" w:rsidDel="00000000" w:rsidP="00000000" w:rsidRDefault="00000000" w:rsidRPr="00000000" w14:paraId="0000003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1.26</w:t>
            </w:r>
          </w:p>
        </w:tc>
        <w:tc>
          <w:tcPr/>
          <w:p w:rsidR="00000000" w:rsidDel="00000000" w:rsidP="00000000" w:rsidRDefault="00000000" w:rsidRPr="00000000" w14:paraId="0000003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p w:rsidR="00000000" w:rsidDel="00000000" w:rsidP="00000000" w:rsidRDefault="00000000" w:rsidRPr="00000000" w14:paraId="0000004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-1.04</w:t>
            </w:r>
          </w:p>
        </w:tc>
        <w:tc>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Benchmark</w:t>
            </w:r>
          </w:p>
        </w:tc>
      </w:tr>
      <w:tr>
        <w:trPr>
          <w:cantSplit w:val="0"/>
          <w:tblHeader w:val="0"/>
        </w:trPr>
        <w:tc>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Debt Ratio</w:t>
            </w:r>
          </w:p>
        </w:tc>
        <w:tc>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0.76</w:t>
            </w:r>
          </w:p>
        </w:tc>
        <w:tc>
          <w:tcPr/>
          <w:p w:rsidR="00000000" w:rsidDel="00000000" w:rsidP="00000000" w:rsidRDefault="00000000" w:rsidRPr="00000000" w14:paraId="0000004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0.61</w:t>
            </w:r>
          </w:p>
        </w:tc>
        <w:tc>
          <w:tcPr/>
          <w:p w:rsidR="00000000" w:rsidDel="00000000" w:rsidP="00000000" w:rsidRDefault="00000000" w:rsidRPr="00000000" w14:paraId="0000004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0.15</w:t>
            </w:r>
          </w:p>
        </w:tc>
        <w:tc>
          <w:tcPr/>
          <w:p w:rsidR="00000000" w:rsidDel="00000000" w:rsidP="00000000" w:rsidRDefault="00000000" w:rsidRPr="00000000" w14:paraId="0000004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Higher Leverage</w:t>
            </w:r>
          </w:p>
        </w:tc>
      </w:tr>
      <w:tr>
        <w:trPr>
          <w:cantSplit w:val="0"/>
          <w:tblHeader w:val="0"/>
        </w:trPr>
        <w:tc>
          <w:tcPr/>
          <w:p w:rsidR="00000000" w:rsidDel="00000000" w:rsidP="00000000" w:rsidRDefault="00000000" w:rsidRPr="00000000" w14:paraId="0000004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Equity Multiplier</w:t>
            </w:r>
          </w:p>
        </w:tc>
        <w:tc>
          <w:tcPr/>
          <w:p w:rsidR="00000000" w:rsidDel="00000000" w:rsidP="00000000" w:rsidRDefault="00000000" w:rsidRPr="00000000" w14:paraId="0000004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4.17</w:t>
            </w:r>
          </w:p>
        </w:tc>
        <w:tc>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2.61</w:t>
            </w:r>
          </w:p>
        </w:tc>
        <w:tc>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w:t>
            </w:r>
          </w:p>
        </w:tc>
        <w:tc>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Higher Leverage</w:t>
            </w:r>
          </w:p>
        </w:tc>
      </w:tr>
      <w:tr>
        <w:trPr>
          <w:cantSplit w:val="0"/>
          <w:tblHeader w:val="0"/>
        </w:trPr>
        <w:tc>
          <w:tcPr/>
          <w:p w:rsidR="00000000" w:rsidDel="00000000" w:rsidP="00000000" w:rsidRDefault="00000000" w:rsidRPr="00000000" w14:paraId="0000004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Asset Turnover</w:t>
            </w:r>
          </w:p>
        </w:tc>
        <w:tc>
          <w:tcPr/>
          <w:p w:rsidR="00000000" w:rsidDel="00000000" w:rsidP="00000000" w:rsidRDefault="00000000" w:rsidRPr="00000000" w14:paraId="0000004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0.117</w:t>
            </w:r>
          </w:p>
        </w:tc>
        <w:tc>
          <w:tcPr/>
          <w:p w:rsidR="00000000" w:rsidDel="00000000" w:rsidP="00000000" w:rsidRDefault="00000000" w:rsidRPr="00000000" w14:paraId="0000004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-1.583</w:t>
            </w:r>
          </w:p>
        </w:tc>
        <w:tc>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Benchmark</w:t>
            </w:r>
          </w:p>
        </w:tc>
      </w:tr>
      <w:tr>
        <w:trPr>
          <w:cantSplit w:val="0"/>
          <w:tblHeader w:val="0"/>
        </w:trPr>
        <w:tc>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Pre-tax Profit Margin</w:t>
            </w:r>
          </w:p>
        </w:tc>
        <w:tc>
          <w:tcPr/>
          <w:p w:rsidR="00000000" w:rsidDel="00000000" w:rsidP="00000000" w:rsidRDefault="00000000" w:rsidRPr="00000000" w14:paraId="0000005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47.13%</w:t>
            </w:r>
          </w:p>
        </w:tc>
        <w:tc>
          <w:tcPr/>
          <w:p w:rsidR="00000000" w:rsidDel="00000000" w:rsidP="00000000" w:rsidRDefault="00000000" w:rsidRPr="00000000" w14:paraId="0000005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18.1%</w:t>
            </w:r>
          </w:p>
        </w:tc>
        <w:tc>
          <w:tcPr/>
          <w:p w:rsidR="00000000" w:rsidDel="00000000" w:rsidP="00000000" w:rsidRDefault="00000000" w:rsidRPr="00000000" w14:paraId="0000005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29.03%</w:t>
            </w:r>
          </w:p>
        </w:tc>
        <w:tc>
          <w:tcPr/>
          <w:p w:rsidR="00000000" w:rsidDel="00000000" w:rsidP="00000000" w:rsidRDefault="00000000" w:rsidRPr="00000000" w14:paraId="0000005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Strong</w:t>
            </w:r>
          </w:p>
        </w:tc>
      </w:tr>
      <w:tr>
        <w:trPr>
          <w:cantSplit w:val="0"/>
          <w:tblHeader w:val="0"/>
        </w:trPr>
        <w:tc>
          <w:tcPr/>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Pre-tax ROA</w:t>
            </w:r>
          </w:p>
        </w:tc>
        <w:tc>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5.53%</w:t>
            </w:r>
          </w:p>
        </w:tc>
        <w:tc>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16.7%</w:t>
            </w:r>
          </w:p>
        </w:tc>
        <w:tc>
          <w:tcPr/>
          <w:p w:rsidR="00000000" w:rsidDel="00000000" w:rsidP="00000000" w:rsidRDefault="00000000" w:rsidRPr="00000000" w14:paraId="0000005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-11.17%</w:t>
            </w:r>
          </w:p>
        </w:tc>
        <w:tc>
          <w:tcPr/>
          <w:p w:rsidR="00000000" w:rsidDel="00000000" w:rsidP="00000000" w:rsidRDefault="00000000" w:rsidRPr="00000000" w14:paraId="0000005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Benchmark</w:t>
            </w:r>
          </w:p>
        </w:tc>
      </w:tr>
      <w:tr>
        <w:trPr>
          <w:cantSplit w:val="0"/>
          <w:trHeight w:val="495.9375" w:hRule="atLeast"/>
          <w:tblHeader w:val="0"/>
        </w:trPr>
        <w:tc>
          <w:tcPr/>
          <w:p w:rsidR="00000000" w:rsidDel="00000000" w:rsidP="00000000" w:rsidRDefault="00000000" w:rsidRPr="00000000" w14:paraId="0000005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Pre-tax ROE</w:t>
            </w:r>
          </w:p>
        </w:tc>
        <w:tc>
          <w:tcPr/>
          <w:p w:rsidR="00000000" w:rsidDel="00000000" w:rsidP="00000000" w:rsidRDefault="00000000" w:rsidRPr="00000000" w14:paraId="0000005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23.04%</w:t>
            </w:r>
          </w:p>
        </w:tc>
        <w:tc>
          <w:tcPr/>
          <w:p w:rsidR="00000000" w:rsidDel="00000000" w:rsidP="00000000" w:rsidRDefault="00000000" w:rsidRPr="00000000" w14:paraId="0000005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42.6%</w:t>
            </w:r>
          </w:p>
        </w:tc>
        <w:tc>
          <w:tcPr/>
          <w:p w:rsidR="00000000" w:rsidDel="00000000" w:rsidP="00000000" w:rsidRDefault="00000000" w:rsidRPr="00000000" w14:paraId="0000005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-19.56%</w:t>
            </w:r>
          </w:p>
        </w:tc>
        <w:tc>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Benchmark</w:t>
            </w:r>
          </w:p>
        </w:tc>
      </w:tr>
    </w:tbl>
    <w:p w:rsidR="00000000" w:rsidDel="00000000" w:rsidP="00000000" w:rsidRDefault="00000000" w:rsidRPr="00000000" w14:paraId="00000060">
      <w:pPr>
        <w:pStyle w:val="Heading1"/>
        <w:spacing w:before="0" w:lineRule="auto"/>
        <w:rPr>
          <w:rFonts w:ascii="Calibri" w:cs="Calibri" w:eastAsia="Calibri" w:hAnsi="Calibri"/>
          <w:sz w:val="24"/>
          <w:szCs w:val="24"/>
        </w:rPr>
      </w:pPr>
      <w:bookmarkStart w:colFirst="0" w:colLast="0" w:name="_kwkuosls03q0" w:id="3"/>
      <w:bookmarkEnd w:id="3"/>
      <w:r w:rsidDel="00000000" w:rsidR="00000000" w:rsidRPr="00000000">
        <w:rPr>
          <w:rtl w:val="0"/>
        </w:rPr>
      </w:r>
    </w:p>
    <w:p w:rsidR="00000000" w:rsidDel="00000000" w:rsidP="00000000" w:rsidRDefault="00000000" w:rsidRPr="00000000" w14:paraId="00000061">
      <w:pPr>
        <w:pStyle w:val="Heading1"/>
        <w:spacing w:before="0" w:lineRule="auto"/>
        <w:rPr>
          <w:rFonts w:ascii="Calibri" w:cs="Calibri" w:eastAsia="Calibri" w:hAnsi="Calibri"/>
          <w:sz w:val="24"/>
          <w:szCs w:val="24"/>
        </w:rPr>
      </w:pPr>
      <w:bookmarkStart w:colFirst="0" w:colLast="0" w:name="_nm55m9dtngcg" w:id="4"/>
      <w:bookmarkEnd w:id="4"/>
      <w:r w:rsidDel="00000000" w:rsidR="00000000" w:rsidRPr="00000000">
        <w:rPr>
          <w:rFonts w:ascii="Calibri" w:cs="Calibri" w:eastAsia="Calibri" w:hAnsi="Calibri"/>
          <w:sz w:val="24"/>
          <w:szCs w:val="24"/>
          <w:rtl w:val="0"/>
        </w:rPr>
        <w:t xml:space="preserve">Interpretations</w:t>
      </w:r>
    </w:p>
    <w:p w:rsidR="00000000" w:rsidDel="00000000" w:rsidP="00000000" w:rsidRDefault="00000000" w:rsidRPr="00000000" w14:paraId="00000062">
      <w:pPr>
        <w:numPr>
          <w:ilvl w:val="0"/>
          <w:numId w:val="16"/>
        </w:numPr>
        <w:ind w:left="720" w:hanging="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Liquidity</w:t>
      </w:r>
    </w:p>
    <w:p w:rsidR="00000000" w:rsidDel="00000000" w:rsidP="00000000" w:rsidRDefault="00000000" w:rsidRPr="00000000" w14:paraId="00000063">
      <w:pPr>
        <w:numPr>
          <w:ilvl w:val="1"/>
          <w:numId w:val="16"/>
        </w:numPr>
        <w:spacing w:after="0" w:after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Robinhood’s liquidity metrics are lower than the industry benchmark (1.26 current ratio compared to 2.3 industry benchmark). However, a current ratio of 1.26 still indicates that Robinhood’s current assets exceed current liabilities, meaning the company can cover its short-term obligations.</w:t>
      </w:r>
    </w:p>
    <w:p w:rsidR="00000000" w:rsidDel="00000000" w:rsidP="00000000" w:rsidRDefault="00000000" w:rsidRPr="00000000" w14:paraId="00000064">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Efficiency in the use of assets</w:t>
      </w:r>
    </w:p>
    <w:p w:rsidR="00000000" w:rsidDel="00000000" w:rsidP="00000000" w:rsidRDefault="00000000" w:rsidRPr="00000000" w14:paraId="00000065">
      <w:pPr>
        <w:numPr>
          <w:ilvl w:val="1"/>
          <w:numId w:val="16"/>
        </w:numPr>
        <w:spacing w:after="0" w:after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 is less efficient in using its assets compared to the industry benchmark. A total asset turnover of 0.117 indicates that Robinhood generates about $0.12 in sales for every $1.00 of total assets, while the industry benchmark of 1.7 indicates similar companies generate $1.70 in sales for every $1.00 of assets.</w:t>
      </w:r>
    </w:p>
    <w:p w:rsidR="00000000" w:rsidDel="00000000" w:rsidP="00000000" w:rsidRDefault="00000000" w:rsidRPr="00000000" w14:paraId="00000066">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Degree of financial leverage</w:t>
      </w:r>
    </w:p>
    <w:p w:rsidR="00000000" w:rsidDel="00000000" w:rsidP="00000000" w:rsidRDefault="00000000" w:rsidRPr="00000000" w14:paraId="00000067">
      <w:pPr>
        <w:numPr>
          <w:ilvl w:val="1"/>
          <w:numId w:val="16"/>
        </w:numPr>
        <w:spacing w:after="0" w:after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Robinhood’s debt ratio of 0.76 shows that a larger portion of their assets are financed through liabilities compared to the industry benchmark of 0.61. Robinhood’s equity multiplier supports this with a value of 4.17 compared to the industry benchmark of 2.6, which further shows a greater reliance on liabilities to finance its assets. </w:t>
      </w:r>
    </w:p>
    <w:p w:rsidR="00000000" w:rsidDel="00000000" w:rsidP="00000000" w:rsidRDefault="00000000" w:rsidRPr="00000000" w14:paraId="00000068">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well all expenses are being contained</w:t>
      </w:r>
    </w:p>
    <w:p w:rsidR="00000000" w:rsidDel="00000000" w:rsidP="00000000" w:rsidRDefault="00000000" w:rsidRPr="00000000" w14:paraId="00000069">
      <w:pPr>
        <w:numPr>
          <w:ilvl w:val="1"/>
          <w:numId w:val="16"/>
        </w:numPr>
        <w:spacing w:after="0" w:after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Robinhood’s pre-tax profit margin of 47.13% is significantly higher than the industry benchmark of 18.1%, which demonstrates the effectiveness at which Robinhood handles expenses. Robinhood's pre-tax profit margin of 47.13% shows nearly half of its revenue remains as pre-tax earnings after the expenses reflected in EBT.</w:t>
      </w:r>
    </w:p>
    <w:p w:rsidR="00000000" w:rsidDel="00000000" w:rsidP="00000000" w:rsidRDefault="00000000" w:rsidRPr="00000000" w14:paraId="0000006A">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profitability</w:t>
      </w:r>
    </w:p>
    <w:p w:rsidR="00000000" w:rsidDel="00000000" w:rsidP="00000000" w:rsidRDefault="00000000" w:rsidRPr="00000000" w14:paraId="0000006B">
      <w:pPr>
        <w:numPr>
          <w:ilvl w:val="1"/>
          <w:numId w:val="16"/>
        </w:numPr>
        <w:spacing w:after="20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Robinhood’s pre-tax ROA of 5.53% demonstrates that Robinhood is less efficient at generating earnings from its assets compared to the industry benchmark of 16.7%. Similarly, Robinhood’s pre-tax ROE of 23.04% is short of the 42.6% industry benchmark, meaning Robinhood is generating weaker returns on equity. </w:t>
      </w:r>
    </w:p>
    <w:p w:rsidR="00000000" w:rsidDel="00000000" w:rsidP="00000000" w:rsidRDefault="00000000" w:rsidRPr="00000000" w14:paraId="0000006C">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spacing w:before="200" w:lineRule="auto"/>
        <w:rPr>
          <w:rFonts w:ascii="Calibri" w:cs="Calibri" w:eastAsia="Calibri" w:hAnsi="Calibri"/>
          <w:sz w:val="24"/>
          <w:szCs w:val="24"/>
        </w:rPr>
      </w:pPr>
      <w:bookmarkStart w:colFirst="0" w:colLast="0" w:name="_z3lcozt90o9r" w:id="5"/>
      <w:bookmarkEnd w:id="5"/>
      <w:r w:rsidDel="00000000" w:rsidR="00000000" w:rsidRPr="00000000">
        <w:rPr>
          <w:rtl w:val="0"/>
        </w:rPr>
      </w:r>
    </w:p>
    <w:p w:rsidR="00000000" w:rsidDel="00000000" w:rsidP="00000000" w:rsidRDefault="00000000" w:rsidRPr="00000000" w14:paraId="0000006E">
      <w:pPr>
        <w:pStyle w:val="Heading1"/>
        <w:spacing w:before="200" w:lineRule="auto"/>
        <w:rPr>
          <w:rFonts w:ascii="Calibri" w:cs="Calibri" w:eastAsia="Calibri" w:hAnsi="Calibri"/>
          <w:sz w:val="24"/>
          <w:szCs w:val="24"/>
        </w:rPr>
      </w:pPr>
      <w:bookmarkStart w:colFirst="0" w:colLast="0" w:name="_k43k64dwhd1e" w:id="6"/>
      <w:bookmarkEnd w:id="6"/>
      <w:r w:rsidDel="00000000" w:rsidR="00000000" w:rsidRPr="00000000">
        <w:rPr>
          <w:rFonts w:ascii="Calibri" w:cs="Calibri" w:eastAsia="Calibri" w:hAnsi="Calibri"/>
          <w:sz w:val="24"/>
          <w:szCs w:val="24"/>
          <w:rtl w:val="0"/>
        </w:rPr>
        <w:t xml:space="preserve">Executive Summary</w:t>
      </w:r>
    </w:p>
    <w:p w:rsidR="00000000" w:rsidDel="00000000" w:rsidP="00000000" w:rsidRDefault="00000000" w:rsidRPr="00000000" w14:paraId="0000006F">
      <w:pPr>
        <w:spacing w:after="200" w:before="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 shows strong pre-tax profit margins relative to the industry benchmark but weaker liquidity, asset efficiency, and returns on assets and equity relative to the industry benchmark. Its 47.13% pre-tax profit margin substantially exceeds the 18.1% benchmark, while its 5.53% pre-tax ROA and 23.04% pre-tax ROE are below the industry benchmark. Robinhood also exhibits greater financial leverage, with a 76% debt ratio compared with the 61% industry benchmark. Overall, the analysis suggests that profitability is a strength, while asset utilization, capital structure, and returns generated from the company's asset and equity base represent areas for further evaluation. </w:t>
      </w:r>
    </w:p>
    <w:p w:rsidR="00000000" w:rsidDel="00000000" w:rsidP="00000000" w:rsidRDefault="00000000" w:rsidRPr="00000000" w14:paraId="00000070">
      <w:pPr>
        <w:spacing w:after="200" w:before="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spacing w:after="200" w:before="200" w:lineRule="auto"/>
        <w:rPr>
          <w:rFonts w:ascii="Calibri" w:cs="Calibri" w:eastAsia="Calibri" w:hAnsi="Calibri"/>
          <w:sz w:val="24"/>
          <w:szCs w:val="24"/>
        </w:rPr>
      </w:pPr>
      <w:bookmarkStart w:colFirst="0" w:colLast="0" w:name="_tgjkshrhd3ti" w:id="7"/>
      <w:bookmarkEnd w:id="7"/>
      <w:r w:rsidDel="00000000" w:rsidR="00000000" w:rsidRPr="00000000">
        <w:rPr>
          <w:rFonts w:ascii="Calibri" w:cs="Calibri" w:eastAsia="Calibri" w:hAnsi="Calibri"/>
          <w:sz w:val="24"/>
          <w:szCs w:val="24"/>
          <w:rtl w:val="0"/>
        </w:rPr>
        <w:t xml:space="preserve">Key Takeaways</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Strengths</w:t>
      </w:r>
    </w:p>
    <w:p w:rsidR="00000000" w:rsidDel="00000000" w:rsidP="00000000" w:rsidRDefault="00000000" w:rsidRPr="00000000" w14:paraId="00000074">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Pre-tax profit margin substantially exceeds the industry benchmark.</w:t>
      </w:r>
    </w:p>
    <w:p w:rsidR="00000000" w:rsidDel="00000000" w:rsidP="00000000" w:rsidRDefault="00000000" w:rsidRPr="00000000" w14:paraId="00000075">
      <w:pPr>
        <w:numPr>
          <w:ilvl w:val="0"/>
          <w:numId w:val="6"/>
        </w:numPr>
        <w:spacing w:after="20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assets exceed current liabilities.</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Areas of Concern</w:t>
      </w:r>
    </w:p>
    <w:p w:rsidR="00000000" w:rsidDel="00000000" w:rsidP="00000000" w:rsidRDefault="00000000" w:rsidRPr="00000000" w14:paraId="00000077">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Liquidity is below the industry benchmark.</w:t>
      </w:r>
    </w:p>
    <w:p w:rsidR="00000000" w:rsidDel="00000000" w:rsidP="00000000" w:rsidRDefault="00000000" w:rsidRPr="00000000" w14:paraId="00000078">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Leverage is substantially higher than the benchmark.</w:t>
      </w:r>
    </w:p>
    <w:p w:rsidR="00000000" w:rsidDel="00000000" w:rsidP="00000000" w:rsidRDefault="00000000" w:rsidRPr="00000000" w14:paraId="00000079">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Asset turnover and ROA are considerably below benchmarks.</w:t>
      </w:r>
    </w:p>
    <w:p w:rsidR="00000000" w:rsidDel="00000000" w:rsidP="00000000" w:rsidRDefault="00000000" w:rsidRPr="00000000" w14:paraId="0000007A">
      <w:pPr>
        <w:numPr>
          <w:ilvl w:val="0"/>
          <w:numId w:val="9"/>
        </w:numPr>
        <w:spacing w:after="20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ROE is below the industry benchmark despite relatively high leverage</w:t>
      </w:r>
    </w:p>
    <w:p w:rsidR="00000000" w:rsidDel="00000000" w:rsidP="00000000" w:rsidRDefault="00000000" w:rsidRPr="00000000" w14:paraId="0000007B">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spacing w:before="200" w:lineRule="auto"/>
        <w:rPr>
          <w:rFonts w:ascii="Calibri" w:cs="Calibri" w:eastAsia="Calibri" w:hAnsi="Calibri"/>
          <w:sz w:val="24"/>
          <w:szCs w:val="24"/>
        </w:rPr>
      </w:pPr>
      <w:bookmarkStart w:colFirst="0" w:colLast="0" w:name="_v36opuk9drna" w:id="8"/>
      <w:bookmarkEnd w:id="8"/>
      <w:r w:rsidDel="00000000" w:rsidR="00000000" w:rsidRPr="00000000">
        <w:rPr>
          <w:rFonts w:ascii="Calibri" w:cs="Calibri" w:eastAsia="Calibri" w:hAnsi="Calibri"/>
          <w:sz w:val="24"/>
          <w:szCs w:val="24"/>
          <w:rtl w:val="0"/>
        </w:rPr>
        <w:t xml:space="preserve">Recommendations</w:t>
      </w:r>
    </w:p>
    <w:p w:rsidR="00000000" w:rsidDel="00000000" w:rsidP="00000000" w:rsidRDefault="00000000" w:rsidRPr="00000000" w14:paraId="0000007D">
      <w:pPr>
        <w:numPr>
          <w:ilvl w:val="0"/>
          <w:numId w:val="17"/>
        </w:numP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Given the stark difference in total asset turnover values between Robinhood and the industry benchmark (0.117 and 1.7 respectively), Robinhood could improve asset efficiency by increasing revenue generated from its existing asset base or by improving the productivity of its assets.</w:t>
      </w:r>
    </w:p>
    <w:p w:rsidR="00000000" w:rsidDel="00000000" w:rsidP="00000000" w:rsidRDefault="00000000" w:rsidRPr="00000000" w14:paraId="0000007E">
      <w:pPr>
        <w:numPr>
          <w:ilvl w:val="0"/>
          <w:numId w:val="17"/>
        </w:numP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Robinhood to move closer towards the debt ratio benchmark (reducing their leverage), the company would need to reduce liabilities or increase assets relative to debt) (Robinhood at 0.76 debt ratio compared to industry benchmark of 0.61)</w:t>
      </w:r>
    </w:p>
    <w:p w:rsidR="00000000" w:rsidDel="00000000" w:rsidP="00000000" w:rsidRDefault="00000000" w:rsidRPr="00000000" w14:paraId="0000007F">
      <w:pPr>
        <w:numPr>
          <w:ilvl w:val="0"/>
          <w:numId w:val="17"/>
        </w:numPr>
        <w:spacing w:after="20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Robinhood to improve pre-tax ROA and pre-tax ROE (5.53% and 23.04%) compared to the industry benchmark (16.7% and 42.6%), the company would need to increase earnings or use its assets and equity more efficiently to generate higher returns. </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Style w:val="Title"/>
      <w:spacing w:after="60" w:before="0" w:lineRule="auto"/>
      <w:jc w:val="center"/>
      <w:rPr>
        <w:rFonts w:ascii="Calibri" w:cs="Calibri" w:eastAsia="Calibri" w:hAnsi="Calibri"/>
        <w:b w:val="0"/>
        <w:bCs w:val="0"/>
        <w:sz w:val="24"/>
        <w:szCs w:val="24"/>
      </w:rPr>
    </w:pPr>
    <w:bookmarkStart w:colFirst="0" w:colLast="0" w:name="_31taa6ateii5" w:id="9"/>
    <w:bookmarkEnd w:id="9"/>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Style w:val="Title"/>
      <w:spacing w:after="60" w:before="0" w:lineRule="auto"/>
      <w:jc w:val="center"/>
      <w:rPr>
        <w:rFonts w:ascii="Calibri" w:cs="Calibri" w:eastAsia="Calibri" w:hAnsi="Calibri"/>
        <w:sz w:val="24"/>
        <w:szCs w:val="24"/>
      </w:rPr>
    </w:pPr>
    <w:bookmarkStart w:colFirst="0" w:colLast="0" w:name="_g798vwnw78r4" w:id="10"/>
    <w:bookmarkEnd w:id="10"/>
    <w:r w:rsidDel="00000000" w:rsidR="00000000" w:rsidRPr="00000000">
      <w:rPr>
        <w:rFonts w:ascii="Calibri" w:cs="Calibri" w:eastAsia="Calibri" w:hAnsi="Calibri"/>
        <w:sz w:val="24"/>
        <w:szCs w:val="24"/>
        <w:rtl w:val="0"/>
      </w:rPr>
      <w:t xml:space="preserve">How does Robinhood's financial position compare with industry benchmarks, and what areas of financial performance present the greatest opportunities or risks?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www.census.gov/naics/?input=523150&amp;year=2022&amp;details=523150"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ec.gov/ix?doc=/Archives/edgar/data/0001783879/000178387926000023/hood-20251231.htm"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