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September</w:t>
      </w:r>
      <w:r>
        <w:t xml:space="preserve"> </w:t>
      </w:r>
      <w:r>
        <w:t xml:space="preserve">24,</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show</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including archaeologists,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open source software that is suitable for many kinds of archaeological work. While traditional AI chatbots engage with humans in the form of turn-by-turn conversations on a website that require regular human interaction to complete a task, agents are a very different way to interact with AI. An AI agent can autonomously operate tools directly on our computer to complete multiple steps towards a specific goal without constant human interaction. This article describes how to use agentic AI to reduce the friction associated with many of the typical tasks of the archaeological research process that are done on a computer.</w:t>
      </w:r>
    </w:p>
    <w:p>
      <w:pPr>
        <w:pStyle w:val="BodyText"/>
      </w:pPr>
      <w:r>
        <w:t xml:space="preserve">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connects a LLM to pre-defined instructions and tools that can read files, execute code, or retrieve information. Agents autonomously operate LLMs and various computer tools to pursue a specific goal without the constant human interaction required by a web-based chat . A wide variety of agentic systems have emerged recently,</w:t>
      </w:r>
      <w:r>
        <w:t xml:space="preserve"> </w:t>
      </w:r>
      <w:hyperlink w:anchor="tbl-taxonomies">
        <w:r>
          <w:rPr>
            <w:rStyle w:val="Hyperlink"/>
          </w:rPr>
          <w:t xml:space="preserve">Table 1</w:t>
        </w:r>
      </w:hyperlink>
      <w:r>
        <w:t xml:space="preserve"> </w:t>
      </w:r>
      <w:r>
        <w:t xml:space="preserve">summarises these by increasing autonomy</w:t>
      </w:r>
      <w:r>
        <w:t xml:space="preserve"> </w:t>
      </w:r>
      <w:r>
        <w:t xml:space="preserve">(Haase and Pokutta 2026; Zimmer et al. 2026)</w:t>
      </w:r>
      <w:r>
        <w:t xml:space="preserve">. Our guide focuses on the low-autonomy end of that range: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taxonomies"/>
          <w:p>
            <w:pPr>
              <w:jc w:val="center"/>
            </w:pPr>
            <w:pPr>
              <w:jc w:val="start"/>
              <w:spacing w:before="200"/>
              <w:pStyle w:val="ImageCaption"/>
            </w:pPr>
            <w:r>
              <w:t xml:space="preserve">Table 1: Levels of agentic AI in two recent taxonomies.</w:t>
            </w:r>
          </w:p>
          <w:tbl>
            <w:tblPr>
              <w:tblStyle w:val="Table"/>
              <w:tblW w:type="pct" w:w="5000"/>
              <w:tblLook w:firstRow="1" w:lastRow="0" w:firstColumn="0" w:lastColumn="0" w:noHBand="0" w:noVBand="0" w:val="0020"/>
              <w:jc w:val="start"/>
              <w:tblLayout w:type="fixed"/>
            </w:tblPr>
            <w:tblGrid>
              <w:gridCol w:w="386"/>
              <w:gridCol w:w="3992"/>
              <w:gridCol w:w="3541"/>
            </w:tblGrid>
            <w:tr>
              <w:trPr>
                <w:tblHeader w:val="true"/>
              </w:trPr>
              <w:tc>
                <w:tcPr/>
                <w:p>
                  <w:pPr>
                    <w:pStyle w:val="Compact"/>
                    <w:jc w:val="right"/>
                    <w:jc w:val="center"/>
                  </w:pPr>
                  <w:r>
                    <w:t xml:space="preserve">Level</w:t>
                  </w:r>
                </w:p>
              </w:tc>
              <w:tc>
                <w:tcPr/>
                <w:p>
                  <w:pPr>
                    <w:pStyle w:val="Compact"/>
                    <w:jc w:val="left"/>
                    <w:jc w:val="center"/>
                  </w:pPr>
                  <w:r>
                    <w:t xml:space="preserve">Haase et al. (2026)</w:t>
                  </w:r>
                </w:p>
              </w:tc>
              <w:tc>
                <w:tcPr/>
                <w:p>
                  <w:pPr>
                    <w:pStyle w:val="Compact"/>
                    <w:jc w:val="left"/>
                    <w:jc w:val="center"/>
                  </w:pPr>
                  <w:r>
                    <w:t xml:space="preserve">Zimmer et al. (2026)</w:t>
                  </w:r>
                </w:p>
              </w:tc>
            </w:tr>
            <w:tr>
              <w:tc>
                <w:tcPr/>
                <w:p>
                  <w:pPr>
                    <w:pStyle w:val="Compact"/>
                    <w:jc w:val="right"/>
                    <w:jc w:val="center"/>
                  </w:pPr>
                  <w:r>
                    <w:t xml:space="preserve">1</w:t>
                  </w:r>
                </w:p>
              </w:tc>
              <w:tc>
                <w:tcPr/>
                <w:p>
                  <w:pPr>
                    <w:pStyle w:val="Compact"/>
                    <w:jc w:val="left"/>
                    <w:jc w:val="center"/>
                  </w:pPr>
                  <w:r>
                    <w:t xml:space="preserve">Simple data processing (text classification; data annotation)</w:t>
                  </w:r>
                </w:p>
              </w:tc>
              <w:tc>
                <w:tcPr/>
                <w:p>
                  <w:pPr>
                    <w:pStyle w:val="Compact"/>
                    <w:jc w:val="left"/>
                    <w:jc w:val="center"/>
                  </w:pPr>
                  <w:r>
                    <w:t xml:space="preserve">Classical practice: conventional computational methods</w:t>
                  </w:r>
                </w:p>
              </w:tc>
            </w:tr>
            <w:tr>
              <w:tc>
                <w:tcPr/>
                <w:p>
                  <w:pPr>
                    <w:pStyle w:val="Compact"/>
                    <w:jc w:val="right"/>
                    <w:jc w:val="center"/>
                  </w:pPr>
                  <w:r>
                    <w:t xml:space="preserve">2</w:t>
                  </w:r>
                </w:p>
              </w:tc>
              <w:tc>
                <w:tcPr/>
                <w:p>
                  <w:pPr>
                    <w:pStyle w:val="Compact"/>
                    <w:jc w:val="left"/>
                    <w:jc w:val="center"/>
                  </w:pPr>
                  <w:r>
                    <w:t xml:space="preserve">Enhanced data processing with limited tool use</w:t>
                  </w:r>
                </w:p>
              </w:tc>
              <w:tc>
                <w:tcPr/>
                <w:p>
                  <w:pPr>
                    <w:pStyle w:val="Compact"/>
                    <w:jc w:val="left"/>
                    <w:jc w:val="center"/>
                  </w:pPr>
                  <w:r>
                    <w:t xml:space="preserve">AI as research assistant: interactive code generation</w:t>
                  </w:r>
                </w:p>
              </w:tc>
            </w:tr>
            <w:tr>
              <w:tc>
                <w:tcPr/>
                <w:p>
                  <w:pPr>
                    <w:pStyle w:val="Compact"/>
                    <w:jc w:val="right"/>
                    <w:jc w:val="center"/>
                  </w:pPr>
                  <w:r>
                    <w:t xml:space="preserve">3</w:t>
                  </w:r>
                </w:p>
              </w:tc>
              <w:tc>
                <w:tcPr/>
                <w:p>
                  <w:pPr>
                    <w:pStyle w:val="Compact"/>
                    <w:jc w:val="left"/>
                    <w:jc w:val="center"/>
                  </w:pPr>
                  <w:r>
                    <w:t xml:space="preserve">Single-agent systems with tool access</w:t>
                  </w:r>
                </w:p>
              </w:tc>
              <w:tc>
                <w:tcPr/>
                <w:p>
                  <w:pPr>
                    <w:pStyle w:val="Compact"/>
                    <w:jc w:val="left"/>
                    <w:jc w:val="center"/>
                  </w:pPr>
                  <w:r>
                    <w:t xml:space="preserve">AI as collaborator: autonomous task execution</w:t>
                  </w:r>
                </w:p>
              </w:tc>
            </w:tr>
            <w:tr>
              <w:tc>
                <w:tcPr/>
                <w:p>
                  <w:pPr>
                    <w:pStyle w:val="Compact"/>
                    <w:jc w:val="right"/>
                    <w:jc w:val="center"/>
                  </w:pPr>
                  <w:r>
                    <w:t xml:space="preserve">4</w:t>
                  </w:r>
                </w:p>
              </w:tc>
              <w:tc>
                <w:tcPr/>
                <w:p>
                  <w:pPr>
                    <w:pStyle w:val="Compact"/>
                    <w:jc w:val="left"/>
                    <w:jc w:val="center"/>
                  </w:pPr>
                  <w:r>
                    <w:t xml:space="preserve">Multi-agent systems simulating social dynamics</w:t>
                  </w:r>
                </w:p>
              </w:tc>
              <w:tc>
                <w:tcPr/>
                <w:p>
                  <w:pPr>
                    <w:pStyle w:val="Compact"/>
                    <w:jc w:val="left"/>
                    <w:jc w:val="center"/>
                  </w:pPr>
                  <w:r>
                    <w:t xml:space="preserve">AI as research partner: multi-agent pipelines</w:t>
                  </w:r>
                </w:p>
              </w:tc>
            </w:tr>
            <w:tr>
              <w:tc>
                <w:tcPr/>
                <w:p>
                  <w:pPr>
                    <w:pStyle w:val="Compact"/>
                    <w:jc w:val="right"/>
                    <w:jc w:val="center"/>
                  </w:pPr>
                  <w:r>
                    <w:t xml:space="preserve">5</w:t>
                  </w:r>
                </w:p>
              </w:tc>
              <w:tc>
                <w:tcPr/>
                <w:p>
                  <w:pPr>
                    <w:pStyle w:val="Compact"/>
                    <w:jc w:val="left"/>
                    <w:jc w:val="center"/>
                  </w:pPr>
                  <w:r>
                    <w:t xml:space="preserve">Complex adaptive systems with emergent behaviour</w:t>
                  </w:r>
                </w:p>
              </w:tc>
              <w:tc>
                <w:tcPr/>
                <w:p>
                  <w:pPr>
                    <w:pStyle w:val="Compact"/>
                    <w:jc w:val="left"/>
                    <w:jc w:val="center"/>
                  </w:pPr>
                  <w:r>
                    <w:t xml:space="preserve">(framework not extended to this level)</w:t>
                  </w:r>
                </w:p>
              </w:tc>
            </w:tr>
            <w:tr>
              <w:tc>
                <w:tcPr/>
                <w:p>
                  <w:pPr>
                    <w:pStyle w:val="Compact"/>
                    <w:jc w:val="right"/>
                    <w:jc w:val="center"/>
                  </w:pPr>
                  <w:r>
                    <w:t xml:space="preserve">6</w:t>
                  </w:r>
                </w:p>
              </w:tc>
              <w:tc>
                <w:tcPr/>
                <w:p>
                  <w:pPr>
                    <w:pStyle w:val="Compact"/>
                    <w:jc w:val="left"/>
                    <w:jc w:val="center"/>
                  </w:pPr>
                  <w:r>
                    <w:t xml:space="preserve">Open-ended agentic systems</w:t>
                  </w:r>
                </w:p>
              </w:tc>
              <w:tc>
                <w:tcPr/>
                <w:p>
                  <w:pPr>
                    <w:pStyle w:val="Compact"/>
                    <w:jc w:val="left"/>
                    <w:jc w:val="center"/>
                  </w:pPr>
                  <w:r>
                    <w:t xml:space="preserv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 Zanzotto 2019)</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checks evidence, and can stop or redirect the work.</w:t>
      </w:r>
    </w:p>
    <w:p>
      <w:pPr>
        <w:pStyle w:val="BodyText"/>
      </w:pPr>
      <w:r>
        <w:t xml:space="preserve">A high level of researcher control also necessary to honor our responsibilities toward the communities involved in our work and affected by it. AI-generated perspectives cannot replace community participation</w:t>
      </w:r>
      <w:r>
        <w:t xml:space="preserve"> </w:t>
      </w:r>
      <w:r>
        <w:t xml:space="preserve">(Spillias et al. 2026)</w:t>
      </w:r>
      <w:r>
        <w:t xml:space="preserve">. Where archaeological work requires community consultation or consent, our approval of an agent’s actions does not replace those obligations. Recent guidance on archaeological AI ethics and heritage management provides additional reasons to make those responsibilities explicit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versus human at the helm across eleven dimensions.</w:t>
            </w:r>
          </w:p>
          <w:tbl>
            <w:tblPr>
              <w:tblStyle w:val="Table"/>
              <w:tblW w:type="pct" w:w="5000"/>
              <w:tblLook w:firstRow="1" w:lastRow="0" w:firstColumn="0" w:lastColumn="0" w:noHBand="0" w:noVBand="0" w:val="0020"/>
              <w:jc w:val="start"/>
              <w:tblLayout w:type="fixed"/>
            </w:tblPr>
            <w:tblGrid>
              <w:gridCol w:w="1072"/>
              <w:gridCol w:w="3320"/>
              <w:gridCol w:w="3527"/>
            </w:tblGrid>
            <w:tr>
              <w:trPr>
                <w:tblHeader w:val="true"/>
              </w:trPr>
              <w:tc>
                <w:tcPr/>
                <w:p>
                  <w:pPr>
                    <w:pStyle w:val="Compact"/>
                    <w:jc w:val="left"/>
                    <w:jc w:val="center"/>
                  </w:pPr>
                  <w:r>
                    <w:t xml:space="preserve">Dimension</w:t>
                  </w:r>
                </w:p>
              </w:tc>
              <w:tc>
                <w:tcPr/>
                <w:p>
                  <w:pPr>
                    <w:pStyle w:val="Compact"/>
                    <w:jc w:val="left"/>
                    <w:jc w:val="center"/>
                  </w:pPr>
                  <w:r>
                    <w:t xml:space="preserve">Human.in.the.Loop..HITL.</w:t>
                  </w:r>
                </w:p>
              </w:tc>
              <w:tc>
                <w:tcPr/>
                <w:p>
                  <w:pPr>
                    <w:pStyle w:val="Compact"/>
                    <w:jc w:val="left"/>
                    <w:jc w:val="center"/>
                  </w:pPr>
                  <w:r>
                    <w:t xml:space="preserve">Human.at.the.Helm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ML and RL</w:t>
                  </w:r>
                  <w:r>
                    <w:t xml:space="preserve"> </w:t>
                  </w:r>
                  <w:r>
                    <w:t xml:space="preserve">(Taylor 2023; Zanzotto 2019)</w:t>
                  </w:r>
                </w:p>
              </w:tc>
              <w:tc>
                <w:tcPr/>
                <w:p>
                  <w:pPr>
                    <w:pStyle w:val="Compact"/>
                    <w:jc w:val="left"/>
                    <w:jc w:val="center"/>
                  </w:pPr>
                  <w:r>
                    <w:t xml:space="preserve">Extends meaningful human control to research contexts</w:t>
                  </w:r>
                  <w:r>
                    <w:t xml:space="preserve"> </w:t>
                  </w:r>
                  <w:r>
                    <w:t xml:space="preserve">(Beck and Burri 2024; Jonker et al. 2024)</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r>
                    <w:t xml:space="preserve"> </w:t>
                  </w:r>
                  <w:r>
                    <w:t xml:space="preserve">(Beck and Burri 2024)</w:t>
                  </w:r>
                </w:p>
              </w:tc>
              <w:tc>
                <w:tcPr/>
                <w:p>
                  <w:pPr>
                    <w:pStyle w:val="Compact"/>
                    <w:jc w:val="left"/>
                    <w:jc w:val="center"/>
                  </w:pPr>
                  <w:r>
                    <w:t xml:space="preserve">Aligns with human oversight and control requirements in AI regulation</w:t>
                  </w:r>
                  <w:r>
                    <w:t xml:space="preserve"> </w:t>
                  </w:r>
                  <w:r>
                    <w:t xml:space="preserve">(Beck and Burri 2024; Monakhov 2026)</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r>
                    <w:t xml:space="preserve"> </w:t>
                  </w:r>
                  <w:r>
                    <w:t xml:space="preserve">(Hao et al. 2025)</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their own data with an open source scientific scripting language such as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for data preparation and ggplot2 for visualization</w:t>
      </w:r>
      <w:r>
        <w:t xml:space="preserve"> </w:t>
      </w:r>
      <w:r>
        <w:t xml:space="preserve">(Wickham et al. 2019)</w:t>
      </w:r>
      <w:r>
        <w:t xml:space="preserve">. The here package helps construct project-relative file paths, and the renv records R package dependencies. The Quarto document format is ideal for writing your report, this combines prose and executable code in a document written as a plain-text</w:t>
      </w:r>
      <w:r>
        <w:t xml:space="preserve"> </w:t>
      </w:r>
      <w:r>
        <w:rPr>
          <w:rStyle w:val="VerbatimChar"/>
        </w:rPr>
        <w:t xml:space="preserve">.qmd</w:t>
      </w:r>
      <w:r>
        <w:t xml:space="preserve"> </w:t>
      </w:r>
      <w:r>
        <w:t xml:space="preserve">file</w:t>
      </w:r>
      <w:r>
        <w:t xml:space="preserve"> </w:t>
      </w:r>
      <w:r>
        <w:t xml:space="preserve">(Quarto)</w:t>
      </w:r>
      <w:r>
        <w:t xml:space="preserve">. Quarto is an extension of the Markdown document format, which LLMs read and write very efficiently and accurately, much more so than Word documents and PDFs. We recommend using converters, such as Markitdown, to turn DOCX and PDF files into markdown so agents can efficiently read them. Documents that you want your agent to read and edit should be in Markdown format to improve the agent’s efficiency.</w:t>
      </w:r>
    </w:p>
    <w:p>
      <w:pPr>
        <w:pStyle w:val="BodyText"/>
      </w:pPr>
      <w:r>
        <w:t xml:space="preserve">Git is another free and open source software that specializes in collaboration and recording versions of project files (e.g. text, code, data) so you can inspect changes and retrieve earlier work</w:t>
      </w:r>
      <w:r>
        <w:t xml:space="preserve"> </w:t>
      </w:r>
      <w:r>
        <w:t xml:space="preserve">(Wilson et al. 2014)</w:t>
      </w:r>
      <w:r>
        <w:t xml:space="preserve">. Agents are fluent in Git and efficient at using it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This is a robust system for linking reported results back to the executable analyses that generated them; every machine-generated change is recorded transparently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in</w:t>
      </w:r>
      <w:r>
        <w:t xml:space="preserve"> </w:t>
      </w:r>
      <w:hyperlink w:anchor="sec-tools">
        <w:r>
          <w:rPr>
            <w:rStyle w:val="Hyperlink"/>
          </w:rPr>
          <w:t xml:space="preserve">Section 2</w:t>
        </w:r>
      </w:hyperlink>
      <w:r>
        <w:t xml:space="preser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 GitHub Copilot, OpenAI Codex and OpenCode. We recommend the OpenCode terminal user interface (running in the terminal pane of an integrated development environment such as RStudio or VS Code) because it is free, open source, and not tied to any model vendor</w:t>
      </w:r>
      <w:r>
        <w:t xml:space="preserve">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Four parts of an agent harness and what each one does.</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agent-in-ide</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anticipation of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 LLM can be effective when using a state-of-the-art, reasoning-enabled large frontier model because these are often better at the long-horizon, open-ended, branching tasks involved in drafting a plan</w:t>
      </w:r>
      <w:r>
        <w:t xml:space="preserve"> </w:t>
      </w:r>
      <w:r>
        <w:t xml:space="preserve">(Lu et al. 2026; Zhang et al. 2025)</w:t>
      </w:r>
      <w:r>
        <w:t xml:space="preserve">. However, larger models can be slower, more expensive and resource intensive, so we recommend switching to a smaller model to implement the individual steps of the plan.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w:t>
      </w:r>
      <w:r>
        <w:t xml:space="preserve"> </w:t>
      </w:r>
      <w:r>
        <w:t xml:space="preserve">(Brown, Aitken, et al. 2026; Nejjar et al. 2025)</w:t>
      </w:r>
      <w:r>
        <w:t xml:space="preserve">, so it is essential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protecting restricted data when the model runs remotely.</w:t>
            </w:r>
          </w:p>
          <w:tbl>
            <w:tblPr>
              <w:tblStyle w:val="Table"/>
              <w:tblW w:type="pct" w:w="5000"/>
              <w:tblLook w:firstRow="1" w:lastRow="0" w:firstColumn="0" w:lastColumn="0" w:noHBand="0" w:noVBand="0" w:val="0020"/>
              <w:jc w:val="start"/>
              <w:tblLayout w:type="fixed"/>
            </w:tblPr>
            <w:tblGrid>
              <w:gridCol w:w="564"/>
              <w:gridCol w:w="5316"/>
              <w:gridCol w:w="2039"/>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and format or the code will not transfer</w:t>
                  </w:r>
                </w:p>
              </w:tc>
            </w:tr>
          </w:tbl>
          <w:bookmarkEnd w:id="29"/>
          <w:p/>
        </w:tc>
      </w:tr>
    </w:tbl>
    <w:bookmarkEnd w:id="30"/>
    <w:bookmarkStart w:id="32"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starting R and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 contents is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named in this guide plus the instructions files that govern them. These are open formats so you can work with your agent to write new skills and MCP servers to meet the needs of your specific project.</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MCP servers and skills installed in the author’s OpenCode configuration. Readers can copy-paste this table into their AI agent and ask it to install them for global availability.</w:t>
            </w:r>
          </w:p>
          <w:tbl>
            <w:tblPr>
              <w:tblStyle w:val="Table"/>
              <w:tblW w:type="pct" w:w="5000"/>
              <w:tblLook w:firstRow="1" w:lastRow="0" w:firstColumn="0" w:lastColumn="0" w:noHBand="0" w:noVBand="0" w:val="0020"/>
              <w:jc w:val="start"/>
              <w:tblLayout w:type="fixed"/>
            </w:tblPr>
            <w:tblGrid>
              <w:gridCol w:w="411"/>
              <w:gridCol w:w="855"/>
              <w:gridCol w:w="2977"/>
              <w:gridCol w:w="3674"/>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style verification</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academic-paper-reviewer</w:t>
                  </w:r>
                </w:p>
              </w:tc>
              <w:tc>
                <w:tcPr/>
                <w:p>
                  <w:pPr>
                    <w:pStyle w:val="Compact"/>
                    <w:jc w:val="left"/>
                    <w:jc w:val="center"/>
                  </w:pPr>
                  <w:r>
                    <w:t xml:space="preserve">Simulates independent reviewers plus a devil’s advocate for manuscripts</w:t>
                  </w:r>
                </w:p>
              </w:tc>
              <w:tc>
                <w:tcPr/>
                <w:p>
                  <w:pPr>
                    <w:pStyle w:val="Compact"/>
                    <w:jc w:val="left"/>
                    <w:jc w:val="center"/>
                  </w:pPr>
                  <w:r>
                    <w:t xml:space="preserve">https://github.com/izillionways/academic-research-skills-hermes/blob/main/research/academic-paper-reviewer/SKILL.md</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https://style.tidyverse.org/</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https://github.com/NousResearch/hermes-agent/blob/main/skills/writing/quarto-authoring</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https://github.com/UMN-Choi-Lab/refcheck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Retrieves paper metadata and references and validates manuscript citations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https://github.com/microsoft/markitdown/tree/main/packages/markitdown-mcp</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Queries Semantic Scholar arXiv and Scholar author records</w:t>
                  </w:r>
                </w:p>
              </w:tc>
              <w:tc>
                <w:tcPr/>
                <w:p>
                  <w:pPr>
                    <w:pStyle w:val="Compact"/>
                    <w:jc w:val="left"/>
                    <w:jc w:val="center"/>
                  </w:pPr>
                  <w:r>
                    <w:t xml:space="preserve">https://github.com/amirkiarafiei/open-scholar-peer</w:t>
                  </w:r>
                </w:p>
              </w:tc>
            </w:tr>
          </w:tbl>
          <w:bookmarkEnd w:id="31"/>
          <w:p/>
        </w:tc>
      </w:tr>
    </w:tbl>
    <w:p>
      <w:pPr>
        <w:pStyle w:val="BodyText"/>
      </w:pPr>
      <w:r>
        <w:t xml:space="preserve">As as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We recommend multiple iterations of literature search prompts, adjusting the prompt each time to the steer the model to focus on different areas of the literature</w:t>
      </w:r>
      <w:r>
        <w:t xml:space="preserve"> </w:t>
      </w:r>
      <w:r>
        <w:t xml:space="preserve">(Krishna Moorthy et al. 2026)</w:t>
      </w:r>
      <w:r>
        <w:t xml:space="preserve">. Multiple rounds of verification are also important to ensure the bibliography is free of hallucinated details.</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(Krishna Moorthy et al. 2026)</w:t>
      </w:r>
      <w:r>
        <w:t xml:space="preserve">, though no single model dominates all extraction tasks, so you should test several model-prompt pairings. Before using machine-coded variables, you should define them in detail, compare a AI-collected sample against human coding, and document errors.</w:t>
      </w:r>
      <w:r>
        <w:t xml:space="preserve"> </w:t>
      </w: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When using an AI agent to plan and write code for data analysis, we recommend you:</w:t>
      </w:r>
    </w:p>
    <w:p>
      <w:pPr>
        <w:numPr>
          <w:ilvl w:val="0"/>
          <w:numId w:val="1001"/>
        </w:numPr>
        <w:pStyle w:val="Compact"/>
      </w:pPr>
      <w:r>
        <w:t xml:space="preserve">Write a prompt that is detailed and specific about the study’s context, research question, types of variables and data collection methods</w:t>
      </w:r>
      <w:r>
        <w:t xml:space="preserve"> </w:t>
      </w:r>
      <w:r>
        <w:t xml:space="preserve">(Brown and Spillias 2026)</w:t>
      </w:r>
      <w:r>
        <w:t xml:space="preserve">.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aligns the model with your goals.</w:t>
      </w:r>
    </w:p>
    <w:p>
      <w:pPr>
        <w:numPr>
          <w:ilvl w:val="0"/>
          <w:numId w:val="1001"/>
        </w:numPr>
        <w:pStyle w:val="Compact"/>
      </w:pPr>
      <w:r>
        <w:t xml:space="preserve">Include with the prompt the dataset, a narrative summary of the data or a synthetic version of the data generated by a local LLM. This is another form of context and will improve the quality of the model’s output</w:t>
      </w:r>
      <w:r>
        <w:t xml:space="preserve"> </w:t>
      </w:r>
      <w:r>
        <w:t xml:space="preserve">(Jansen et al. 2025)</w:t>
      </w:r>
      <w:r>
        <w:t xml:space="preserve">.</w:t>
      </w:r>
    </w:p>
    <w:p>
      <w:pPr>
        <w:numPr>
          <w:ilvl w:val="0"/>
          <w:numId w:val="1001"/>
        </w:numPr>
        <w:pStyle w:val="Compact"/>
      </w:pPr>
      <w:r>
        <w:t xml:space="preserve">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Use the agent’s tools to help you get this literature.</w:t>
      </w:r>
    </w:p>
    <w:p>
      <w:pPr>
        <w:numPr>
          <w:ilvl w:val="0"/>
          <w:numId w:val="1001"/>
        </w:numPr>
        <w:pStyle w:val="Compact"/>
      </w:pPr>
      <w:r>
        <w:t xml:space="preserve">Include instructions for the model to evaluate its code for correctness and completeness before stopping. This sets the agent to work in a loop: generate code -&gt; run it -&gt; test it -&gt; fix any errors -&gt; run it again -&gt; test it, etc. until your evaluation criteria have been satisfied. Specifying evaluation criteria and instructing the model to debug itself improves the accuracy of output</w:t>
      </w:r>
      <w:r>
        <w:t xml:space="preserve"> </w:t>
      </w:r>
      <w:r>
        <w:t xml:space="preserve">(Chen et al. 2023)</w:t>
      </w:r>
    </w:p>
    <w:p>
      <w:pPr>
        <w:pStyle w:val="FirstParagraph"/>
      </w:pPr>
      <w:r>
        <w:t xml:space="preserve">Tools that execute code can expose errors for inspection, but automated correction still needs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bookmarkEnd w:id="32"/>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fig-workflow"/>
          <w:p>
            <w:pPr>
              <w:pStyle w:val="Compact"/>
              <w:jc w:val="center"/>
            </w:pPr>
            <w:r>
              <w:drawing>
                <wp:inline>
                  <wp:extent cx="5943600" cy="3566160"/>
                  <wp:effectExtent b="0" l="0" r="0" t="0"/>
                  <wp:docPr descr="" title="" id="34" name="Picture"/>
                  <a:graphic>
                    <a:graphicData uri="http://schemas.openxmlformats.org/drawingml/2006/picture">
                      <pic:pic>
                        <pic:nvPicPr>
                          <pic:cNvPr descr="../figures/fig-workflow.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workflow</w:t>
            </w:r>
          </w:p>
          <w:bookmarkEnd w:id="36"/>
        </w:tc>
      </w:tr>
    </w:tbl>
    <w:p>
      <w:pPr>
        <w:pStyle w:val="BodyText"/>
      </w:pPr>
      <w:r>
        <w:t xml:space="preserve">The paper’s specific contribution is an auditable, researcher-directed workflow for AI-assisted archaeological data analysis</w:t>
      </w:r>
      <w:r>
        <w:t xml:space="preserve"> </w:t>
      </w:r>
      <w:hyperlink w:anchor="fig-workflow">
        <w:r>
          <w:rPr>
            <w:rStyle w:val="Hyperlink"/>
          </w:rPr>
          <w:t xml:space="preserve">Figure 2</w:t>
        </w:r>
      </w:hyperlink>
      <w:r>
        <w:t xml:space="preserve">. It links archaeological competence, project-level permissions, and checkable agent actions in an R-based project so that the approved plan, code, source records, and rendered report remain available for review. The advance in this paper comes from the integration of recently developed agentic AI technologies into a three-practice structure for responsible archaeological analysis. Agentic AI changes the unit of review from a single chatbot response to a sequence of plans, file edits, commands, searches, and generated results.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failures. It can fail to follow instructions, and their scientific reasoning can be flawed</w:t>
      </w:r>
      <w:r>
        <w:t xml:space="preserve"> </w:t>
      </w:r>
      <w:r>
        <w:t xml:space="preserve">(Brown, Aitken, et al. 2026)</w:t>
      </w:r>
      <w:r>
        <w:t xml:space="preserve">. Furthermore, there is some setup up time required to install and configure agentic software, and working with restricted archaeological data requires local-only, non-remote configurations that requires some expertise. Unskilled use of AI can result in it generating plans for analyses that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If archaeology might be similarly transformed, then we urgently need to prepare our students to manage the epistemic risks of heightened vulnerability to illusions of explanatory depth, exploratory breadth, and objectivity</w:t>
      </w:r>
      <w:r>
        <w:t xml:space="preserve"> </w:t>
      </w:r>
      <w:r>
        <w:t xml:space="preserve">(Messeri and Crockett 2024)</w:t>
      </w:r>
      <w:r>
        <w:t xml:space="preserve">.</w:t>
      </w:r>
    </w:p>
    <w:p>
      <w:pPr>
        <w:pStyle w:val="BodyText"/>
      </w:pPr>
      <w:r>
        <w:t xml:space="preserve">In reducing the time needed for routine and repetitive tasks, AI enables us to scale up analytic exploration</w:t>
      </w:r>
      <w:r>
        <w:t xml:space="preserve"> </w:t>
      </w:r>
      <w:r>
        <w:t xml:space="preserve">(Miao et al. 2026)</w:t>
      </w:r>
      <w:r>
        <w:t xml:space="preserve">, and reduces the technical and cognitive burden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No permits were required for the preparation of this manuscript. The author used OpenCode (https://opencode.ai/), an open-source AI harness, and OpenRouter (https://openrouter.ai/) a commercial model provider. AI models used included Nemotron 3.5 Ultra (NVIDIA), Qwen3.8, Muse Spark 1.3 (Meta), GLM-5.3 Flash (Zhipu), and MiMo-V2.5 (Xiaomi). These are all open-weight and open-source models. They were free via openrouter at the time of writing. AI was used to assist with searching for literature, planning, drafting and editing the manuscript and figures, and reference checking. All AI-generated suggestions were reviewed and revised by the author.</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74" w:name="references"/>
    <w:p>
      <w:pPr>
        <w:pStyle w:val="Heading1"/>
      </w:pPr>
      <w:r>
        <w:t xml:space="preserve">References</w:t>
      </w:r>
    </w:p>
    <w:bookmarkStart w:id="172"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4">
        <w:r>
          <w:rPr>
            <w:rStyle w:val="Hyperlink"/>
          </w:rPr>
          <w:t xml:space="preserve">https://doi.org/10.1073/pnas.2314021121</w:t>
        </w:r>
      </w:hyperlink>
      <w:r>
        <w:t xml:space="preserve">.</w:t>
      </w:r>
    </w:p>
    <w:bookmarkEnd w:id="45"/>
    <w:bookmarkStart w:id="47" w:name="ref-BeckBurri2024"/>
    <w:p>
      <w:pPr>
        <w:pStyle w:val="Bibliography"/>
      </w:pPr>
      <w:r>
        <w:t xml:space="preserve">Beck, Juliane, and Thomas Burri. 2024.</w:t>
      </w:r>
      <w:r>
        <w:t xml:space="preserve"> </w:t>
      </w:r>
      <w:hyperlink r:id="rId46">
        <w:r>
          <w:rPr>
            <w:rStyle w:val="Hyperlink"/>
          </w:rPr>
          <w:t xml:space="preserve">From</w:t>
        </w:r>
        <w:r>
          <w:rPr>
            <w:rStyle w:val="Hyperlink"/>
          </w:rPr>
          <w:t xml:space="preserve"> </w:t>
        </w:r>
        <w:r>
          <w:rPr>
            <w:rStyle w:val="Hyperlink"/>
          </w:rPr>
          <w:t xml:space="preserve">“Human Control”</w:t>
        </w:r>
        <w:r>
          <w:rPr>
            <w:rStyle w:val="Hyperlink"/>
          </w:rPr>
          <w:t xml:space="preserve"> </w:t>
        </w:r>
        <w:r>
          <w:rPr>
            <w:rStyle w:val="Hyperlink"/>
          </w:rPr>
          <w:t xml:space="preserve">in International Law to</w:t>
        </w:r>
        <w:r>
          <w:rPr>
            <w:rStyle w:val="Hyperlink"/>
          </w:rPr>
          <w:t xml:space="preserve"> </w:t>
        </w:r>
        <w:r>
          <w:rPr>
            <w:rStyle w:val="Hyperlink"/>
          </w:rPr>
          <w:t xml:space="preserve">“Human Oversight”</w:t>
        </w:r>
        <w:r>
          <w:rPr>
            <w:rStyle w:val="Hyperlink"/>
          </w:rPr>
          <w:t xml:space="preserve"> </w:t>
        </w:r>
        <w:r>
          <w:rPr>
            <w:rStyle w:val="Hyperlink"/>
          </w:rPr>
          <w:t xml:space="preserve">in the New</w:t>
        </w:r>
        <w:r>
          <w:rPr>
            <w:rStyle w:val="Hyperlink"/>
          </w:rPr>
          <w:t xml:space="preserve"> </w:t>
        </w:r>
        <w:r>
          <w:rPr>
            <w:rStyle w:val="Hyperlink"/>
          </w:rPr>
          <w:t xml:space="preserve">EU</w:t>
        </w:r>
        <w:r>
          <w:rPr>
            <w:rStyle w:val="Hyperlink"/>
          </w:rPr>
          <w:t xml:space="preserve"> </w:t>
        </w:r>
        <w:r>
          <w:rPr>
            <w:rStyle w:val="Hyperlink"/>
          </w:rPr>
          <w:t xml:space="preserve">Act on Artificial Intelligence</w:t>
        </w:r>
      </w:hyperlink>
      <w:r>
        <w:t xml:space="preserve">. In</w:t>
      </w:r>
      <w:r>
        <w:t xml:space="preserve"> </w:t>
      </w:r>
      <w:r>
        <w:rPr>
          <w:iCs/>
          <w:i/>
        </w:rPr>
        <w:t xml:space="preserve">Research Handbook on Meaningful Human Control of Artificial Intelligence Systems</w:t>
      </w:r>
      <w:r>
        <w:t xml:space="preserve">, pp. 104–130. Edward Elgar Publishing.</w:t>
      </w:r>
    </w:p>
    <w:bookmarkEnd w:id="47"/>
    <w:bookmarkStart w:id="49"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48">
        <w:r>
          <w:rPr>
            <w:rStyle w:val="Hyperlink"/>
          </w:rPr>
          <w:t xml:space="preserve">https://doi.org/10.1073/pnas.2606495123</w:t>
        </w:r>
      </w:hyperlink>
      <w:r>
        <w:t xml:space="preserve">.</w:t>
      </w:r>
    </w:p>
    <w:bookmarkEnd w:id="49"/>
    <w:bookmarkStart w:id="51" w:name="ref-Bischoff2026LargeLanguageModels"/>
    <w:p>
      <w:pPr>
        <w:pStyle w:val="Bibliography"/>
      </w:pPr>
      <w:r>
        <w:t xml:space="preserve">Bischoff, Robert J. 2026. Large Language Models in Archaeological Practice: Efficacy, Ethics, Risks, and Governance.</w:t>
      </w:r>
      <w:r>
        <w:t xml:space="preserve"> </w:t>
      </w:r>
      <w:r>
        <w:rPr>
          <w:iCs/>
          <w:i/>
        </w:rPr>
        <w:t xml:space="preserve">SocArXiv</w:t>
      </w:r>
      <w:r>
        <w:t xml:space="preserve">.</w:t>
      </w:r>
      <w:r>
        <w:t xml:space="preserve"> </w:t>
      </w:r>
      <w:hyperlink r:id="rId50">
        <w:r>
          <w:rPr>
            <w:rStyle w:val="Hyperlink"/>
          </w:rPr>
          <w:t xml:space="preserve">https://doi.org/10.31235/osf.io/azs6r_v1</w:t>
        </w:r>
      </w:hyperlink>
      <w:r>
        <w:t xml:space="preserve">.</w:t>
      </w:r>
    </w:p>
    <w:bookmarkEnd w:id="51"/>
    <w:bookmarkStart w:id="53" w:name="ref-Bridgeford2026"/>
    <w:p>
      <w:pPr>
        <w:pStyle w:val="Bibliography"/>
      </w:pPr>
      <w:r>
        <w:t xml:space="preserve">Bridgeford, Eric W., Iain Campbell, Zijao Chen, Zhicheng Lin, Harrison Ritz, Joachim Vandekerckhove, and Russell A. Poldrack. 2026. Twelve Quick Tips for AI-Assisted Coding in Science.</w:t>
      </w:r>
      <w:r>
        <w:t xml:space="preserve"> </w:t>
      </w:r>
      <w:r>
        <w:rPr>
          <w:iCs/>
          <w:i/>
        </w:rPr>
        <w:t xml:space="preserve">PLOS Computational Biology</w:t>
      </w:r>
      <w:r>
        <w:t xml:space="preserve"> </w:t>
      </w:r>
      <w:r>
        <w:t xml:space="preserve">22(7):e1014428.</w:t>
      </w:r>
      <w:r>
        <w:t xml:space="preserve"> </w:t>
      </w:r>
      <w:hyperlink r:id="rId52">
        <w:r>
          <w:rPr>
            <w:rStyle w:val="Hyperlink"/>
          </w:rPr>
          <w:t xml:space="preserve">https://doi.org/10.1371/journal.pcbi.1014428</w:t>
        </w:r>
      </w:hyperlink>
      <w:r>
        <w:t xml:space="preserve">.</w:t>
      </w:r>
    </w:p>
    <w:bookmarkEnd w:id="53"/>
    <w:bookmarkStart w:id="55"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54">
        <w:r>
          <w:rPr>
            <w:rStyle w:val="Hyperlink"/>
          </w:rPr>
          <w:t xml:space="preserve">https://www.seascapemodels.org/AI-assistants-for-scientific-coding/</w:t>
        </w:r>
      </w:hyperlink>
      <w:r>
        <w:t xml:space="preserve">, accessed September 18, 2026.</w:t>
      </w:r>
    </w:p>
    <w:bookmarkEnd w:id="55"/>
    <w:bookmarkStart w:id="57"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56">
        <w:r>
          <w:rPr>
            <w:rStyle w:val="Hyperlink"/>
          </w:rPr>
          <w:t xml:space="preserve">https://doi.org/10.1111/faf.70079</w:t>
        </w:r>
      </w:hyperlink>
      <w:r>
        <w:t xml:space="preserve">.</w:t>
      </w:r>
    </w:p>
    <w:bookmarkEnd w:id="57"/>
    <w:bookmarkStart w:id="59"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58">
        <w:r>
          <w:rPr>
            <w:rStyle w:val="Hyperlink"/>
          </w:rPr>
          <w:t xml:space="preserve">https://doi.org/10.1111/2041-210x.70267</w:t>
        </w:r>
      </w:hyperlink>
      <w:r>
        <w:t xml:space="preserve">.</w:t>
      </w:r>
    </w:p>
    <w:bookmarkEnd w:id="59"/>
    <w:bookmarkStart w:id="61"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60">
        <w:r>
          <w:rPr>
            <w:rStyle w:val="Hyperlink"/>
          </w:rPr>
          <w:t xml:space="preserve">https://vitaexmachina.substack.com/p/running-local-large-language-models</w:t>
        </w:r>
      </w:hyperlink>
      <w:r>
        <w:t xml:space="preserve">, accessed September 18, 2026.</w:t>
      </w:r>
    </w:p>
    <w:bookmarkEnd w:id="61"/>
    <w:bookmarkStart w:id="63" w:name="ref-Campbell2024"/>
    <w:p>
      <w:pPr>
        <w:pStyle w:val="Bibliography"/>
      </w:pPr>
      <w:r>
        <w:t xml:space="preserve">Campbell, Heather, Thomas Bluck, Ella Curry, Derrick Harris, Billie Pike, and Bethany Wright.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62">
        <w:r>
          <w:rPr>
            <w:rStyle w:val="Hyperlink"/>
          </w:rPr>
          <w:t xml:space="preserve">https://doi.org/10.1111/2041-210X.14396</w:t>
        </w:r>
      </w:hyperlink>
      <w:r>
        <w:t xml:space="preserve">.</w:t>
      </w:r>
    </w:p>
    <w:bookmarkEnd w:id="63"/>
    <w:bookmarkStart w:id="65" w:name="ref-CardarelliRagno2026"/>
    <w:p>
      <w:pPr>
        <w:pStyle w:val="Bibliography"/>
      </w:pPr>
      <w:r>
        <w:t xml:space="preserve">Cardarelli, Lorenzo, and Roberto Ragno. 2026. (Whose Defaults?) Is Artificial Intelligence Reorienting Archaeological Methods?</w:t>
      </w:r>
      <w:r>
        <w:t xml:space="preserve"> </w:t>
      </w:r>
      <w:r>
        <w:rPr>
          <w:iCs/>
          <w:i/>
        </w:rPr>
        <w:t xml:space="preserve">arXiv Preprint arXiv:2609.11198</w:t>
      </w:r>
      <w:r>
        <w:t xml:space="preserve">.</w:t>
      </w:r>
      <w:r>
        <w:t xml:space="preserve"> </w:t>
      </w:r>
      <w:hyperlink r:id="rId64">
        <w:r>
          <w:rPr>
            <w:rStyle w:val="Hyperlink"/>
          </w:rPr>
          <w:t xml:space="preserve">https://doi.org/10.48550/arXiv.2609.11198</w:t>
        </w:r>
      </w:hyperlink>
      <w:r>
        <w:t xml:space="preserve">.</w:t>
      </w:r>
    </w:p>
    <w:bookmarkEnd w:id="65"/>
    <w:bookmarkStart w:id="67"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66">
        <w:r>
          <w:rPr>
            <w:rStyle w:val="Hyperlink"/>
          </w:rPr>
          <w:t xml:space="preserve">https://doi.org/10.48550/arXiv.2304.05128</w:t>
        </w:r>
      </w:hyperlink>
      <w:r>
        <w:t xml:space="preserve">.</w:t>
      </w:r>
    </w:p>
    <w:bookmarkEnd w:id="67"/>
    <w:bookmarkStart w:id="69" w:name="ref-Codreanu2026"/>
    <w:p>
      <w:pPr>
        <w:pStyle w:val="Bibliography"/>
      </w:pPr>
      <w:r>
        <w:t xml:space="preserve">Codreanu, Mihai, Alex Imas, Juan Mateos-Garcia, Evalyne Muiruri, Ana Trišović, Scott Strand, Arthur Turrell,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68">
        <w:r>
          <w:rPr>
            <w:rStyle w:val="Hyperlink"/>
          </w:rPr>
          <w:t xml:space="preserve">https://ai.google/static/documents/AI-in-Science.pdf</w:t>
        </w:r>
      </w:hyperlink>
      <w:r>
        <w:t xml:space="preserve">, accessed September 16, 2026.</w:t>
      </w:r>
    </w:p>
    <w:bookmarkEnd w:id="69"/>
    <w:bookmarkStart w:id="71"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70">
        <w:r>
          <w:rPr>
            <w:rStyle w:val="Hyperlink"/>
          </w:rPr>
          <w:t xml:space="preserve">https://doi.org/10.1111/2041-210X.14325</w:t>
        </w:r>
      </w:hyperlink>
      <w:r>
        <w:t xml:space="preserve">.</w:t>
      </w:r>
    </w:p>
    <w:bookmarkEnd w:id="71"/>
    <w:bookmarkStart w:id="73" w:name="ref-Cootsona_Castillo_Sunseri_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72">
        <w:r>
          <w:rPr>
            <w:rStyle w:val="Hyperlink"/>
          </w:rPr>
          <w:t xml:space="preserve">https://doi.org/10.1017/aap.2026.10173</w:t>
        </w:r>
      </w:hyperlink>
      <w:r>
        <w:t xml:space="preserve">.</w:t>
      </w:r>
    </w:p>
    <w:bookmarkEnd w:id="73"/>
    <w:bookmarkStart w:id="75" w:name="ref-DellAcqua2026"/>
    <w:p>
      <w:pPr>
        <w:pStyle w:val="Bibliography"/>
      </w:pPr>
      <w:r>
        <w:t xml:space="preserve">Dell’Acqua, Fabrizio, Edward McFowland, Ethan Mollick, Hila Lifshitz, Katherine C. Kellogg, Saran Rajendran, Lisa Krayer, François Candelon, and Karim R. Lakhani.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74">
        <w:r>
          <w:rPr>
            <w:rStyle w:val="Hyperlink"/>
          </w:rPr>
          <w:t xml:space="preserve">https://doi.org/10.1287/orsc.2025.21838</w:t>
        </w:r>
      </w:hyperlink>
      <w:r>
        <w:t xml:space="preserve">.</w:t>
      </w:r>
    </w:p>
    <w:bookmarkEnd w:id="75"/>
    <w:bookmarkStart w:id="77"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76">
        <w:r>
          <w:rPr>
            <w:rStyle w:val="Hyperlink"/>
          </w:rPr>
          <w:t xml:space="preserve">https://doi.org/10.1093/jmammal/gyaf082</w:t>
        </w:r>
      </w:hyperlink>
      <w:r>
        <w:t xml:space="preserve">.</w:t>
      </w:r>
    </w:p>
    <w:bookmarkEnd w:id="77"/>
    <w:bookmarkStart w:id="79"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78">
        <w:r>
          <w:rPr>
            <w:rStyle w:val="Hyperlink"/>
          </w:rPr>
          <w:t xml:space="preserve">https://doi.org/10.1007/s12599-023-00834-7</w:t>
        </w:r>
      </w:hyperlink>
      <w:r>
        <w:t xml:space="preserve">.</w:t>
      </w:r>
    </w:p>
    <w:bookmarkEnd w:id="79"/>
    <w:bookmarkStart w:id="81"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80">
        <w:r>
          <w:rPr>
            <w:rStyle w:val="Hyperlink"/>
          </w:rPr>
          <w:t xml:space="preserve">https://doi.org/10.1016/j.culher.2024.11.020</w:t>
        </w:r>
      </w:hyperlink>
      <w:r>
        <w:t xml:space="preserve">.</w:t>
      </w:r>
    </w:p>
    <w:bookmarkEnd w:id="81"/>
    <w:bookmarkStart w:id="83"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82">
        <w:r>
          <w:rPr>
            <w:rStyle w:val="Hyperlink"/>
          </w:rPr>
          <w:t xml:space="preserve">https://doi.org/10.1080/10584609.2023.2290497</w:t>
        </w:r>
      </w:hyperlink>
      <w:r>
        <w:t xml:space="preserve">.</w:t>
      </w:r>
    </w:p>
    <w:bookmarkEnd w:id="83"/>
    <w:bookmarkStart w:id="85"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84">
        <w:r>
          <w:rPr>
            <w:rStyle w:val="Hyperlink"/>
          </w:rPr>
          <w:t xml:space="preserve">https://doi.org/10.1038/s44185-024-00043-9</w:t>
        </w:r>
      </w:hyperlink>
      <w:r>
        <w:t xml:space="preserve">.</w:t>
      </w:r>
    </w:p>
    <w:bookmarkEnd w:id="85"/>
    <w:bookmarkStart w:id="87" w:name="ref-Grossmann2023Transformation"/>
    <w:p>
      <w:pPr>
        <w:pStyle w:val="Bibliography"/>
      </w:pPr>
      <w:r>
        <w:t xml:space="preserve">Grossmann, Igor, Matthew Feinberg, Dawn C. Parker, Nicholas A. Christakis, Philip E. Tetlock, and William A. Cunningham.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86">
        <w:r>
          <w:rPr>
            <w:rStyle w:val="Hyperlink"/>
          </w:rPr>
          <w:t xml:space="preserve">https://doi.org/10.1126/science.adi1778</w:t>
        </w:r>
      </w:hyperlink>
      <w:r>
        <w:t xml:space="preserve">.</w:t>
      </w:r>
    </w:p>
    <w:bookmarkEnd w:id="87"/>
    <w:bookmarkStart w:id="89"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88">
        <w:r>
          <w:rPr>
            <w:rStyle w:val="Hyperlink"/>
          </w:rPr>
          <w:t xml:space="preserve">https://doi.org/10.1057/s41599-026-08832-2</w:t>
        </w:r>
      </w:hyperlink>
      <w:r>
        <w:t xml:space="preserve">.</w:t>
      </w:r>
    </w:p>
    <w:bookmarkEnd w:id="89"/>
    <w:bookmarkStart w:id="91"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90">
        <w:r>
          <w:rPr>
            <w:rStyle w:val="Hyperlink"/>
          </w:rPr>
          <w:t xml:space="preserve">https://doi.org/10.1016/j.sftr.2025.101152</w:t>
        </w:r>
      </w:hyperlink>
      <w:r>
        <w:t xml:space="preserve">.</w:t>
      </w:r>
    </w:p>
    <w:bookmarkEnd w:id="91"/>
    <w:bookmarkStart w:id="93" w:name="ref-Hariri2025"/>
    <w:p>
      <w:pPr>
        <w:pStyle w:val="Bibliography"/>
      </w:pPr>
      <w:r>
        <w:t xml:space="preserve">Hariri, Ali, Stéphane Jean, and Mickaël Baron. 2025.</w:t>
      </w:r>
      <w:r>
        <w:t xml:space="preserve"> </w:t>
      </w:r>
      <w:hyperlink r:id="rId92">
        <w:r>
          <w:rPr>
            <w:rStyle w:val="Hyperlink"/>
          </w:rPr>
          <w:t xml:space="preserve">Towards Automating RDF Extraction for Archaeological Knowledge Graphs with LLMs</w:t>
        </w:r>
      </w:hyperlink>
      <w:r>
        <w:t xml:space="preserve">. In</w:t>
      </w:r>
      <w:r>
        <w:t xml:space="preserve"> </w:t>
      </w:r>
      <w:r>
        <w:rPr>
          <w:iCs/>
          <w:i/>
        </w:rPr>
        <w:t xml:space="preserve">Database and Expert Systems Applications</w:t>
      </w:r>
      <w:r>
        <w:t xml:space="preserve">, pp. 83–97. Lecture Notes in Computer Science. Springer Nature Switzerland.</w:t>
      </w:r>
    </w:p>
    <w:bookmarkEnd w:id="93"/>
    <w:bookmarkStart w:id="95"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94">
        <w:r>
          <w:rPr>
            <w:rStyle w:val="Hyperlink"/>
          </w:rPr>
          <w:t xml:space="preserve">https://doi.org/10.1145/3796519</w:t>
        </w:r>
      </w:hyperlink>
      <w:r>
        <w:t xml:space="preserve">.</w:t>
      </w:r>
    </w:p>
    <w:bookmarkEnd w:id="95"/>
    <w:bookmarkStart w:id="97"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96">
        <w:r>
          <w:rPr>
            <w:rStyle w:val="Hyperlink"/>
          </w:rPr>
          <w:t xml:space="preserve">https://doi.org/10.1371/journal.pone.0317084</w:t>
        </w:r>
      </w:hyperlink>
      <w:r>
        <w:t xml:space="preserve">.</w:t>
      </w:r>
    </w:p>
    <w:bookmarkEnd w:id="97"/>
    <w:bookmarkStart w:id="99"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98">
        <w:r>
          <w:rPr>
            <w:rStyle w:val="Hyperlink"/>
          </w:rPr>
          <w:t xml:space="preserve">https://doi.org/10.1080/00187259.2026.2714301</w:t>
        </w:r>
      </w:hyperlink>
      <w:r>
        <w:t xml:space="preserve">.</w:t>
      </w:r>
    </w:p>
    <w:bookmarkEnd w:id="99"/>
    <w:bookmarkStart w:id="101" w:name="ref-Jonker2024"/>
    <w:p>
      <w:pPr>
        <w:pStyle w:val="Bibliography"/>
      </w:pPr>
      <w:r>
        <w:t xml:space="preserve">Jonker, Catholijn M., Luciano Cavalcante Siebert, and Pradeep K. Murukannaiah. 2024.</w:t>
      </w:r>
      <w:r>
        <w:t xml:space="preserve"> </w:t>
      </w:r>
      <w:hyperlink r:id="rId100">
        <w:r>
          <w:rPr>
            <w:rStyle w:val="Hyperlink"/>
          </w:rPr>
          <w:t xml:space="preserve">Reflective Hybrid Intelligence for Meaningful</w:t>
        </w:r>
        <w:r>
          <w:rPr>
            <w:rStyle w:val="Hyperlink"/>
          </w:rPr>
          <w:t xml:space="preserve"> </w:t>
        </w:r>
        <w:r>
          <w:rPr>
            <w:rStyle w:val="Hyperlink"/>
          </w:rPr>
          <w:t xml:space="preserve">Human Control</w:t>
        </w:r>
        <w:r>
          <w:rPr>
            <w:rStyle w:val="Hyperlink"/>
          </w:rPr>
          <w:t xml:space="preserve"> </w:t>
        </w:r>
        <w:r>
          <w:rPr>
            <w:rStyle w:val="Hyperlink"/>
          </w:rPr>
          <w:t xml:space="preserve">in Decision-Support Systems</w:t>
        </w:r>
      </w:hyperlink>
      <w:r>
        <w:t xml:space="preserve">. In</w:t>
      </w:r>
      <w:r>
        <w:t xml:space="preserve"> </w:t>
      </w:r>
      <w:r>
        <w:rPr>
          <w:iCs/>
          <w:i/>
        </w:rPr>
        <w:t xml:space="preserve">Research Handbook on Meaningful Human Control of Artificial Intelligence Systems</w:t>
      </w:r>
      <w:r>
        <w:t xml:space="preserve">, pp. 188–204. Edward Elgar Publishing.</w:t>
      </w:r>
    </w:p>
    <w:bookmarkEnd w:id="101"/>
    <w:bookmarkStart w:id="103"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(71).</w:t>
      </w:r>
      <w:r>
        <w:t xml:space="preserve"> </w:t>
      </w:r>
      <w:hyperlink r:id="rId102">
        <w:r>
          <w:rPr>
            <w:rStyle w:val="Hyperlink"/>
          </w:rPr>
          <w:t xml:space="preserve">https://doi.org/10.11141/ia.71.15</w:t>
        </w:r>
      </w:hyperlink>
      <w:r>
        <w:t xml:space="preserve">.</w:t>
      </w:r>
    </w:p>
    <w:bookmarkEnd w:id="103"/>
    <w:bookmarkStart w:id="105" w:name="ref-Kim2026Power"/>
    <w:p>
      <w:pPr>
        <w:pStyle w:val="Bibliography"/>
      </w:pPr>
      <w:r>
        <w:t xml:space="preserve">Kim, Hajung, Jia Qi, Zhe Feng, Xiaoya Zhang, Yuting Han, Jinbo He, and Feng Ji.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6(2):1–42.</w:t>
      </w:r>
      <w:r>
        <w:t xml:space="preserve"> </w:t>
      </w:r>
      <w:hyperlink r:id="rId104">
        <w:r>
          <w:rPr>
            <w:rStyle w:val="Hyperlink"/>
          </w:rPr>
          <w:t xml:space="preserve">https://doi.org/10.35566/jbds/jikim</w:t>
        </w:r>
      </w:hyperlink>
      <w:r>
        <w:t xml:space="preserve">.</w:t>
      </w:r>
    </w:p>
    <w:bookmarkEnd w:id="105"/>
    <w:bookmarkStart w:id="107"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06">
        <w:r>
          <w:rPr>
            <w:rStyle w:val="Hyperlink"/>
          </w:rPr>
          <w:t xml:space="preserve">https://doi.org/10.1257/jel.20231736</w:t>
        </w:r>
      </w:hyperlink>
      <w:r>
        <w:t xml:space="preserve">.</w:t>
      </w:r>
    </w:p>
    <w:bookmarkEnd w:id="107"/>
    <w:bookmarkStart w:id="109" w:name="ref-Korinek2025"/>
    <w:p>
      <w:pPr>
        <w:pStyle w:val="Bibliography"/>
      </w:pPr>
      <w:r>
        <w:t xml:space="preserve">Korinek, Anton. 2025.</w:t>
      </w:r>
      <w:r>
        <w:t xml:space="preserve"> </w:t>
      </w:r>
      <w:hyperlink r:id="rId108">
        <w:r>
          <w:rPr>
            <w:rStyle w:val="Hyperlink"/>
            <w:iCs/>
            <w:i/>
          </w:rPr>
          <w:t xml:space="preserve">AI</w:t>
        </w:r>
        <w:r>
          <w:rPr>
            <w:rStyle w:val="Hyperlink"/>
            <w:iCs/>
            <w:i/>
          </w:rPr>
          <w:t xml:space="preserve"> </w:t>
        </w:r>
        <w:r>
          <w:rPr>
            <w:rStyle w:val="Hyperlink"/>
            <w:iCs/>
            <w:i/>
          </w:rPr>
          <w:t xml:space="preserve">Agents for Economic Research</w:t>
        </w:r>
      </w:hyperlink>
      <w:r>
        <w:t xml:space="preserve">. National Bureau of Economic Research.</w:t>
      </w:r>
    </w:p>
    <w:bookmarkEnd w:id="109"/>
    <w:bookmarkStart w:id="111" w:name="ref-Moorthy2026"/>
    <w:p>
      <w:pPr>
        <w:pStyle w:val="Bibliography"/>
      </w:pPr>
      <w:r>
        <w:t xml:space="preserve">Krishna Moorthy, Sruthi M.,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10">
        <w:r>
          <w:rPr>
            <w:rStyle w:val="Hyperlink"/>
          </w:rPr>
          <w:t xml:space="preserve">https://doi.org/10.1111/2041-210x.70403</w:t>
        </w:r>
      </w:hyperlink>
      <w:r>
        <w:t xml:space="preserve">.</w:t>
      </w:r>
    </w:p>
    <w:bookmarkEnd w:id="111"/>
    <w:bookmarkStart w:id="113"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r>
        <w:rPr>
          <w:iCs/>
          <w:i/>
        </w:rPr>
        <w:t xml:space="preserve">arXiv.org</w:t>
      </w:r>
      <w:r>
        <w:t xml:space="preserve">.</w:t>
      </w:r>
      <w:r>
        <w:t xml:space="preserve"> </w:t>
      </w:r>
      <w:hyperlink r:id="rId112">
        <w:r>
          <w:rPr>
            <w:rStyle w:val="Hyperlink"/>
          </w:rPr>
          <w:t xml:space="preserve">https://doi.org/10.48550/arXiv.2505.06120</w:t>
        </w:r>
      </w:hyperlink>
      <w:r>
        <w:t xml:space="preserve">.</w:t>
      </w:r>
    </w:p>
    <w:bookmarkEnd w:id="113"/>
    <w:bookmarkStart w:id="115"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14">
        <w:r>
          <w:rPr>
            <w:rStyle w:val="Hyperlink"/>
          </w:rPr>
          <w:t xml:space="preserve">https://doi.org/10.2196/51584</w:t>
        </w:r>
      </w:hyperlink>
      <w:r>
        <w:t xml:space="preserve">.</w:t>
      </w:r>
    </w:p>
    <w:bookmarkEnd w:id="115"/>
    <w:bookmarkStart w:id="117"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16">
        <w:r>
          <w:rPr>
            <w:rStyle w:val="Hyperlink"/>
          </w:rPr>
          <w:t xml:space="preserve">https://doi.org/10.22582/ta.v14i2.778</w:t>
        </w:r>
      </w:hyperlink>
      <w:r>
        <w:t xml:space="preserve">.</w:t>
      </w:r>
    </w:p>
    <w:bookmarkEnd w:id="117"/>
    <w:bookmarkStart w:id="119" w:name="ref-Lu2026"/>
    <w:p>
      <w:pPr>
        <w:pStyle w:val="Bibliography"/>
      </w:pPr>
      <w:r>
        <w:t xml:space="preserve">Lu, Chris, Cong Lu, Robert Tjarko Lange, Yutaro Yamada, Shengran Hu, Jakob Foerster, David Ha, and Jeff Clune.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18">
        <w:r>
          <w:rPr>
            <w:rStyle w:val="Hyperlink"/>
          </w:rPr>
          <w:t xml:space="preserve">https://doi.org/10.1038/s41586-026-10265-5</w:t>
        </w:r>
      </w:hyperlink>
      <w:r>
        <w:t xml:space="preserve">.</w:t>
      </w:r>
    </w:p>
    <w:bookmarkEnd w:id="119"/>
    <w:bookmarkStart w:id="121"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20">
        <w:r>
          <w:rPr>
            <w:rStyle w:val="Hyperlink"/>
          </w:rPr>
          <w:t xml:space="preserve">https://doi.org/10.1007/s10816-015-9272-9</w:t>
        </w:r>
      </w:hyperlink>
      <w:r>
        <w:t xml:space="preserve">.</w:t>
      </w:r>
    </w:p>
    <w:bookmarkEnd w:id="121"/>
    <w:bookmarkStart w:id="123"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22">
        <w:r>
          <w:rPr>
            <w:rStyle w:val="Hyperlink"/>
          </w:rPr>
          <w:t xml:space="preserve">https://doi.org/10.1038/s41586-024-07146-0</w:t>
        </w:r>
      </w:hyperlink>
      <w:r>
        <w:t xml:space="preserve">.</w:t>
      </w:r>
    </w:p>
    <w:bookmarkEnd w:id="123"/>
    <w:bookmarkStart w:id="125" w:name="ref-Miao2026"/>
    <w:p>
      <w:pPr>
        <w:pStyle w:val="Bibliography"/>
      </w:pPr>
      <w:r>
        <w:t xml:space="preserve">Miao, Jiacheng, Jonathan K. Pritchard, and James Zou. 2026. The Agentic Garden of Forking Paths.</w:t>
      </w:r>
      <w:r>
        <w:t xml:space="preserve"> </w:t>
      </w:r>
      <w:r>
        <w:rPr>
          <w:iCs/>
          <w:i/>
        </w:rPr>
        <w:t xml:space="preserve">arXiv Preprint arXiv:2607.01507</w:t>
      </w:r>
      <w:r>
        <w:t xml:space="preserve">.</w:t>
      </w:r>
      <w:r>
        <w:t xml:space="preserve"> </w:t>
      </w:r>
      <w:hyperlink r:id="rId124">
        <w:r>
          <w:rPr>
            <w:rStyle w:val="Hyperlink"/>
          </w:rPr>
          <w:t xml:space="preserve">https://doi.org/10.48550/arXiv.2607.01507</w:t>
        </w:r>
      </w:hyperlink>
      <w:r>
        <w:t xml:space="preserve">.</w:t>
      </w:r>
    </w:p>
    <w:bookmarkEnd w:id="125"/>
    <w:bookmarkStart w:id="127" w:name="ref-Monakhov2026"/>
    <w:p>
      <w:pPr>
        <w:pStyle w:val="Bibliography"/>
      </w:pPr>
      <w:r>
        <w:t xml:space="preserve">Monakhov, Alexander Yu. 2026.</w:t>
      </w:r>
      <w:r>
        <w:t xml:space="preserve"> </w:t>
      </w:r>
      <w:hyperlink r:id="rId126">
        <w:r>
          <w:rPr>
            <w:rStyle w:val="Hyperlink"/>
          </w:rPr>
          <w:t xml:space="preserve">Governance as Cybernetics: Feedback, Control, and the</w:t>
        </w:r>
        <w:r>
          <w:rPr>
            <w:rStyle w:val="Hyperlink"/>
          </w:rPr>
          <w:t xml:space="preserve"> </w:t>
        </w:r>
        <w:r>
          <w:rPr>
            <w:rStyle w:val="Hyperlink"/>
          </w:rPr>
          <w:t xml:space="preserve">Human at the Helm</w:t>
        </w:r>
        <w:r>
          <w:rPr>
            <w:rStyle w:val="Hyperlink"/>
          </w:rPr>
          <w:t xml:space="preserve"> </w:t>
        </w:r>
        <w:r>
          <w:rPr>
            <w:rStyle w:val="Hyperlink"/>
          </w:rPr>
          <w:t xml:space="preserve">in the Regulation of Artificial Intelligence</w:t>
        </w:r>
      </w:hyperlink>
      <w:r>
        <w:t xml:space="preserve">. Elsevier BV.</w:t>
      </w:r>
    </w:p>
    <w:bookmarkEnd w:id="127"/>
    <w:bookmarkStart w:id="129" w:name="ref-NationalAcademies2026"/>
    <w:p>
      <w:pPr>
        <w:pStyle w:val="Bibliography"/>
      </w:pPr>
      <w:r>
        <w:t xml:space="preserve">National Academies of Sciences, Engineering, and Medicine. 2026.</w:t>
      </w:r>
      <w:r>
        <w:t xml:space="preserve"> </w:t>
      </w:r>
      <w:hyperlink r:id="rId128">
        <w:r>
          <w:rPr>
            <w:rStyle w:val="Hyperlink"/>
            <w:iCs/>
            <w:i/>
          </w:rPr>
          <w:t xml:space="preserve">On Being a Scientist: A Guide to the Responsible and Ethical Conduct of Research: Fourth Edition</w:t>
        </w:r>
      </w:hyperlink>
      <w:r>
        <w:t xml:space="preserve">. The National Academies Press, Washington, DC.</w:t>
      </w:r>
    </w:p>
    <w:bookmarkEnd w:id="129"/>
    <w:bookmarkStart w:id="131"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30">
        <w:r>
          <w:rPr>
            <w:rStyle w:val="Hyperlink"/>
          </w:rPr>
          <w:t xml:space="preserve">https://doi.org/10.1002/smr.2723</w:t>
        </w:r>
      </w:hyperlink>
      <w:r>
        <w:t xml:space="preserve">.</w:t>
      </w:r>
    </w:p>
    <w:bookmarkEnd w:id="131"/>
    <w:bookmarkStart w:id="133"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32">
        <w:r>
          <w:rPr>
            <w:rStyle w:val="Hyperlink"/>
          </w:rPr>
          <w:t xml:space="preserve">https://doi.org/10.1017/chr.2026.10039</w:t>
        </w:r>
      </w:hyperlink>
      <w:r>
        <w:t xml:space="preserve">.</w:t>
      </w:r>
    </w:p>
    <w:bookmarkEnd w:id="133"/>
    <w:bookmarkStart w:id="135" w:name="ref-QuartoDocs2026"/>
    <w:p>
      <w:pPr>
        <w:pStyle w:val="Bibliography"/>
      </w:pPr>
      <w:r>
        <w:t xml:space="preserve">Quarto.</w:t>
      </w:r>
      <w:r>
        <w:t xml:space="preserve"> </w:t>
      </w:r>
      <w:r>
        <w:t xml:space="preserve">Tutorial: Hello, Quarto</w:t>
      </w:r>
      <w:r>
        <w:t xml:space="preserve">.</w:t>
      </w:r>
      <w:r>
        <w:t xml:space="preserve"> </w:t>
      </w:r>
      <w:hyperlink r:id="rId134">
        <w:r>
          <w:rPr>
            <w:rStyle w:val="Hyperlink"/>
          </w:rPr>
          <w:t xml:space="preserve">https://quarto.org/docs/get-started/hello/rstudio.html</w:t>
        </w:r>
      </w:hyperlink>
      <w:r>
        <w:t xml:space="preserve">, accessed September 17, 2026.</w:t>
      </w:r>
    </w:p>
    <w:bookmarkEnd w:id="135"/>
    <w:bookmarkStart w:id="137"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36">
        <w:r>
          <w:rPr>
            <w:rStyle w:val="Hyperlink"/>
          </w:rPr>
          <w:t xml:space="preserve">https://doi.org/10.1111/2041-210X.14341</w:t>
        </w:r>
      </w:hyperlink>
      <w:r>
        <w:t xml:space="preserve">.</w:t>
      </w:r>
    </w:p>
    <w:bookmarkEnd w:id="137"/>
    <w:bookmarkStart w:id="139"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38">
        <w:r>
          <w:rPr>
            <w:rStyle w:val="Hyperlink"/>
          </w:rPr>
          <w:t xml:space="preserve">https://ladal.edu.au/tutorials/llm_privacy/llm_privacy.html</w:t>
        </w:r>
      </w:hyperlink>
      <w:r>
        <w:t xml:space="preserve">, accessed September 18, 2026.</w:t>
      </w:r>
    </w:p>
    <w:bookmarkEnd w:id="139"/>
    <w:bookmarkStart w:id="141"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40">
        <w:r>
          <w:rPr>
            <w:rStyle w:val="Hyperlink"/>
          </w:rPr>
          <w:t xml:space="preserve">https://doi.org/10.1080/20548923.2025.2564519</w:t>
        </w:r>
      </w:hyperlink>
      <w:r>
        <w:t xml:space="preserve">.</w:t>
      </w:r>
    </w:p>
    <w:bookmarkEnd w:id="141"/>
    <w:bookmarkStart w:id="143" w:name="ref-Spillias2025"/>
    <w:p>
      <w:pPr>
        <w:pStyle w:val="Bibliography"/>
      </w:pPr>
      <w:r>
        <w:t xml:space="preserve">Spillias, Scott, Rowan Trebilco, Matthew P. Adams, Fabio Boschetti, Andrew Constable, Piers Dunstan, Simon Ferrier, et al. 2026.</w:t>
      </w:r>
      <w:r>
        <w:t xml:space="preserve"> </w:t>
      </w:r>
      <w:r>
        <w:t xml:space="preserve">The Future of Artificial Intelligence in Ecosystem Modeling</w:t>
      </w:r>
      <w:r>
        <w:t xml:space="preserve">.</w:t>
      </w:r>
      <w:r>
        <w:t xml:space="preserve"> </w:t>
      </w:r>
      <w:r>
        <w:rPr>
          <w:iCs/>
          <w:i/>
        </w:rPr>
        <w:t xml:space="preserve">BioScience</w:t>
      </w:r>
      <w:r>
        <w:t xml:space="preserve"> </w:t>
      </w:r>
      <w:r>
        <w:t xml:space="preserve">76(1):57–70.</w:t>
      </w:r>
      <w:r>
        <w:t xml:space="preserve"> </w:t>
      </w:r>
      <w:hyperlink r:id="rId142">
        <w:r>
          <w:rPr>
            <w:rStyle w:val="Hyperlink"/>
          </w:rPr>
          <w:t xml:space="preserve">https://doi.org/10.1093/biosci/biaf169</w:t>
        </w:r>
      </w:hyperlink>
      <w:r>
        <w:t xml:space="preserve">.</w:t>
      </w:r>
    </w:p>
    <w:bookmarkEnd w:id="143"/>
    <w:bookmarkStart w:id="145" w:name="ref-Taylor2023"/>
    <w:p>
      <w:pPr>
        <w:pStyle w:val="Bibliography"/>
      </w:pPr>
      <w:r>
        <w:t xml:space="preserve">Taylor, Matthew E. 2023.</w:t>
      </w:r>
      <w:r>
        <w:t xml:space="preserve"> </w:t>
      </w:r>
      <w:hyperlink r:id="rId144">
        <w:r>
          <w:rPr>
            <w:rStyle w:val="Hyperlink"/>
          </w:rPr>
          <w:t xml:space="preserve">Reinforcement Learning Requires</w:t>
        </w:r>
        <w:r>
          <w:rPr>
            <w:rStyle w:val="Hyperlink"/>
          </w:rPr>
          <w:t xml:space="preserve"> </w:t>
        </w:r>
        <w:r>
          <w:rPr>
            <w:rStyle w:val="Hyperlink"/>
          </w:rPr>
          <w:t xml:space="preserve">Human-in-the-Loop</w:t>
        </w:r>
        <w:r>
          <w:rPr>
            <w:rStyle w:val="Hyperlink"/>
          </w:rPr>
          <w:t xml:space="preserve"> </w:t>
        </w:r>
        <w:r>
          <w:rPr>
            <w:rStyle w:val="Hyperlink"/>
          </w:rPr>
          <w:t xml:space="preserve">Framing and Approaches</w:t>
        </w:r>
      </w:hyperlink>
      <w:r>
        <w:t xml:space="preserve">. In</w:t>
      </w:r>
      <w:r>
        <w:t xml:space="preserve"> </w:t>
      </w:r>
      <w:r>
        <w:rPr>
          <w:iCs/>
          <w:i/>
        </w:rPr>
        <w:t xml:space="preserve">HHAI 2023: Augmenting Human Intellect</w:t>
      </w:r>
      <w:r>
        <w:t xml:space="preserve">. IOS Press.</w:t>
      </w:r>
    </w:p>
    <w:bookmarkEnd w:id="145"/>
    <w:bookmarkStart w:id="147"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(67).</w:t>
      </w:r>
      <w:r>
        <w:t xml:space="preserve"> </w:t>
      </w:r>
      <w:hyperlink r:id="rId146">
        <w:r>
          <w:rPr>
            <w:rStyle w:val="Hyperlink"/>
          </w:rPr>
          <w:t xml:space="preserve">https://doi.org/10.11141/ia.67.8</w:t>
        </w:r>
      </w:hyperlink>
      <w:r>
        <w:t xml:space="preserve">.</w:t>
      </w:r>
    </w:p>
    <w:bookmarkEnd w:id="147"/>
    <w:bookmarkStart w:id="149" w:name="ref-RoyalSociety2024"/>
    <w:p>
      <w:pPr>
        <w:pStyle w:val="Bibliography"/>
      </w:pPr>
      <w:r>
        <w:t xml:space="preserve">The Royal Society. 2024.</w:t>
      </w:r>
      <w:r>
        <w:t xml:space="preserve"> </w:t>
      </w:r>
      <w:hyperlink r:id="rId148">
        <w:r>
          <w:rPr>
            <w:rStyle w:val="Hyperlink"/>
            <w:iCs/>
            <w:i/>
          </w:rPr>
          <w:t xml:space="preserve">Science</w:t>
        </w:r>
        <w:r>
          <w:rPr>
            <w:rStyle w:val="Hyperlink"/>
            <w:iCs/>
            <w:i/>
          </w:rPr>
          <w:t xml:space="preserve"> </w:t>
        </w:r>
        <w:r>
          <w:rPr>
            <w:rStyle w:val="Hyperlink"/>
            <w:iCs/>
            <w:i/>
          </w:rPr>
          <w:t xml:space="preserve">in the</w:t>
        </w:r>
        <w:r>
          <w:rPr>
            <w:rStyle w:val="Hyperlink"/>
            <w:iCs/>
            <w:i/>
          </w:rPr>
          <w:t xml:space="preserve"> </w:t>
        </w:r>
        <w:r>
          <w:rPr>
            <w:rStyle w:val="Hyperlink"/>
            <w:iCs/>
            <w:i/>
          </w:rPr>
          <w:t xml:space="preserve">Age</w:t>
        </w:r>
        <w:r>
          <w:rPr>
            <w:rStyle w:val="Hyperlink"/>
            <w:iCs/>
            <w:i/>
          </w:rPr>
          <w:t xml:space="preserve"> </w:t>
        </w:r>
        <w:r>
          <w:rPr>
            <w:rStyle w:val="Hyperlink"/>
            <w:iCs/>
            <w:i/>
          </w:rPr>
          <w:t xml:space="preserve">of</w:t>
        </w:r>
        <w:r>
          <w:rPr>
            <w:rStyle w:val="Hyperlink"/>
            <w:iCs/>
            <w:i/>
          </w:rPr>
          <w:t xml:space="preserve"> </w:t>
        </w:r>
        <w:r>
          <w:rPr>
            <w:rStyle w:val="Hyperlink"/>
            <w:iCs/>
            <w:i/>
          </w:rPr>
          <w:t xml:space="preserve">AI</w:t>
        </w:r>
        <w:r>
          <w:rPr>
            <w:rStyle w:val="Hyperlink"/>
            <w:iCs/>
            <w:i/>
          </w:rPr>
          <w:t xml:space="preserve">:</w:t>
        </w:r>
        <w:r>
          <w:rPr>
            <w:rStyle w:val="Hyperlink"/>
            <w:iCs/>
            <w:i/>
          </w:rPr>
          <w:t xml:space="preserve"> </w:t>
        </w:r>
        <w:r>
          <w:rPr>
            <w:rStyle w:val="Hyperlink"/>
            <w:iCs/>
            <w:i/>
          </w:rPr>
          <w:t xml:space="preserve">How</w:t>
        </w:r>
        <w:r>
          <w:rPr>
            <w:rStyle w:val="Hyperlink"/>
            <w:iCs/>
            <w:i/>
          </w:rPr>
          <w:t xml:space="preserve"> </w:t>
        </w:r>
        <w:r>
          <w:rPr>
            <w:rStyle w:val="Hyperlink"/>
            <w:iCs/>
            <w:i/>
          </w:rPr>
          <w:t xml:space="preserve">Artificial Intelligence Is Changing the Nature and Method of Scientific Research</w:t>
        </w:r>
      </w:hyperlink>
      <w:r>
        <w:t xml:space="preserve">. The Royal Society, London.</w:t>
      </w:r>
    </w:p>
    <w:bookmarkEnd w:id="149"/>
    <w:bookmarkStart w:id="151"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w:t>
      </w:r>
      <w:r>
        <w:t xml:space="preserve"> </w:t>
      </w:r>
      <w:hyperlink r:id="rId150">
        <w:r>
          <w:rPr>
            <w:rStyle w:val="Hyperlink"/>
          </w:rPr>
          <w:t xml:space="preserve">https://doi.org/10.1038/s41598-023-41032-5</w:t>
        </w:r>
      </w:hyperlink>
      <w:r>
        <w:t xml:space="preserve">.</w:t>
      </w:r>
    </w:p>
    <w:bookmarkEnd w:id="151"/>
    <w:bookmarkStart w:id="153" w:name="ref-Wickham2019"/>
    <w:p>
      <w:pPr>
        <w:pStyle w:val="Bibliography"/>
      </w:pPr>
      <w:r>
        <w:t xml:space="preserve">Wickham, Hadley, Mara Averick, Jennifer Bryan, Winston Chang, Lucy D’Agostino McGowan, Romain François, Garrett Grolemund,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52">
        <w:r>
          <w:rPr>
            <w:rStyle w:val="Hyperlink"/>
          </w:rPr>
          <w:t xml:space="preserve">https://doi.org/10.21105/joss.01686</w:t>
        </w:r>
      </w:hyperlink>
      <w:r>
        <w:t xml:space="preserve">.</w:t>
      </w:r>
    </w:p>
    <w:bookmarkEnd w:id="153"/>
    <w:bookmarkStart w:id="155" w:name="ref-Wiest2024"/>
    <w:p>
      <w:pPr>
        <w:pStyle w:val="Bibliography"/>
      </w:pPr>
      <w:r>
        <w:t xml:space="preserve">Wiest, Isabella Catharina, Dyke Ferber, Jiefu Zhu, Marko van Treeck, Sonja K. Meyer, Radhika Juglan, Zunamys I. Carrero,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54">
        <w:r>
          <w:rPr>
            <w:rStyle w:val="Hyperlink"/>
          </w:rPr>
          <w:t xml:space="preserve">https://doi.org/10.1038/s41746-024-01233-2</w:t>
        </w:r>
      </w:hyperlink>
      <w:r>
        <w:t xml:space="preserve">.</w:t>
      </w:r>
    </w:p>
    <w:bookmarkEnd w:id="155"/>
    <w:bookmarkStart w:id="157" w:name="ref-Wilson2014"/>
    <w:p>
      <w:pPr>
        <w:pStyle w:val="Bibliography"/>
      </w:pPr>
      <w:r>
        <w:t xml:space="preserve">Wilson, Greg, D. A. Aruliah, C. Titus Brown, Neil P. Chue Hong, Matt Davis, Richard T. Guy, Steven H. D. Haddock, et al. 2014.</w:t>
      </w:r>
      <w:r>
        <w:t xml:space="preserve"> </w:t>
      </w:r>
      <w:r>
        <w:t xml:space="preserve">Best Practices for Scientific Computing</w:t>
      </w:r>
      <w:r>
        <w:t xml:space="preserve">.</w:t>
      </w:r>
      <w:r>
        <w:t xml:space="preserve"> </w:t>
      </w:r>
      <w:r>
        <w:rPr>
          <w:iCs/>
          <w:i/>
        </w:rPr>
        <w:t xml:space="preserve">PLOS Biology</w:t>
      </w:r>
      <w:r>
        <w:t xml:space="preserve"> </w:t>
      </w:r>
      <w:r>
        <w:t xml:space="preserve">12(1):e1001745.</w:t>
      </w:r>
      <w:r>
        <w:t xml:space="preserve"> </w:t>
      </w:r>
      <w:hyperlink r:id="rId156">
        <w:r>
          <w:rPr>
            <w:rStyle w:val="Hyperlink"/>
          </w:rPr>
          <w:t xml:space="preserve">https://doi.org/10.1371/journal.pbio.1001745</w:t>
        </w:r>
      </w:hyperlink>
      <w:r>
        <w:t xml:space="preserve">.</w:t>
      </w:r>
    </w:p>
    <w:bookmarkEnd w:id="157"/>
    <w:bookmarkStart w:id="159"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r>
        <w:rPr>
          <w:iCs/>
          <w:i/>
        </w:rPr>
        <w:t xml:space="preserve">arXiv.org</w:t>
      </w:r>
      <w:r>
        <w:t xml:space="preserve">.</w:t>
      </w:r>
      <w:r>
        <w:t xml:space="preserve"> </w:t>
      </w:r>
      <w:hyperlink r:id="rId158">
        <w:r>
          <w:rPr>
            <w:rStyle w:val="Hyperlink"/>
          </w:rPr>
          <w:t xml:space="preserve">https://doi.org/10.48550/arXiv.2602.12430</w:t>
        </w:r>
      </w:hyperlink>
      <w:r>
        <w:t xml:space="preserve">.</w:t>
      </w:r>
    </w:p>
    <w:bookmarkEnd w:id="159"/>
    <w:bookmarkStart w:id="161" w:name="ref-ZamfirescuPereira2023"/>
    <w:p>
      <w:pPr>
        <w:pStyle w:val="Bibliography"/>
      </w:pPr>
      <w:r>
        <w:t xml:space="preserve">Zamfirescu-Pereira, J. D., Richmond Y. Wong, Bjoern Hartmann, and Qian Yang. 2023.</w:t>
      </w:r>
      <w:r>
        <w:t xml:space="preserve"> </w:t>
      </w:r>
      <w:hyperlink r:id="rId160">
        <w:r>
          <w:rPr>
            <w:rStyle w:val="Hyperlink"/>
          </w:rPr>
          <w:t xml:space="preserve">Why Johnny Can’t Prompt: How Non-AI Experts Try (and Fail) to Design LLM Prompts</w:t>
        </w:r>
      </w:hyperlink>
      <w:r>
        <w:t xml:space="preserve">, New York, NY, USA.</w:t>
      </w:r>
    </w:p>
    <w:bookmarkEnd w:id="161"/>
    <w:bookmarkStart w:id="163" w:name="ref-Zanzotto2019"/>
    <w:p>
      <w:pPr>
        <w:pStyle w:val="Bibliography"/>
      </w:pPr>
      <w:r>
        <w:t xml:space="preserve">Zanzotto, Fabio Massimo. 2019. Viewpoint:</w:t>
      </w:r>
      <w:r>
        <w:t xml:space="preserve"> </w:t>
      </w:r>
      <w:r>
        <w:t xml:space="preserve">Human-in-the-loop Artificial Intelligence</w:t>
      </w:r>
      <w:r>
        <w:t xml:space="preserve">.</w:t>
      </w:r>
      <w:r>
        <w:t xml:space="preserve"> </w:t>
      </w:r>
      <w:r>
        <w:rPr>
          <w:iCs/>
          <w:i/>
        </w:rPr>
        <w:t xml:space="preserve">Journal of Artificial Intelligence Research</w:t>
      </w:r>
      <w:r>
        <w:t xml:space="preserve"> </w:t>
      </w:r>
      <w:r>
        <w:t xml:space="preserve">64:243–252.</w:t>
      </w:r>
      <w:r>
        <w:t xml:space="preserve"> </w:t>
      </w:r>
      <w:hyperlink r:id="rId162">
        <w:r>
          <w:rPr>
            <w:rStyle w:val="Hyperlink"/>
          </w:rPr>
          <w:t xml:space="preserve">https://doi.org/10.1613/jair.1.11345</w:t>
        </w:r>
      </w:hyperlink>
      <w:r>
        <w:t xml:space="preserve">.</w:t>
      </w:r>
    </w:p>
    <w:bookmarkEnd w:id="163"/>
    <w:bookmarkStart w:id="165" w:name="ref-Zhang2025"/>
    <w:p>
      <w:pPr>
        <w:pStyle w:val="Bibliography"/>
      </w:pPr>
      <w:r>
        <w:t xml:space="preserve">Zhang, Yanbo, Sumeer A. Khan, Adnan Mahmud, Huck Yang, Alexander Lavin, Michael Levin, Jeremy Frey, et al. 2025.</w:t>
      </w:r>
      <w:r>
        <w:t xml:space="preserve"> </w:t>
      </w:r>
      <w:r>
        <w:t xml:space="preserve">Exploring the Role of Large Language Models in the Scientific Method: From Hypothesis to Discovery</w:t>
      </w:r>
      <w:r>
        <w:t xml:space="preserve">.</w:t>
      </w:r>
      <w:r>
        <w:t xml:space="preserve"> </w:t>
      </w:r>
      <w:r>
        <w:rPr>
          <w:iCs/>
          <w:i/>
        </w:rPr>
        <w:t xml:space="preserve">Npj Artificial Intelligence</w:t>
      </w:r>
      <w:r>
        <w:t xml:space="preserve"> </w:t>
      </w:r>
      <w:r>
        <w:t xml:space="preserve">1:14.</w:t>
      </w:r>
      <w:r>
        <w:t xml:space="preserve"> </w:t>
      </w:r>
      <w:hyperlink r:id="rId164">
        <w:r>
          <w:rPr>
            <w:rStyle w:val="Hyperlink"/>
          </w:rPr>
          <w:t xml:space="preserve">https://doi.org/10.1038/s44387-025-00019-5</w:t>
        </w:r>
      </w:hyperlink>
      <w:r>
        <w:t xml:space="preserve">.</w:t>
      </w:r>
    </w:p>
    <w:bookmarkEnd w:id="165"/>
    <w:bookmarkStart w:id="167" w:name="ref-Zheng2024"/>
    <w:p>
      <w:pPr>
        <w:pStyle w:val="Bibliography"/>
      </w:pPr>
      <w:r>
        <w:t xml:space="preserve">Zheng, Zibin, Kaiwen Ning, Yanlin Wang, Jingwen Zhang, Dewu Zheng, Mingxi Ye, and Jiachi Chen. 2024. A Survey of Large Language Models for Code: Evolution, Benchmarking, and Future Trends.</w:t>
      </w:r>
      <w:r>
        <w:t xml:space="preserve"> </w:t>
      </w:r>
      <w:r>
        <w:rPr>
          <w:iCs/>
          <w:i/>
        </w:rPr>
        <w:t xml:space="preserve">arXiv Preprint arXiv:2311.10372</w:t>
      </w:r>
      <w:r>
        <w:t xml:space="preserve">.</w:t>
      </w:r>
      <w:r>
        <w:t xml:space="preserve"> </w:t>
      </w:r>
      <w:hyperlink r:id="rId166">
        <w:r>
          <w:rPr>
            <w:rStyle w:val="Hyperlink"/>
          </w:rPr>
          <w:t xml:space="preserve">https://doi.org/10.48550/arXiv.2311.10372</w:t>
        </w:r>
      </w:hyperlink>
      <w:r>
        <w:t xml:space="preserve">.</w:t>
      </w:r>
    </w:p>
    <w:bookmarkEnd w:id="167"/>
    <w:bookmarkStart w:id="169" w:name="ref-Ziems2024"/>
    <w:p>
      <w:pPr>
        <w:pStyle w:val="Bibliography"/>
      </w:pPr>
      <w:r>
        <w:t xml:space="preserve">Ziems, Caleb, William Held, Omar Shaikh, Jiaao Chen, Zhehao Zhang, and Diyi Yang.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68">
        <w:r>
          <w:rPr>
            <w:rStyle w:val="Hyperlink"/>
          </w:rPr>
          <w:t xml:space="preserve">https://doi.org/10.1162/coli_a_00502</w:t>
        </w:r>
      </w:hyperlink>
      <w:r>
        <w:t xml:space="preserve">.</w:t>
      </w:r>
    </w:p>
    <w:bookmarkEnd w:id="169"/>
    <w:bookmarkStart w:id="171"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r>
        <w:rPr>
          <w:iCs/>
          <w:i/>
        </w:rPr>
        <w:t xml:space="preserve">arXiv Preprint arXiv:2603.15914</w:t>
      </w:r>
      <w:r>
        <w:t xml:space="preserve">.</w:t>
      </w:r>
      <w:r>
        <w:t xml:space="preserve"> </w:t>
      </w:r>
      <w:hyperlink r:id="rId170">
        <w:r>
          <w:rPr>
            <w:rStyle w:val="Hyperlink"/>
          </w:rPr>
          <w:t xml:space="preserve">https://doi.org/10.48550/arXiv.2603.15914</w:t>
        </w:r>
      </w:hyperlink>
      <w:r>
        <w:t xml:space="preserve">.</w:t>
      </w:r>
    </w:p>
    <w:bookmarkEnd w:id="171"/>
    <w:bookmarkEnd w:id="172"/>
    <w:p>
      <w:r>
        <w:br w:type="page"/>
      </w:r>
    </w:p>
    <w:bookmarkStart w:id="173" w:name="colophon"/>
    <w:p>
      <w:pPr>
        <w:pStyle w:val="Heading3"/>
      </w:pPr>
      <w:r>
        <w:t xml:space="preserve">Colophon</w:t>
      </w:r>
    </w:p>
    <w:p>
      <w:pPr>
        <w:pStyle w:val="FirstParagraph"/>
      </w:pPr>
      <w:r>
        <w:t xml:space="preserve">This report was generated on 2026-09-24 11:54:35.515371 using the following computational environment and dependencies:</w:t>
      </w:r>
    </w:p>
    <w:p>
      <w:pPr>
        <w:pStyle w:val="SourceCode"/>
      </w:pPr>
      <w:r>
        <w:rPr>
          <w:rStyle w:val="CommentTok"/>
        </w:rPr>
        <w:t xml:space="preserve"># which R packages and versions?</w:t>
      </w:r>
      <w:r>
        <w:br/>
      </w:r>
      <w:r>
        <w:rPr>
          <w:rStyle w:val="ControlFlowTok"/>
        </w:rPr>
        <w:t xml:space="preserve">if</w:t>
      </w:r>
      <w:r>
        <w:rPr>
          <w:rStyle w:val="NormalTok"/>
        </w:rPr>
        <w:t xml:space="preserve"> (</w:t>
      </w:r>
      <w:r>
        <w:rPr>
          <w:rStyle w:val="StringTok"/>
        </w:rPr>
        <w:t xml:space="preserve">"devtools"</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4.6.1 (2026-06-24)</w:t>
      </w:r>
      <w:r>
        <w:br/>
      </w:r>
      <w:r>
        <w:rPr>
          <w:rStyle w:val="VerbatimChar"/>
        </w:rPr>
        <w:t xml:space="preserve"> os       macOS Ventura 13.3.1</w:t>
      </w:r>
      <w:r>
        <w:br/>
      </w:r>
      <w:r>
        <w:rPr>
          <w:rStyle w:val="VerbatimChar"/>
        </w:rPr>
        <w:t xml:space="preserve"> system   aarch64, darwin23</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America/Los_Angeles</w:t>
      </w:r>
      <w:r>
        <w:br/>
      </w:r>
      <w:r>
        <w:rPr>
          <w:rStyle w:val="VerbatimChar"/>
        </w:rPr>
        <w:t xml:space="preserve"> date     2026-09-24</w:t>
      </w:r>
      <w:r>
        <w:br/>
      </w:r>
      <w:r>
        <w:rPr>
          <w:rStyle w:val="VerbatimChar"/>
        </w:rPr>
        <w:t xml:space="preserve"> pandoc   3.10 @ /Applications/RStudio.app/Contents/Resources/app/quarto/bin/tools/aarch64/ (via rmarkdown)</w:t>
      </w:r>
      <w:r>
        <w:br/>
      </w:r>
      <w:r>
        <w:rPr>
          <w:rStyle w:val="VerbatimChar"/>
        </w:rPr>
        <w:t xml:space="preserve"> quarto   1.4.549 @ /usr/local/bin/quarto</w:t>
      </w:r>
      <w:r>
        <w:br/>
      </w:r>
      <w:r>
        <w:br/>
      </w:r>
      <w:r>
        <w:rPr>
          <w:rStyle w:val="VerbatimChar"/>
        </w:rPr>
        <w:t xml:space="preserve">─ Packages ───────────────────────────────────────────────────────────────────</w:t>
      </w:r>
      <w:r>
        <w:br/>
      </w:r>
      <w:r>
        <w:rPr>
          <w:rStyle w:val="VerbatimChar"/>
        </w:rPr>
        <w:t xml:space="preserve"> ! package     * version date (UTC) lib source</w:t>
      </w:r>
      <w:r>
        <w:br/>
      </w:r>
      <w:r>
        <w:rPr>
          <w:rStyle w:val="VerbatimChar"/>
        </w:rPr>
        <w:t xml:space="preserve"> P cachem        1.1.0   2024-05-16 [?] RSPM</w:t>
      </w:r>
      <w:r>
        <w:br/>
      </w:r>
      <w:r>
        <w:rPr>
          <w:rStyle w:val="VerbatimChar"/>
        </w:rPr>
        <w:t xml:space="preserve"> P cli           3.6.6   2026-04-09 [?] RSPM</w:t>
      </w:r>
      <w:r>
        <w:br/>
      </w:r>
      <w:r>
        <w:rPr>
          <w:rStyle w:val="VerbatimChar"/>
        </w:rPr>
        <w:t xml:space="preserve"> P devtools      2.5.2   2026-04-30 [?] RSPM</w:t>
      </w:r>
      <w:r>
        <w:br/>
      </w:r>
      <w:r>
        <w:rPr>
          <w:rStyle w:val="VerbatimChar"/>
        </w:rPr>
        <w:t xml:space="preserve"> P digest        0.6.39  2025-11-19 [?] RSPM</w:t>
      </w:r>
      <w:r>
        <w:br/>
      </w:r>
      <w:r>
        <w:rPr>
          <w:rStyle w:val="VerbatimChar"/>
        </w:rPr>
        <w:t xml:space="preserve"> P ellipsis      0.3.3   2026-04-04 [?] RSPM</w:t>
      </w:r>
      <w:r>
        <w:br/>
      </w:r>
      <w:r>
        <w:rPr>
          <w:rStyle w:val="VerbatimChar"/>
        </w:rPr>
        <w:t xml:space="preserve"> P evaluate      1.0.5   2025-08-27 [?] RSPM</w:t>
      </w:r>
      <w:r>
        <w:br/>
      </w:r>
      <w:r>
        <w:rPr>
          <w:rStyle w:val="VerbatimChar"/>
        </w:rPr>
        <w:t xml:space="preserve"> P fastmap       1.2.0   2024-05-15 [?] RSPM</w:t>
      </w:r>
      <w:r>
        <w:br/>
      </w:r>
      <w:r>
        <w:rPr>
          <w:rStyle w:val="VerbatimChar"/>
        </w:rPr>
        <w:t xml:space="preserve"> P fs            2.1.0   2026-04-18 [?] RSPM</w:t>
      </w:r>
      <w:r>
        <w:br/>
      </w:r>
      <w:r>
        <w:rPr>
          <w:rStyle w:val="VerbatimChar"/>
        </w:rPr>
        <w:t xml:space="preserve"> P glue          1.8.1   2026-04-17 [?] RSPM</w:t>
      </w:r>
      <w:r>
        <w:br/>
      </w:r>
      <w:r>
        <w:rPr>
          <w:rStyle w:val="VerbatimChar"/>
        </w:rPr>
        <w:t xml:space="preserve"> P here          1.0.2   2025-09-15 [?] RSPM</w:t>
      </w:r>
      <w:r>
        <w:br/>
      </w:r>
      <w:r>
        <w:rPr>
          <w:rStyle w:val="VerbatimChar"/>
        </w:rPr>
        <w:t xml:space="preserve"> P htmltools     0.5.9   2025-12-04 [?] RSPM</w:t>
      </w:r>
      <w:r>
        <w:br/>
      </w:r>
      <w:r>
        <w:rPr>
          <w:rStyle w:val="VerbatimChar"/>
        </w:rPr>
        <w:t xml:space="preserve"> P jsonlite      2.0.0   2025-03-27 [?] RSPM</w:t>
      </w:r>
      <w:r>
        <w:br/>
      </w:r>
      <w:r>
        <w:rPr>
          <w:rStyle w:val="VerbatimChar"/>
        </w:rPr>
        <w:t xml:space="preserve"> P knitr         1.52    2026-09-06 [?] RSPM</w:t>
      </w:r>
      <w:r>
        <w:br/>
      </w:r>
      <w:r>
        <w:rPr>
          <w:rStyle w:val="VerbatimChar"/>
        </w:rPr>
        <w:t xml:space="preserve"> P lifecycle     1.0.5   2026-01-08 [?] RSPM</w:t>
      </w:r>
      <w:r>
        <w:br/>
      </w:r>
      <w:r>
        <w:rPr>
          <w:rStyle w:val="VerbatimChar"/>
        </w:rPr>
        <w:t xml:space="preserve"> P magrittr      2.0.5   2026-04-04 [?] RSPM</w:t>
      </w:r>
      <w:r>
        <w:br/>
      </w:r>
      <w:r>
        <w:rPr>
          <w:rStyle w:val="VerbatimChar"/>
        </w:rPr>
        <w:t xml:space="preserve"> P memoise       2.0.1   2021-11-26 [?] RSPM</w:t>
      </w:r>
      <w:r>
        <w:br/>
      </w:r>
      <w:r>
        <w:rPr>
          <w:rStyle w:val="VerbatimChar"/>
        </w:rPr>
        <w:t xml:space="preserve"> P otel          0.2.0   2025-08-29 [?] RSPM</w:t>
      </w:r>
      <w:r>
        <w:br/>
      </w:r>
      <w:r>
        <w:rPr>
          <w:rStyle w:val="VerbatimChar"/>
        </w:rPr>
        <w:t xml:space="preserve"> P pkgbuild      1.4.8   2025-05-26 [?] RSPM</w:t>
      </w:r>
      <w:r>
        <w:br/>
      </w:r>
      <w:r>
        <w:rPr>
          <w:rStyle w:val="VerbatimChar"/>
        </w:rPr>
        <w:t xml:space="preserve"> P pkgload       1.5.3   2026-06-15 [?] RSPM</w:t>
      </w:r>
      <w:r>
        <w:br/>
      </w:r>
      <w:r>
        <w:rPr>
          <w:rStyle w:val="VerbatimChar"/>
        </w:rPr>
        <w:t xml:space="preserve"> P purrr         1.2.2   2026-04-10 [?] RSPM</w:t>
      </w:r>
      <w:r>
        <w:br/>
      </w:r>
      <w:r>
        <w:rPr>
          <w:rStyle w:val="VerbatimChar"/>
        </w:rPr>
        <w:t xml:space="preserve"> P R6            2.6.1   2025-02-15 [?] RSPM</w:t>
      </w:r>
      <w:r>
        <w:br/>
      </w:r>
      <w:r>
        <w:rPr>
          <w:rStyle w:val="VerbatimChar"/>
        </w:rPr>
        <w:t xml:space="preserve"> P rlang         1.3.0   2026-07-05 [?] RSPM</w:t>
      </w:r>
      <w:r>
        <w:br/>
      </w:r>
      <w:r>
        <w:rPr>
          <w:rStyle w:val="VerbatimChar"/>
        </w:rPr>
        <w:t xml:space="preserve"> P rmarkdown     2.32    2026-09-01 [?] CRAN (R 4.6.1)</w:t>
      </w:r>
      <w:r>
        <w:br/>
      </w:r>
      <w:r>
        <w:rPr>
          <w:rStyle w:val="VerbatimChar"/>
        </w:rPr>
        <w:t xml:space="preserve"> P rprojroot     2.1.1   2025-08-26 [?] RSPM</w:t>
      </w:r>
      <w:r>
        <w:br/>
      </w:r>
      <w:r>
        <w:rPr>
          <w:rStyle w:val="VerbatimChar"/>
        </w:rPr>
        <w:t xml:space="preserve"> P rstudioapi    0.19.0  2026-06-11 [?] RSPM</w:t>
      </w:r>
      <w:r>
        <w:br/>
      </w:r>
      <w:r>
        <w:rPr>
          <w:rStyle w:val="VerbatimChar"/>
        </w:rPr>
        <w:t xml:space="preserve"> P sessioninfo   1.2.4   2026-06-04 [?] RSPM</w:t>
      </w:r>
      <w:r>
        <w:br/>
      </w:r>
      <w:r>
        <w:rPr>
          <w:rStyle w:val="VerbatimChar"/>
        </w:rPr>
        <w:t xml:space="preserve"> P usethis       3.2.2   2026-09-10 [?] RSPM</w:t>
      </w:r>
      <w:r>
        <w:br/>
      </w:r>
      <w:r>
        <w:rPr>
          <w:rStyle w:val="VerbatimChar"/>
        </w:rPr>
        <w:t xml:space="preserve"> P vctrs         0.7.3   2026-04-11 [?] RSPM</w:t>
      </w:r>
      <w:r>
        <w:br/>
      </w:r>
      <w:r>
        <w:rPr>
          <w:rStyle w:val="VerbatimChar"/>
        </w:rPr>
        <w:t xml:space="preserve"> P xfun          0.61    2026-09-16 [?] RSPM</w:t>
      </w:r>
      <w:r>
        <w:br/>
      </w:r>
      <w:r>
        <w:rPr>
          <w:rStyle w:val="VerbatimChar"/>
        </w:rPr>
        <w:t xml:space="preserve"> P yaml          2.3.12  2025-12-10 [?] RSPM</w:t>
      </w:r>
      <w:r>
        <w:br/>
      </w:r>
      <w:r>
        <w:br/>
      </w:r>
      <w:r>
        <w:rPr>
          <w:rStyle w:val="VerbatimChar"/>
        </w:rPr>
        <w:t xml:space="preserve"> [1] /Users/bmarwick/Library/Caches/org.R-project.R/R/renv/library/agentic-ai-for-archaeology-d51787bc/macos/R-4.6/aarch64-apple-darwin23</w:t>
      </w:r>
      <w:r>
        <w:br/>
      </w:r>
      <w:r>
        <w:rPr>
          <w:rStyle w:val="VerbatimChar"/>
        </w:rPr>
        <w:t xml:space="preserve"> [2] /Library/Frameworks/R.framework/Versions/4.6/Resources/library</w:t>
      </w:r>
      <w:r>
        <w:br/>
      </w:r>
      <w:r>
        <w:br/>
      </w:r>
      <w:r>
        <w:rPr>
          <w:rStyle w:val="VerbatimChar"/>
        </w:rPr>
        <w:t xml:space="preserve"> P ── Loaded and on-disk path mismatch.</w:t>
      </w:r>
      <w:r>
        <w:br/>
      </w:r>
      <w:r>
        <w:br/>
      </w:r>
      <w:r>
        <w:rPr>
          <w:rStyle w:val="VerbatimChar"/>
        </w:rPr>
        <w:t xml:space="preserve">──────────────────────────────────────────────────────────────────────────────</w:t>
      </w:r>
    </w:p>
    <w:p>
      <w:pPr>
        <w:pStyle w:val="FirstParagraph"/>
      </w:pPr>
      <w:r>
        <w:t xml:space="preserve">The current Git commit details are:</w:t>
      </w:r>
    </w:p>
    <w:p>
      <w:pPr>
        <w:pStyle w:val="SourceCode"/>
      </w:pPr>
      <w:r>
        <w:rPr>
          <w:rStyle w:val="CommentTok"/>
        </w:rPr>
        <w:t xml:space="preserve"># what commit is this file at? </w:t>
      </w:r>
      <w:r>
        <w:br/>
      </w:r>
      <w:r>
        <w:rPr>
          <w:rStyle w:val="ControlFlowTok"/>
        </w:rPr>
        <w:t xml:space="preserve">if</w:t>
      </w:r>
      <w:r>
        <w:rPr>
          <w:rStyle w:val="NormalTok"/>
        </w:rPr>
        <w:t xml:space="preserve"> (</w:t>
      </w:r>
      <w:r>
        <w:rPr>
          <w:rStyle w:val="StringTok"/>
        </w:rPr>
        <w:t xml:space="preserve">"git2r"</w:t>
      </w:r>
      <w:r>
        <w:rPr>
          <w:rStyle w:val="NormalTok"/>
        </w:rPr>
        <w:t xml:space="preserve"> </w:t>
      </w:r>
      <w:r>
        <w:rPr>
          <w:rStyle w:val="SpecialCharTok"/>
        </w:rPr>
        <w:t xml:space="preserve">%in%</w:t>
      </w:r>
      <w:r>
        <w:rPr>
          <w:rStyle w:val="NormalTok"/>
        </w:rPr>
        <w:t xml:space="preserve"> </w:t>
      </w:r>
      <w:r>
        <w:rPr>
          <w:rStyle w:val="FunctionTok"/>
        </w:rPr>
        <w:t xml:space="preserve">installed.packages</w:t>
      </w:r>
      <w:r>
        <w:rPr>
          <w:rStyle w:val="NormalTok"/>
        </w:rPr>
        <w:t xml:space="preserve">() </w:t>
      </w:r>
      <w:r>
        <w:rPr>
          <w:rStyle w:val="SpecialCharTok"/>
        </w:rPr>
        <w:t xml:space="preserve">&amp;</w:t>
      </w:r>
      <w:r>
        <w:rPr>
          <w:rStyle w:val="NormalTok"/>
        </w:rPr>
        <w:t xml:space="preserve"> git2r</w:t>
      </w:r>
      <w:r>
        <w:rPr>
          <w:rStyle w:val="SpecialCharTok"/>
        </w:rPr>
        <w:t xml:space="preserve">::</w:t>
      </w:r>
      <w:r>
        <w:rPr>
          <w:rStyle w:val="FunctionTok"/>
        </w:rPr>
        <w:t xml:space="preserve">in_repository</w:t>
      </w:r>
      <w:r>
        <w:rPr>
          <w:rStyle w:val="NormalTok"/>
        </w:rPr>
        <w:t xml:space="preserve">(</w:t>
      </w:r>
      <w:r>
        <w:rPr>
          <w:rStyle w:val="AttributeTok"/>
        </w:rPr>
        <w:t xml:space="preserve">path =</w:t>
      </w:r>
      <w:r>
        <w:rPr>
          <w:rStyle w:val="NormalTok"/>
        </w:rPr>
        <w:t xml:space="preserve"> </w:t>
      </w:r>
      <w:r>
        <w:rPr>
          <w:rStyle w:val="StringTok"/>
        </w:rPr>
        <w:t xml:space="preserve">"."</w:t>
      </w:r>
      <w:r>
        <w:rPr>
          <w:rStyle w:val="NormalTok"/>
        </w:rPr>
        <w:t xml:space="preserve">)) git2r</w:t>
      </w:r>
      <w:r>
        <w:rPr>
          <w:rStyle w:val="SpecialCharTok"/>
        </w:rPr>
        <w:t xml:space="preserve">::</w:t>
      </w:r>
      <w:r>
        <w:rPr>
          <w:rStyle w:val="FunctionTok"/>
        </w:rPr>
        <w:t xml:space="preserve">repository</w:t>
      </w:r>
      <w:r>
        <w:rPr>
          <w:rStyle w:val="NormalTok"/>
        </w:rPr>
        <w:t xml:space="preserve">(here</w:t>
      </w:r>
      <w:r>
        <w:rPr>
          <w:rStyle w:val="SpecialCharTok"/>
        </w:rPr>
        <w:t xml:space="preserve">::</w:t>
      </w:r>
      <w:r>
        <w:rPr>
          <w:rStyle w:val="FunctionTok"/>
        </w:rPr>
        <w:t xml:space="preserve">here</w:t>
      </w:r>
      <w:r>
        <w:rPr>
          <w:rStyle w:val="NormalTok"/>
        </w:rPr>
        <w:t xml:space="preserve">())  </w:t>
      </w:r>
    </w:p>
    <w:p>
      <w:pPr>
        <w:pStyle w:val="SourceCode"/>
      </w:pPr>
      <w:r>
        <w:rPr>
          <w:rStyle w:val="VerbatimChar"/>
        </w:rPr>
        <w:t xml:space="preserve">Local:    main /Users/bmarwick/Downloads/agentic-ai-for-archaeology</w:t>
      </w:r>
      <w:r>
        <w:br/>
      </w:r>
      <w:r>
        <w:rPr>
          <w:rStyle w:val="VerbatimChar"/>
        </w:rPr>
        <w:t xml:space="preserve">Remote:   main @ origin (https://github.com/benmarwick/agenticai.git)</w:t>
      </w:r>
      <w:r>
        <w:br/>
      </w:r>
      <w:r>
        <w:rPr>
          <w:rStyle w:val="VerbatimChar"/>
        </w:rPr>
        <w:t xml:space="preserve">Head:     [4eedcc8] 2026-09-24: add figures, editing text</w:t>
      </w:r>
    </w:p>
    <w:bookmarkEnd w:id="173"/>
    <w:bookmarkEnd w:id="174"/>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hyperlink" Id="rId68" Target="https://ai.google/static/documents/AI-in-Science.pdf" TargetMode="External" /><Relationship Type="http://schemas.openxmlformats.org/officeDocument/2006/relationships/hyperlink" Id="rId130" Target="https://doi.org/10.1002/smr.2723" TargetMode="External" /><Relationship Type="http://schemas.openxmlformats.org/officeDocument/2006/relationships/hyperlink" Id="rId92" Target="https://doi.org/10.1007/978-3-032-02049-9_6" TargetMode="External" /><Relationship Type="http://schemas.openxmlformats.org/officeDocument/2006/relationships/hyperlink" Id="rId120" Target="https://doi.org/10.1007/s10816-015-9272-9" TargetMode="External" /><Relationship Type="http://schemas.openxmlformats.org/officeDocument/2006/relationships/hyperlink" Id="rId78" Target="https://doi.org/10.1007/s12599-023-00834-7" TargetMode="External" /><Relationship Type="http://schemas.openxmlformats.org/officeDocument/2006/relationships/hyperlink" Id="rId80" Target="https://doi.org/10.1016/j.culher.2024.11.020" TargetMode="External" /><Relationship Type="http://schemas.openxmlformats.org/officeDocument/2006/relationships/hyperlink" Id="rId90" Target="https://doi.org/10.1016/j.sftr.2025.101152" TargetMode="External" /><Relationship Type="http://schemas.openxmlformats.org/officeDocument/2006/relationships/hyperlink" Id="rId72" Target="https://doi.org/10.1017/aap.2026.10173" TargetMode="External" /><Relationship Type="http://schemas.openxmlformats.org/officeDocument/2006/relationships/hyperlink" Id="rId132" Target="https://doi.org/10.1017/chr.2026.10039" TargetMode="External" /><Relationship Type="http://schemas.openxmlformats.org/officeDocument/2006/relationships/hyperlink" Id="rId122" Target="https://doi.org/10.1038/s41586-024-07146-0" TargetMode="External" /><Relationship Type="http://schemas.openxmlformats.org/officeDocument/2006/relationships/hyperlink" Id="rId118" Target="https://doi.org/10.1038/s41586-026-10265-5" TargetMode="External" /><Relationship Type="http://schemas.openxmlformats.org/officeDocument/2006/relationships/hyperlink" Id="rId150" Target="https://doi.org/10.1038/s41598-023-41032-5" TargetMode="External" /><Relationship Type="http://schemas.openxmlformats.org/officeDocument/2006/relationships/hyperlink" Id="rId154" Target="https://doi.org/10.1038/s41746-024-01233-2" TargetMode="External" /><Relationship Type="http://schemas.openxmlformats.org/officeDocument/2006/relationships/hyperlink" Id="rId84" Target="https://doi.org/10.1038/s44185-024-00043-9" TargetMode="External" /><Relationship Type="http://schemas.openxmlformats.org/officeDocument/2006/relationships/hyperlink" Id="rId164" Target="https://doi.org/10.1038/s44387-025-00019-5" TargetMode="External" /><Relationship Type="http://schemas.openxmlformats.org/officeDocument/2006/relationships/hyperlink" Id="rId88"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98" Target="https://doi.org/10.1080/00187259.2026.2714301" TargetMode="External" /><Relationship Type="http://schemas.openxmlformats.org/officeDocument/2006/relationships/hyperlink" Id="rId82" Target="https://doi.org/10.1080/10584609.2023.2290497" TargetMode="External" /><Relationship Type="http://schemas.openxmlformats.org/officeDocument/2006/relationships/hyperlink" Id="rId140" Target="https://doi.org/10.1080/20548923.2025.2564519" TargetMode="External" /><Relationship Type="http://schemas.openxmlformats.org/officeDocument/2006/relationships/hyperlink" Id="rId142" Target="https://doi.org/10.1093/biosci/biaf169" TargetMode="External" /><Relationship Type="http://schemas.openxmlformats.org/officeDocument/2006/relationships/hyperlink" Id="rId76" Target="https://doi.org/10.1093/jmammal/gyaf082" TargetMode="External" /><Relationship Type="http://schemas.openxmlformats.org/officeDocument/2006/relationships/hyperlink" Id="rId148" Target="https://doi.org/10.1098/rs-policy.2026-31" TargetMode="External" /><Relationship Type="http://schemas.openxmlformats.org/officeDocument/2006/relationships/hyperlink" Id="rId70" Target="https://doi.org/10.1111/2041-210X.14325" TargetMode="External" /><Relationship Type="http://schemas.openxmlformats.org/officeDocument/2006/relationships/hyperlink" Id="rId136" Target="https://doi.org/10.1111/2041-210X.14341" TargetMode="External" /><Relationship Type="http://schemas.openxmlformats.org/officeDocument/2006/relationships/hyperlink" Id="rId62" Target="https://doi.org/10.1111/2041-210X.14396" TargetMode="External" /><Relationship Type="http://schemas.openxmlformats.org/officeDocument/2006/relationships/hyperlink" Id="rId58" Target="https://doi.org/10.1111/2041-210x.70267" TargetMode="External" /><Relationship Type="http://schemas.openxmlformats.org/officeDocument/2006/relationships/hyperlink" Id="rId110" Target="https://doi.org/10.1111/2041-210x.70403" TargetMode="External" /><Relationship Type="http://schemas.openxmlformats.org/officeDocument/2006/relationships/hyperlink" Id="rId56" Target="https://doi.org/10.1111/faf.70079" TargetMode="External" /><Relationship Type="http://schemas.openxmlformats.org/officeDocument/2006/relationships/hyperlink" Id="rId146" Target="https://doi.org/10.11141/ia.67.8" TargetMode="External" /><Relationship Type="http://schemas.openxmlformats.org/officeDocument/2006/relationships/hyperlink" Id="rId102" Target="https://doi.org/10.11141/ia.71.15" TargetMode="External" /><Relationship Type="http://schemas.openxmlformats.org/officeDocument/2006/relationships/hyperlink" Id="rId86" Target="https://doi.org/10.1126/science.adi1778" TargetMode="External" /><Relationship Type="http://schemas.openxmlformats.org/officeDocument/2006/relationships/hyperlink" Id="rId160" Target="https://doi.org/10.1145/3544548.3581388" TargetMode="External" /><Relationship Type="http://schemas.openxmlformats.org/officeDocument/2006/relationships/hyperlink" Id="rId94"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68" Target="https://doi.org/10.1162/coli_a_00502" TargetMode="External" /><Relationship Type="http://schemas.openxmlformats.org/officeDocument/2006/relationships/hyperlink" Id="rId106" Target="https://doi.org/10.1257/jel.20231736" TargetMode="External" /><Relationship Type="http://schemas.openxmlformats.org/officeDocument/2006/relationships/hyperlink" Id="rId74" Target="https://doi.org/10.1287/orsc.2025.21838" TargetMode="External" /><Relationship Type="http://schemas.openxmlformats.org/officeDocument/2006/relationships/hyperlink" Id="rId156" Target="https://doi.org/10.1371/journal.pbio.1001745" TargetMode="External" /><Relationship Type="http://schemas.openxmlformats.org/officeDocument/2006/relationships/hyperlink" Id="rId52" Target="https://doi.org/10.1371/journal.pcbi.1014428" TargetMode="External" /><Relationship Type="http://schemas.openxmlformats.org/officeDocument/2006/relationships/hyperlink" Id="rId96" Target="https://doi.org/10.1371/journal.pone.0317084" TargetMode="External" /><Relationship Type="http://schemas.openxmlformats.org/officeDocument/2006/relationships/hyperlink" Id="rId162" Target="https://doi.org/10.1613/jair.1.11345" TargetMode="External" /><Relationship Type="http://schemas.openxmlformats.org/officeDocument/2006/relationships/hyperlink" Id="rId128" Target="https://doi.org/10.17226/29488" TargetMode="External" /><Relationship Type="http://schemas.openxmlformats.org/officeDocument/2006/relationships/hyperlink" Id="rId152" Target="https://doi.org/10.21105/joss.01686" TargetMode="External" /><Relationship Type="http://schemas.openxmlformats.org/officeDocument/2006/relationships/hyperlink" Id="rId126" Target="https://doi.org/10.2139/ssrn.7011058" TargetMode="External" /><Relationship Type="http://schemas.openxmlformats.org/officeDocument/2006/relationships/hyperlink" Id="rId114" Target="https://doi.org/10.2196/51584" TargetMode="External" /><Relationship Type="http://schemas.openxmlformats.org/officeDocument/2006/relationships/hyperlink" Id="rId116" Target="https://doi.org/10.22582/ta.v14i2.778" TargetMode="External" /><Relationship Type="http://schemas.openxmlformats.org/officeDocument/2006/relationships/hyperlink" Id="rId50" Target="https://doi.org/10.31235/osf.io/azs6r_v1" TargetMode="External" /><Relationship Type="http://schemas.openxmlformats.org/officeDocument/2006/relationships/hyperlink" Id="rId144" Target="https://doi.org/10.3233/faia230098" TargetMode="External" /><Relationship Type="http://schemas.openxmlformats.org/officeDocument/2006/relationships/hyperlink" Id="rId104" Target="https://doi.org/10.35566/jbds/jikim" TargetMode="External" /><Relationship Type="http://schemas.openxmlformats.org/officeDocument/2006/relationships/hyperlink" Id="rId46" Target="https://doi.org/10.4337/9781802204131.00014" TargetMode="External" /><Relationship Type="http://schemas.openxmlformats.org/officeDocument/2006/relationships/hyperlink" Id="rId100" Target="https://doi.org/10.4337/9781802204131.00019" TargetMode="External" /><Relationship Type="http://schemas.openxmlformats.org/officeDocument/2006/relationships/hyperlink" Id="rId66" Target="https://doi.org/10.48550/arXiv.2304.05128" TargetMode="External" /><Relationship Type="http://schemas.openxmlformats.org/officeDocument/2006/relationships/hyperlink" Id="rId166" Target="https://doi.org/10.48550/arXiv.2311.10372" TargetMode="External" /><Relationship Type="http://schemas.openxmlformats.org/officeDocument/2006/relationships/hyperlink" Id="rId112" Target="https://doi.org/10.48550/arXiv.2505.06120" TargetMode="External" /><Relationship Type="http://schemas.openxmlformats.org/officeDocument/2006/relationships/hyperlink" Id="rId158" Target="https://doi.org/10.48550/arXiv.2602.12430" TargetMode="External" /><Relationship Type="http://schemas.openxmlformats.org/officeDocument/2006/relationships/hyperlink" Id="rId170" Target="https://doi.org/10.48550/arXiv.2603.15914" TargetMode="External" /><Relationship Type="http://schemas.openxmlformats.org/officeDocument/2006/relationships/hyperlink" Id="rId124" Target="https://doi.org/10.48550/arXiv.2607.01507" TargetMode="External" /><Relationship Type="http://schemas.openxmlformats.org/officeDocument/2006/relationships/hyperlink" Id="rId64" Target="https://doi.org/10.48550/arXiv.2609.11198" TargetMode="External" /><Relationship Type="http://schemas.openxmlformats.org/officeDocument/2006/relationships/hyperlink" Id="rId138" Target="https://ladal.edu.au/tutorials/llm_privacy/llm_privacy.html" TargetMode="External" /><Relationship Type="http://schemas.openxmlformats.org/officeDocument/2006/relationships/hyperlink" Id="rId134" Target="https://quarto.org/docs/get-started/hello/rstudio.html" TargetMode="External" /><Relationship Type="http://schemas.openxmlformats.org/officeDocument/2006/relationships/hyperlink" Id="rId60" Target="https://vitaexmachina.substack.com/p/running-local-large-language-models" TargetMode="External" /><Relationship Type="http://schemas.openxmlformats.org/officeDocument/2006/relationships/hyperlink" Id="rId108" Target="https://www.nber.org/papers/w34202" TargetMode="External" /><Relationship Type="http://schemas.openxmlformats.org/officeDocument/2006/relationships/hyperlink" Id="rId54"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68" Target="https://ai.google/static/documents/AI-in-Science.pdf" TargetMode="External" /><Relationship Type="http://schemas.openxmlformats.org/officeDocument/2006/relationships/hyperlink" Id="rId130" Target="https://doi.org/10.1002/smr.2723" TargetMode="External" /><Relationship Type="http://schemas.openxmlformats.org/officeDocument/2006/relationships/hyperlink" Id="rId92" Target="https://doi.org/10.1007/978-3-032-02049-9_6" TargetMode="External" /><Relationship Type="http://schemas.openxmlformats.org/officeDocument/2006/relationships/hyperlink" Id="rId120" Target="https://doi.org/10.1007/s10816-015-9272-9" TargetMode="External" /><Relationship Type="http://schemas.openxmlformats.org/officeDocument/2006/relationships/hyperlink" Id="rId78" Target="https://doi.org/10.1007/s12599-023-00834-7" TargetMode="External" /><Relationship Type="http://schemas.openxmlformats.org/officeDocument/2006/relationships/hyperlink" Id="rId80" Target="https://doi.org/10.1016/j.culher.2024.11.020" TargetMode="External" /><Relationship Type="http://schemas.openxmlformats.org/officeDocument/2006/relationships/hyperlink" Id="rId90" Target="https://doi.org/10.1016/j.sftr.2025.101152" TargetMode="External" /><Relationship Type="http://schemas.openxmlformats.org/officeDocument/2006/relationships/hyperlink" Id="rId72" Target="https://doi.org/10.1017/aap.2026.10173" TargetMode="External" /><Relationship Type="http://schemas.openxmlformats.org/officeDocument/2006/relationships/hyperlink" Id="rId132" Target="https://doi.org/10.1017/chr.2026.10039" TargetMode="External" /><Relationship Type="http://schemas.openxmlformats.org/officeDocument/2006/relationships/hyperlink" Id="rId122" Target="https://doi.org/10.1038/s41586-024-07146-0" TargetMode="External" /><Relationship Type="http://schemas.openxmlformats.org/officeDocument/2006/relationships/hyperlink" Id="rId118" Target="https://doi.org/10.1038/s41586-026-10265-5" TargetMode="External" /><Relationship Type="http://schemas.openxmlformats.org/officeDocument/2006/relationships/hyperlink" Id="rId150" Target="https://doi.org/10.1038/s41598-023-41032-5" TargetMode="External" /><Relationship Type="http://schemas.openxmlformats.org/officeDocument/2006/relationships/hyperlink" Id="rId154" Target="https://doi.org/10.1038/s41746-024-01233-2" TargetMode="External" /><Relationship Type="http://schemas.openxmlformats.org/officeDocument/2006/relationships/hyperlink" Id="rId84" Target="https://doi.org/10.1038/s44185-024-00043-9" TargetMode="External" /><Relationship Type="http://schemas.openxmlformats.org/officeDocument/2006/relationships/hyperlink" Id="rId164" Target="https://doi.org/10.1038/s44387-025-00019-5" TargetMode="External" /><Relationship Type="http://schemas.openxmlformats.org/officeDocument/2006/relationships/hyperlink" Id="rId88" Target="https://doi.org/10.1057/s41599-026-08832-2" TargetMode="External" /><Relationship Type="http://schemas.openxmlformats.org/officeDocument/2006/relationships/hyperlink" Id="rId44" Target="https://doi.org/10.1073/pnas.2314021121" TargetMode="External" /><Relationship Type="http://schemas.openxmlformats.org/officeDocument/2006/relationships/hyperlink" Id="rId48" Target="https://doi.org/10.1073/pnas.2606495123" TargetMode="External" /><Relationship Type="http://schemas.openxmlformats.org/officeDocument/2006/relationships/hyperlink" Id="rId98" Target="https://doi.org/10.1080/00187259.2026.2714301" TargetMode="External" /><Relationship Type="http://schemas.openxmlformats.org/officeDocument/2006/relationships/hyperlink" Id="rId82" Target="https://doi.org/10.1080/10584609.2023.2290497" TargetMode="External" /><Relationship Type="http://schemas.openxmlformats.org/officeDocument/2006/relationships/hyperlink" Id="rId140" Target="https://doi.org/10.1080/20548923.2025.2564519" TargetMode="External" /><Relationship Type="http://schemas.openxmlformats.org/officeDocument/2006/relationships/hyperlink" Id="rId142" Target="https://doi.org/10.1093/biosci/biaf169" TargetMode="External" /><Relationship Type="http://schemas.openxmlformats.org/officeDocument/2006/relationships/hyperlink" Id="rId76" Target="https://doi.org/10.1093/jmammal/gyaf082" TargetMode="External" /><Relationship Type="http://schemas.openxmlformats.org/officeDocument/2006/relationships/hyperlink" Id="rId148" Target="https://doi.org/10.1098/rs-policy.2026-31" TargetMode="External" /><Relationship Type="http://schemas.openxmlformats.org/officeDocument/2006/relationships/hyperlink" Id="rId70" Target="https://doi.org/10.1111/2041-210X.14325" TargetMode="External" /><Relationship Type="http://schemas.openxmlformats.org/officeDocument/2006/relationships/hyperlink" Id="rId136" Target="https://doi.org/10.1111/2041-210X.14341" TargetMode="External" /><Relationship Type="http://schemas.openxmlformats.org/officeDocument/2006/relationships/hyperlink" Id="rId62" Target="https://doi.org/10.1111/2041-210X.14396" TargetMode="External" /><Relationship Type="http://schemas.openxmlformats.org/officeDocument/2006/relationships/hyperlink" Id="rId58" Target="https://doi.org/10.1111/2041-210x.70267" TargetMode="External" /><Relationship Type="http://schemas.openxmlformats.org/officeDocument/2006/relationships/hyperlink" Id="rId110" Target="https://doi.org/10.1111/2041-210x.70403" TargetMode="External" /><Relationship Type="http://schemas.openxmlformats.org/officeDocument/2006/relationships/hyperlink" Id="rId56" Target="https://doi.org/10.1111/faf.70079" TargetMode="External" /><Relationship Type="http://schemas.openxmlformats.org/officeDocument/2006/relationships/hyperlink" Id="rId146" Target="https://doi.org/10.11141/ia.67.8" TargetMode="External" /><Relationship Type="http://schemas.openxmlformats.org/officeDocument/2006/relationships/hyperlink" Id="rId102" Target="https://doi.org/10.11141/ia.71.15" TargetMode="External" /><Relationship Type="http://schemas.openxmlformats.org/officeDocument/2006/relationships/hyperlink" Id="rId86" Target="https://doi.org/10.1126/science.adi1778" TargetMode="External" /><Relationship Type="http://schemas.openxmlformats.org/officeDocument/2006/relationships/hyperlink" Id="rId160" Target="https://doi.org/10.1145/3544548.3581388" TargetMode="External" /><Relationship Type="http://schemas.openxmlformats.org/officeDocument/2006/relationships/hyperlink" Id="rId94"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168" Target="https://doi.org/10.1162/coli_a_00502" TargetMode="External" /><Relationship Type="http://schemas.openxmlformats.org/officeDocument/2006/relationships/hyperlink" Id="rId106" Target="https://doi.org/10.1257/jel.20231736" TargetMode="External" /><Relationship Type="http://schemas.openxmlformats.org/officeDocument/2006/relationships/hyperlink" Id="rId74" Target="https://doi.org/10.1287/orsc.2025.21838" TargetMode="External" /><Relationship Type="http://schemas.openxmlformats.org/officeDocument/2006/relationships/hyperlink" Id="rId156" Target="https://doi.org/10.1371/journal.pbio.1001745" TargetMode="External" /><Relationship Type="http://schemas.openxmlformats.org/officeDocument/2006/relationships/hyperlink" Id="rId52" Target="https://doi.org/10.1371/journal.pcbi.1014428" TargetMode="External" /><Relationship Type="http://schemas.openxmlformats.org/officeDocument/2006/relationships/hyperlink" Id="rId96" Target="https://doi.org/10.1371/journal.pone.0317084" TargetMode="External" /><Relationship Type="http://schemas.openxmlformats.org/officeDocument/2006/relationships/hyperlink" Id="rId162" Target="https://doi.org/10.1613/jair.1.11345" TargetMode="External" /><Relationship Type="http://schemas.openxmlformats.org/officeDocument/2006/relationships/hyperlink" Id="rId128" Target="https://doi.org/10.17226/29488" TargetMode="External" /><Relationship Type="http://schemas.openxmlformats.org/officeDocument/2006/relationships/hyperlink" Id="rId152" Target="https://doi.org/10.21105/joss.01686" TargetMode="External" /><Relationship Type="http://schemas.openxmlformats.org/officeDocument/2006/relationships/hyperlink" Id="rId126" Target="https://doi.org/10.2139/ssrn.7011058" TargetMode="External" /><Relationship Type="http://schemas.openxmlformats.org/officeDocument/2006/relationships/hyperlink" Id="rId114" Target="https://doi.org/10.2196/51584" TargetMode="External" /><Relationship Type="http://schemas.openxmlformats.org/officeDocument/2006/relationships/hyperlink" Id="rId116" Target="https://doi.org/10.22582/ta.v14i2.778" TargetMode="External" /><Relationship Type="http://schemas.openxmlformats.org/officeDocument/2006/relationships/hyperlink" Id="rId50" Target="https://doi.org/10.31235/osf.io/azs6r_v1" TargetMode="External" /><Relationship Type="http://schemas.openxmlformats.org/officeDocument/2006/relationships/hyperlink" Id="rId144" Target="https://doi.org/10.3233/faia230098" TargetMode="External" /><Relationship Type="http://schemas.openxmlformats.org/officeDocument/2006/relationships/hyperlink" Id="rId104" Target="https://doi.org/10.35566/jbds/jikim" TargetMode="External" /><Relationship Type="http://schemas.openxmlformats.org/officeDocument/2006/relationships/hyperlink" Id="rId46" Target="https://doi.org/10.4337/9781802204131.00014" TargetMode="External" /><Relationship Type="http://schemas.openxmlformats.org/officeDocument/2006/relationships/hyperlink" Id="rId100" Target="https://doi.org/10.4337/9781802204131.00019" TargetMode="External" /><Relationship Type="http://schemas.openxmlformats.org/officeDocument/2006/relationships/hyperlink" Id="rId66" Target="https://doi.org/10.48550/arXiv.2304.05128" TargetMode="External" /><Relationship Type="http://schemas.openxmlformats.org/officeDocument/2006/relationships/hyperlink" Id="rId166" Target="https://doi.org/10.48550/arXiv.2311.10372" TargetMode="External" /><Relationship Type="http://schemas.openxmlformats.org/officeDocument/2006/relationships/hyperlink" Id="rId112" Target="https://doi.org/10.48550/arXiv.2505.06120" TargetMode="External" /><Relationship Type="http://schemas.openxmlformats.org/officeDocument/2006/relationships/hyperlink" Id="rId158" Target="https://doi.org/10.48550/arXiv.2602.12430" TargetMode="External" /><Relationship Type="http://schemas.openxmlformats.org/officeDocument/2006/relationships/hyperlink" Id="rId170" Target="https://doi.org/10.48550/arXiv.2603.15914" TargetMode="External" /><Relationship Type="http://schemas.openxmlformats.org/officeDocument/2006/relationships/hyperlink" Id="rId124" Target="https://doi.org/10.48550/arXiv.2607.01507" TargetMode="External" /><Relationship Type="http://schemas.openxmlformats.org/officeDocument/2006/relationships/hyperlink" Id="rId64" Target="https://doi.org/10.48550/arXiv.2609.11198" TargetMode="External" /><Relationship Type="http://schemas.openxmlformats.org/officeDocument/2006/relationships/hyperlink" Id="rId138" Target="https://ladal.edu.au/tutorials/llm_privacy/llm_privacy.html" TargetMode="External" /><Relationship Type="http://schemas.openxmlformats.org/officeDocument/2006/relationships/hyperlink" Id="rId134" Target="https://quarto.org/docs/get-started/hello/rstudio.html" TargetMode="External" /><Relationship Type="http://schemas.openxmlformats.org/officeDocument/2006/relationships/hyperlink" Id="rId60" Target="https://vitaexmachina.substack.com/p/running-local-large-language-models" TargetMode="External" /><Relationship Type="http://schemas.openxmlformats.org/officeDocument/2006/relationships/hyperlink" Id="rId108" Target="https://www.nber.org/papers/w34202" TargetMode="External" /><Relationship Type="http://schemas.openxmlformats.org/officeDocument/2006/relationships/hyperlink" Id="rId54"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2026-09-24T18:54:37Z</dcterms:created>
  <dcterms:modified xsi:type="dcterms:W3CDTF">2026-09-24T18:54:37Z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show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September 24,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analyses, regenerate reports, and review changesConfigure an agent harness with project instructions and explicit permissionsUse tested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