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24,</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show</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including archaeologists,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open source software that is suitable for many kinds of archaeological work. While traditional AI chatbots engage with humans in the form of turn-by-turn conversations on a website that require regular human interaction to complete a task, agents are a very different way to interact with AI. An AI agent can autonomously operate tools directly on our computer to complete multiple steps towards a specific goal without constant human interaction. This article describes how to use agentic AI to reduce the friction associated with many of the typical tasks of the archaeological research process that are done on a computer.</w:t>
      </w:r>
    </w:p>
    <w:p>
      <w:pPr>
        <w:pStyle w:val="BodyText"/>
      </w:pPr>
      <w:r>
        <w:t xml:space="preserve">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connects a LLM to pre-defined instructions and tools that can read files, execute code, or retrieve information. A wide variety of agentic systems have emerged recently,</w:t>
      </w:r>
      <w:r>
        <w:t xml:space="preserve"> </w:t>
      </w:r>
      <w:hyperlink w:anchor="tbl-taxonomies">
        <w:r>
          <w:rPr>
            <w:rStyle w:val="Hyperlink"/>
          </w:rPr>
          <w:t xml:space="preserve">Table 1</w:t>
        </w:r>
      </w:hyperlink>
      <w:r>
        <w:t xml:space="preserve"> </w:t>
      </w:r>
      <w:r>
        <w:t xml:space="preserve">summarises these by increasing autonomy</w:t>
      </w:r>
      <w:r>
        <w:t xml:space="preserve"> </w:t>
      </w:r>
      <w:r>
        <w:t xml:space="preserve">(Haase and Pokutta 2026; Zimmer et al. 2026)</w:t>
      </w:r>
      <w:r>
        <w:t xml:space="preserve">. Our guide focuses on the low-autonomy end of that range: the agent works only within a single project and you direct each stage. We are not describing end-to-end fully automated AI pipelines that generate ideas, run experiments, write manuscripts, and review the results with limited human intervention</w:t>
      </w:r>
      <w:r>
        <w:t xml:space="preserve"> </w:t>
      </w:r>
      <w:r>
        <w:t xml:space="preserve">(e.g. Lu et al. 2026)</w:t>
      </w:r>
      <w:r>
        <w:t xml:space="preserve">. Instead, we describe how to set up a well-configured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taxonomies"/>
          <w:p>
            <w:pPr>
              <w:jc w:val="center"/>
            </w:pPr>
            <w:pPr>
              <w:jc w:val="start"/>
              <w:spacing w:before="200"/>
              <w:pStyle w:val="ImageCaption"/>
            </w:pPr>
            <w:r>
              <w:t xml:space="preserve">Table 1: Levels of agentic AI in two recent taxonomies.</w:t>
            </w:r>
          </w:p>
          <w:tbl>
            <w:tblPr>
              <w:tblStyle w:val="Table"/>
              <w:tblW w:type="pct" w:w="5000"/>
              <w:tblLook w:firstRow="1" w:lastRow="0" w:firstColumn="0" w:lastColumn="0" w:noHBand="0" w:noVBand="0" w:val="0020"/>
              <w:jc w:val="start"/>
              <w:tblLayout w:type="fixed"/>
            </w:tblPr>
            <w:tblGrid>
              <w:gridCol w:w="386"/>
              <w:gridCol w:w="3992"/>
              <w:gridCol w:w="3541"/>
            </w:tblGrid>
            <w:tr>
              <w:trPr>
                <w:tblHeader w:val="true"/>
              </w:trPr>
              <w:tc>
                <w:tcPr/>
                <w:p>
                  <w:pPr>
                    <w:pStyle w:val="Compact"/>
                    <w:jc w:val="right"/>
                    <w:jc w:val="center"/>
                  </w:pPr>
                  <w:r>
                    <w:t xml:space="preserve">Level</w:t>
                  </w:r>
                </w:p>
              </w:tc>
              <w:tc>
                <w:tcPr/>
                <w:p>
                  <w:pPr>
                    <w:pStyle w:val="Compact"/>
                    <w:jc w:val="left"/>
                    <w:jc w:val="center"/>
                  </w:pPr>
                  <w:r>
                    <w:t xml:space="preserve">Haase et al. (2026)</w:t>
                  </w:r>
                </w:p>
              </w:tc>
              <w:tc>
                <w:tcPr/>
                <w:p>
                  <w:pPr>
                    <w:pStyle w:val="Compact"/>
                    <w:jc w:val="left"/>
                    <w:jc w:val="center"/>
                  </w:pPr>
                  <w:r>
                    <w:t xml:space="preserve">Zimmer et al. (2026)</w:t>
                  </w:r>
                </w:p>
              </w:tc>
            </w:tr>
            <w:tr>
              <w:tc>
                <w:tcPr/>
                <w:p>
                  <w:pPr>
                    <w:pStyle w:val="Compact"/>
                    <w:jc w:val="right"/>
                    <w:jc w:val="center"/>
                  </w:pPr>
                  <w:r>
                    <w:t xml:space="preserve">1</w:t>
                  </w:r>
                </w:p>
              </w:tc>
              <w:tc>
                <w:tcPr/>
                <w:p>
                  <w:pPr>
                    <w:pStyle w:val="Compact"/>
                    <w:jc w:val="left"/>
                    <w:jc w:val="center"/>
                  </w:pPr>
                  <w:r>
                    <w:t xml:space="preserve">Simple data processing (text classification; data annotation)</w:t>
                  </w:r>
                </w:p>
              </w:tc>
              <w:tc>
                <w:tcPr/>
                <w:p>
                  <w:pPr>
                    <w:pStyle w:val="Compact"/>
                    <w:jc w:val="left"/>
                    <w:jc w:val="center"/>
                  </w:pPr>
                  <w:r>
                    <w:t xml:space="preserve">Classical practice: conventional computational methods</w:t>
                  </w:r>
                </w:p>
              </w:tc>
            </w:tr>
            <w:tr>
              <w:tc>
                <w:tcPr/>
                <w:p>
                  <w:pPr>
                    <w:pStyle w:val="Compact"/>
                    <w:jc w:val="right"/>
                    <w:jc w:val="center"/>
                  </w:pPr>
                  <w:r>
                    <w:t xml:space="preserve">2</w:t>
                  </w:r>
                </w:p>
              </w:tc>
              <w:tc>
                <w:tcPr/>
                <w:p>
                  <w:pPr>
                    <w:pStyle w:val="Compact"/>
                    <w:jc w:val="left"/>
                    <w:jc w:val="center"/>
                  </w:pPr>
                  <w:r>
                    <w:t xml:space="preserve">Enhanced data processing with limited tool use</w:t>
                  </w:r>
                </w:p>
              </w:tc>
              <w:tc>
                <w:tcPr/>
                <w:p>
                  <w:pPr>
                    <w:pStyle w:val="Compact"/>
                    <w:jc w:val="left"/>
                    <w:jc w:val="center"/>
                  </w:pPr>
                  <w:r>
                    <w:t xml:space="preserve">AI as research assistant: interactive code generation</w:t>
                  </w:r>
                </w:p>
              </w:tc>
            </w:tr>
            <w:tr>
              <w:tc>
                <w:tcPr/>
                <w:p>
                  <w:pPr>
                    <w:pStyle w:val="Compact"/>
                    <w:jc w:val="right"/>
                    <w:jc w:val="center"/>
                  </w:pPr>
                  <w:r>
                    <w:t xml:space="preserve">3</w:t>
                  </w:r>
                </w:p>
              </w:tc>
              <w:tc>
                <w:tcPr/>
                <w:p>
                  <w:pPr>
                    <w:pStyle w:val="Compact"/>
                    <w:jc w:val="left"/>
                    <w:jc w:val="center"/>
                  </w:pPr>
                  <w:r>
                    <w:t xml:space="preserve">Single-agent systems with tool access</w:t>
                  </w:r>
                </w:p>
              </w:tc>
              <w:tc>
                <w:tcPr/>
                <w:p>
                  <w:pPr>
                    <w:pStyle w:val="Compact"/>
                    <w:jc w:val="left"/>
                    <w:jc w:val="center"/>
                  </w:pPr>
                  <w:r>
                    <w:t xml:space="preserve">AI as collaborator: autonomous task execution</w:t>
                  </w:r>
                </w:p>
              </w:tc>
            </w:tr>
            <w:tr>
              <w:tc>
                <w:tcPr/>
                <w:p>
                  <w:pPr>
                    <w:pStyle w:val="Compact"/>
                    <w:jc w:val="right"/>
                    <w:jc w:val="center"/>
                  </w:pPr>
                  <w:r>
                    <w:t xml:space="preserve">4</w:t>
                  </w:r>
                </w:p>
              </w:tc>
              <w:tc>
                <w:tcPr/>
                <w:p>
                  <w:pPr>
                    <w:pStyle w:val="Compact"/>
                    <w:jc w:val="left"/>
                    <w:jc w:val="center"/>
                  </w:pPr>
                  <w:r>
                    <w:t xml:space="preserve">Multi-agent systems simulating social dynamics</w:t>
                  </w:r>
                </w:p>
              </w:tc>
              <w:tc>
                <w:tcPr/>
                <w:p>
                  <w:pPr>
                    <w:pStyle w:val="Compact"/>
                    <w:jc w:val="left"/>
                    <w:jc w:val="center"/>
                  </w:pPr>
                  <w:r>
                    <w:t xml:space="preserve">AI as research partner: multi-agent pipelines</w:t>
                  </w:r>
                </w:p>
              </w:tc>
            </w:tr>
            <w:tr>
              <w:tc>
                <w:tcPr/>
                <w:p>
                  <w:pPr>
                    <w:pStyle w:val="Compact"/>
                    <w:jc w:val="right"/>
                    <w:jc w:val="center"/>
                  </w:pPr>
                  <w:r>
                    <w:t xml:space="preserve">5</w:t>
                  </w:r>
                </w:p>
              </w:tc>
              <w:tc>
                <w:tcPr/>
                <w:p>
                  <w:pPr>
                    <w:pStyle w:val="Compact"/>
                    <w:jc w:val="left"/>
                    <w:jc w:val="center"/>
                  </w:pPr>
                  <w:r>
                    <w:t xml:space="preserve">Complex adaptive systems with emergent behaviour</w:t>
                  </w:r>
                </w:p>
              </w:tc>
              <w:tc>
                <w:tcPr/>
                <w:p>
                  <w:pPr>
                    <w:pStyle w:val="Compact"/>
                    <w:jc w:val="left"/>
                    <w:jc w:val="center"/>
                  </w:pPr>
                  <w:r>
                    <w:t xml:space="preserve">(framework not extended to this level)</w:t>
                  </w:r>
                </w:p>
              </w:tc>
            </w:tr>
            <w:tr>
              <w:tc>
                <w:tcPr/>
                <w:p>
                  <w:pPr>
                    <w:pStyle w:val="Compact"/>
                    <w:jc w:val="right"/>
                    <w:jc w:val="center"/>
                  </w:pPr>
                  <w:r>
                    <w:t xml:space="preserve">6</w:t>
                  </w:r>
                </w:p>
              </w:tc>
              <w:tc>
                <w:tcPr/>
                <w:p>
                  <w:pPr>
                    <w:pStyle w:val="Compact"/>
                    <w:jc w:val="left"/>
                    <w:jc w:val="center"/>
                  </w:pPr>
                  <w:r>
                    <w:t xml:space="preserve">Open-ended agentic systems</w:t>
                  </w:r>
                </w:p>
              </w:tc>
              <w:tc>
                <w:tcPr/>
                <w:p>
                  <w:pPr>
                    <w:pStyle w:val="Compact"/>
                    <w:jc w:val="left"/>
                    <w:jc w:val="center"/>
                  </w:pPr>
                  <w:r>
                    <w:t xml:space="preserv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checks evidence, and can stop or redirect the work. In our view, human engagement and control remain essential even as technical capabilities advance</w:t>
      </w:r>
      <w:r>
        <w:t xml:space="preserve"> </w:t>
      </w:r>
      <w:r>
        <w:t xml:space="preserve">(Spillias et al. 2026)</w:t>
      </w:r>
      <w:r>
        <w:t xml:space="preserve">.</w:t>
      </w:r>
    </w:p>
    <w:p>
      <w:pPr>
        <w:pStyle w:val="BodyText"/>
      </w:pPr>
      <w:r>
        <w:t xml:space="preserve">A high level of researcher control also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project files under researcher-defined permissions. Third, use instructions, skills, and Model Context Protocol (MCP) servers to research, plan, execute, and verify data analyses. These practices will be most useful to archaeologists who already analyze their own data with an open source scientific scripting language such as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reseachers. You need to be able inspect agent-generated code and explain its relationship to the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2026a; Campbell et al. 2024; Cooper et al. 2024; Dyck 2026; Nejjar et al. 2025)</w:t>
      </w:r>
      <w:r>
        <w:t xml:space="preserve">.</w:t>
      </w:r>
    </w:p>
    <w:p>
      <w:pPr>
        <w:pStyle w:val="BodyText"/>
      </w:pPr>
      <w:r>
        <w:t xml:space="preserve">We recommend choosing a small set of reputable tools widely used for reproducible research, and learning how they work together, for example, for R users the tidyverse for data preparation and ggplot2 for visualization</w:t>
      </w:r>
      <w:r>
        <w:t xml:space="preserve"> </w:t>
      </w:r>
      <w:r>
        <w:t xml:space="preserve">(Wickham et al. 2019)</w:t>
      </w:r>
      <w:r>
        <w:t xml:space="preserve">. The here package helps construct project-relative file paths, and the renv records R package dependencies. The Quarto document format is ideal for writing your report, this combines prose, executable code, and results in a document written as a plain-text</w:t>
      </w:r>
      <w:r>
        <w:t xml:space="preserve"> </w:t>
      </w:r>
      <w:r>
        <w:rPr>
          <w:rStyle w:val="VerbatimChar"/>
        </w:rPr>
        <w:t xml:space="preserve">.qmd</w:t>
      </w:r>
      <w:r>
        <w:t xml:space="preserve"> </w:t>
      </w:r>
      <w:r>
        <w:t xml:space="preserve">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to turn DOCX and PDF files into markdown so agents can efficiently read them. You should create documents in Markdown format that you want your AI agent to read and edit. These R packages and document types also have the advantage of supporting the organization of transparent, reproducible and reusable analyses</w:t>
      </w:r>
      <w:r>
        <w:t xml:space="preserve"> </w:t>
      </w:r>
      <w:r>
        <w:t xml:space="preserve">(Marwick 2017)</w:t>
      </w:r>
      <w:r>
        <w:t xml:space="preserve">.</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Agents are fluent in Git and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robust system for linking reported results back to the executable analyses that generated them; every machine-generated change is recorded transparently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in</w:t>
      </w:r>
      <w:r>
        <w:t xml:space="preserve"> </w:t>
      </w:r>
      <w:hyperlink w:anchor="sec-tools">
        <w:r>
          <w:rPr>
            <w:rStyle w:val="Hyperlink"/>
          </w:rPr>
          <w:t xml:space="preserve">Section 2</w:t>
        </w:r>
      </w:hyperlink>
      <w:r>
        <w:t xml:space="preserve">, it is relatively simple to configure an AI agent so that it can efficiently see all the files in our project and work on them. The key tool here is a local harness, this is software you install on your computer that turns a LLM into an agent. The LLM by itself can only generate text.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 GitHub Copilot, OpenAI Codex and OpenCode. We recommend the OpenCode terminal user interface (running in the terminal pane of an integrated development environment such as RStudio or VS Code) because it is free, open source, and not tied to any model vendor</w:t>
      </w:r>
      <w:r>
        <w:t xml:space="preserve">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Four parts of an agent harness and what each one does.</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agent-in-ide</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such as OpenCode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w:t>
      </w:r>
      <w:r>
        <w:t xml:space="preserve">are two widely used modes.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you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Because larger models can be slower, more expensive and resource intensive,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(Christopher J. Brown et al. 2026; Nejjar et al. 2025)</w:t>
      </w:r>
      <w:r>
        <w:t xml:space="preserve">, so it is essential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protecting restricted data when the model runs remotely.</w:t>
            </w:r>
          </w:p>
          <w:tbl>
            <w:tblPr>
              <w:tblStyle w:val="Table"/>
              <w:tblW w:type="pct" w:w="5000"/>
              <w:tblLook w:firstRow="1" w:lastRow="0" w:firstColumn="0" w:lastColumn="0" w:noHBand="0" w:noVBand="0" w:val="0020"/>
              <w:jc w:val="start"/>
              <w:tblLayout w:type="fixed"/>
            </w:tblPr>
            <w:tblGrid>
              <w:gridCol w:w="564"/>
              <w:gridCol w:w="5316"/>
              <w:gridCol w:w="2039"/>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2026a; Wiest et al. 2024)</w:t>
                  </w:r>
                </w:p>
              </w:tc>
              <w:tc>
                <w:tcPr/>
                <w:p>
                  <w:pPr>
                    <w:pStyle w:val="Compact"/>
                    <w:jc w:val="left"/>
                    <w:jc w:val="center"/>
                  </w:pPr>
                  <w:r>
                    <w:t xml:space="preserve">Matching hosted-model quality needs expensive high-performance hardware</w:t>
                  </w:r>
                  <w:r>
                    <w:t xml:space="preserve"> </w:t>
                  </w:r>
                  <w:r>
                    <w:t xml:space="preserve">(Chris Brown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and format or the code will not transfer</w:t>
                  </w:r>
                </w:p>
              </w:tc>
            </w:tr>
          </w:tbl>
          <w:bookmarkEnd w:id="29"/>
          <w:p/>
        </w:tc>
      </w:tr>
    </w:tbl>
    <w:bookmarkEnd w:id="30"/>
    <w:bookmarkStart w:id="32"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starting R and running R code. A skill is a simpl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five MCP servers and six skills named in this guide plus the three instructions files that govern them. These are open formats so you can work with your agent to write new skills and MCP servers to meet your specific needs.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MCP servers and skills installed in the author’s OpenCode configuration. Readers can copy-paste this table into their AI agent and ask it to install them for global availability.</w:t>
            </w:r>
          </w:p>
          <w:tbl>
            <w:tblPr>
              <w:tblStyle w:val="Table"/>
              <w:tblW w:type="pct" w:w="5000"/>
              <w:tblLook w:firstRow="1" w:lastRow="0" w:firstColumn="0" w:lastColumn="0" w:noHBand="0" w:noVBand="0" w:val="0020"/>
              <w:jc w:val="start"/>
              <w:tblLayout w:type="fixed"/>
            </w:tblPr>
            <w:tblGrid>
              <w:gridCol w:w="411"/>
              <w:gridCol w:w="855"/>
              <w:gridCol w:w="2977"/>
              <w:gridCol w:w="3674"/>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style verification</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academic-paper-reviewer</w:t>
                  </w:r>
                </w:p>
              </w:tc>
              <w:tc>
                <w:tcPr/>
                <w:p>
                  <w:pPr>
                    <w:pStyle w:val="Compact"/>
                    <w:jc w:val="left"/>
                    <w:jc w:val="center"/>
                  </w:pPr>
                  <w:r>
                    <w:t xml:space="preserve">Simulates independent reviewers plus a devil’s advocate for manuscripts</w:t>
                  </w:r>
                </w:p>
              </w:tc>
              <w:tc>
                <w:tcPr/>
                <w:p>
                  <w:pPr>
                    <w:pStyle w:val="Compact"/>
                    <w:jc w:val="left"/>
                    <w:jc w:val="center"/>
                  </w:pPr>
                  <w:r>
                    <w:t xml:space="preserve">https://github.com/izillionways/academic-research-skills-hermes/blob/main/research/academic-paper-reviewer/SKILL.md</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https://style.tidyverse.org/</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https://style.tidyverse.org/</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https://github.com/NousResearch/hermes-agent/blob/main/skills/writing/quarto-authoring</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https://github.com/UMN-Choi-Lab/refcheck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Retrieves paper metadata and references and validates manuscript citations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https://github.com/microsoft/markitdown/tree/main/packages/markitdown-mcp</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Queries Semantic Scholar arXiv and Scholar author records</w:t>
                  </w:r>
                </w:p>
              </w:tc>
              <w:tc>
                <w:tcPr/>
                <w:p>
                  <w:pPr>
                    <w:pStyle w:val="Compact"/>
                    <w:jc w:val="left"/>
                    <w:jc w:val="center"/>
                  </w:pPr>
                  <w:r>
                    <w:t xml:space="preserve">https://github.com/amirkiarafiei/open-scholar-peer</w:t>
                  </w:r>
                </w:p>
              </w:tc>
            </w:tr>
          </w:tbl>
          <w:bookmarkEnd w:id="31"/>
          <w:p/>
        </w:tc>
      </w:tr>
    </w:tbl>
    <w:p>
      <w:pPr>
        <w:pStyle w:val="BodyText"/>
      </w:pPr>
      <w:r>
        <w:t xml:space="preserve">As as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We recommend multiple iterations of literature search prompts, adjusting the prompt each time to the steer the model to focus on different areas of the literature</w:t>
      </w:r>
      <w:r>
        <w:t xml:space="preserve"> </w:t>
      </w:r>
      <w:r>
        <w:t xml:space="preserve">(Krishna Moorthy et al. 2026)</w:t>
      </w:r>
      <w:r>
        <w:t xml:space="preserve">. Multiple rounds of verification are also important to ensure the bibliography is free of hallucinated details.</w:t>
      </w:r>
    </w:p>
    <w:p>
      <w:pPr>
        <w:pStyle w:val="BodyText"/>
      </w:pPr>
      <w:r>
        <w:t xml:space="preserve">Aided by tools, skills and MCP servers, AI agents can be very efficient at accurately extracting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in detail</w:t>
      </w:r>
      <w:r>
        <w:t xml:space="preserve"> </w:t>
      </w:r>
      <w:r>
        <w:t xml:space="preserve">(Brown and Spillias 2026)</w:t>
      </w:r>
      <w:r>
        <w:t xml:space="preserve">. Use the agent’s tools to help you deeply search this literature.</w:t>
      </w:r>
    </w:p>
    <w:p>
      <w:pPr>
        <w:numPr>
          <w:ilvl w:val="0"/>
          <w:numId w:val="1001"/>
        </w:numPr>
        <w:pStyle w:val="Compact"/>
      </w:pPr>
      <w:r>
        <w:t xml:space="preserve">Include instructions for the model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code can expose errors for inspection, but automated correction still needs review.</w:t>
      </w:r>
      <w:r>
        <w:t xml:space="preserve"> </w:t>
      </w:r>
      <w:r>
        <w:t xml:space="preserve">Christopher J. Brown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w:t>
      </w:r>
      <w:r>
        <w:t xml:space="preserve"> </w:t>
      </w:r>
      <w:r>
        <w:t xml:space="preserve">Christopher J. Brown et al. (2026)</w:t>
      </w:r>
      <w:r>
        <w:t xml:space="preserve"> </w:t>
      </w:r>
      <w:r>
        <w:t xml:space="preserve">found that one agent swapped a requested bootstrap interval for a t-distribution interval, so it is necessary for you to read the code generated by the agent, not just its summary.</w:t>
      </w:r>
    </w:p>
    <w:bookmarkEnd w:id="32"/>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is where you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fig-workflow"/>
          <w:p>
            <w:pPr>
              <w:pStyle w:val="Compact"/>
              <w:jc w:val="center"/>
            </w:pPr>
            <w:r>
              <w:drawing>
                <wp:inline>
                  <wp:extent cx="5943600" cy="3566160"/>
                  <wp:effectExtent b="0" l="0" r="0" t="0"/>
                  <wp:docPr descr="" title="" id="34" name="Picture"/>
                  <a:graphic>
                    <a:graphicData uri="http://schemas.openxmlformats.org/drawingml/2006/picture">
                      <pic:pic>
                        <pic:nvPicPr>
                          <pic:cNvPr descr="../figures/fig-workflow.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workflow</w:t>
            </w:r>
          </w:p>
          <w:bookmarkEnd w:id="36"/>
        </w:tc>
      </w:tr>
    </w:tbl>
    <w:p>
      <w:pPr>
        <w:pStyle w:val="BodyText"/>
      </w:pPr>
      <w:r>
        <w:t xml:space="preserve">The paper’s specific contribution is an auditable, researcher-directed workflow for AI-assisted archaeological data analysis</w:t>
      </w:r>
      <w:r>
        <w:t xml:space="preserve"> </w:t>
      </w:r>
      <w:hyperlink w:anchor="fig-workflow">
        <w:r>
          <w:rPr>
            <w:rStyle w:val="Hyperlink"/>
          </w:rPr>
          <w:t xml:space="preserve">Figure 2</w:t>
        </w:r>
      </w:hyperlink>
      <w:r>
        <w:t xml:space="preserve">. It links archaeological competence, project-level permissions, and checkable agent actions in an R-based project so that the approved plan, code, source records, and rendered report remain available for review. The advance in this paper comes from the integration of recently developed agentic AI technologies into a three-practice structure for responsible archaeological analysis. Agentic AI changes the unit of review from a single chatbot response to a sequence of plans, file edits, commands, searches, and generated results.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failures. It can fail to follow instructions, and their scientific reasoning can be flawed</w:t>
      </w:r>
      <w:r>
        <w:t xml:space="preserve"> </w:t>
      </w:r>
      <w:r>
        <w:t xml:space="preserve">(Christopher J. Brown et al. 2026)</w:t>
      </w:r>
      <w:r>
        <w:t xml:space="preserve">. Furthermore, there is some setup up time required to install and configure agentic software, and working with restricted archaeological data requires local-only, non-remote configurations that requires some expertise. Unskilled use of AI can result in it generating plans for analyses that statistically invalid or have low statistical power</w:t>
      </w:r>
      <w:r>
        <w:t xml:space="preserve"> </w:t>
      </w:r>
      <w:r>
        <w:t xml:space="preserve">(Christopher J. Brown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2026b;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If archaeology might be similarly transformed, then we urgently need to prepare our students to manage the epistemic risks of heightened vulnerability to illusions of explanatory depth, exploratory breadth, and objectivity</w:t>
      </w:r>
      <w:r>
        <w:t xml:space="preserve"> </w:t>
      </w:r>
      <w:r>
        <w:t xml:space="preserve">(Messeri and Crockett 2024)</w:t>
      </w:r>
      <w:r>
        <w:t xml:space="preserve">.</w:t>
      </w:r>
    </w:p>
    <w:p>
      <w:pPr>
        <w:pStyle w:val="BodyText"/>
      </w:pPr>
      <w:r>
        <w:t xml:space="preserve">In reducing the time needed for routine and repetitive tasks, AI enables us to scale up analytic exploration</w:t>
      </w:r>
      <w:r>
        <w:t xml:space="preserve"> </w:t>
      </w:r>
      <w:r>
        <w:t xml:space="preserve">(Miao et al. 2026)</w:t>
      </w:r>
      <w:r>
        <w:t xml:space="preserve">, and reduces the technical and cognitive burden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resource-intensive and impractical in the past. This can help us in the search for claims that robustly persist across different measurement choices, and reduce our vulnerability to selective reporting and cherry-picking</w:t>
      </w:r>
      <w:r>
        <w:t xml:space="preserve"> </w:t>
      </w:r>
      <w:r>
        <w:t xml:space="preserve">(Bertrán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(Zhipu), and MiMo-V2.5 (Xiaomi). These are all open-weight and open-source models. They were free via openrouter at the time of writing. AI was used to assist with searching for literature, planning, drafting and editing the manuscript and figures, and reference checking. All AI-generated suggestions were reviewed and revised by the author.</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76" w:name="references"/>
    <w:p>
      <w:pPr>
        <w:pStyle w:val="Heading1"/>
      </w:pPr>
      <w:r>
        <w:t xml:space="preserve">References</w:t>
      </w:r>
    </w:p>
    <w:bookmarkStart w:id="174" w:name="refs"/>
    <w:bookmarkStart w:id="43" w:name="ref-Abramson2026Qualitative"/>
    <w:p>
      <w:pPr>
        <w:pStyle w:val="Bibliography"/>
      </w:pPr>
      <w:r>
        <w:t xml:space="preserve">Abramson, Corey M., Tara Prendergast, Zhuofan Li, and Daniel Dohan. 2026b. Qualitative</w:t>
      </w:r>
      <w:r>
        <w:t xml:space="preserve"> </w:t>
      </w:r>
      <w:r>
        <w:t xml:space="preserve">Research</w:t>
      </w:r>
      <w:r>
        <w:t xml:space="preserve"> </w:t>
      </w:r>
      <w:r>
        <w:t xml:space="preserve">in an</w:t>
      </w:r>
      <w:r>
        <w:t xml:space="preserve"> </w:t>
      </w:r>
      <w:r>
        <w:t xml:space="preserve">Era</w:t>
      </w:r>
      <w:r>
        <w:t xml:space="preserve"> </w:t>
      </w:r>
      <w:r>
        <w:t xml:space="preserve">of</w:t>
      </w:r>
      <w:r>
        <w:t xml:space="preserve"> </w:t>
      </w:r>
      <w:r>
        <w:t xml:space="preserve">Artificial</w:t>
      </w:r>
      <w:r>
        <w:t xml:space="preserve"> </w:t>
      </w:r>
      <w:r>
        <w:t xml:space="preserve">Intelligence</w:t>
      </w:r>
      <w:r>
        <w:t xml:space="preserve">: A</w:t>
      </w:r>
      <w:r>
        <w:t xml:space="preserve"> </w:t>
      </w:r>
      <w:r>
        <w:t xml:space="preserve">Pragmatic</w:t>
      </w:r>
      <w:r>
        <w:t xml:space="preserve"> </w:t>
      </w:r>
      <w:r>
        <w:t xml:space="preserve">Approach</w:t>
      </w:r>
      <w:r>
        <w:t xml:space="preserve"> </w:t>
      </w:r>
      <w:r>
        <w:t xml:space="preserve">to</w:t>
      </w:r>
      <w:r>
        <w:t xml:space="preserve"> </w:t>
      </w:r>
      <w:r>
        <w:t xml:space="preserve">Data</w:t>
      </w:r>
      <w:r>
        <w:t xml:space="preserve"> </w:t>
      </w:r>
      <w:r>
        <w:t xml:space="preserve">Analysis</w:t>
      </w:r>
      <w:r>
        <w:t xml:space="preserve">,</w:t>
      </w:r>
      <w:r>
        <w:t xml:space="preserve"> </w:t>
      </w:r>
      <w:r>
        <w:t xml:space="preserve">Workflow</w:t>
      </w:r>
      <w:r>
        <w:t xml:space="preserve">, and</w:t>
      </w:r>
      <w:r>
        <w:t xml:space="preserve"> </w:t>
      </w:r>
      <w:r>
        <w:t xml:space="preserve">Computation</w:t>
      </w:r>
      <w:r>
        <w:t xml:space="preserve">.</w:t>
      </w:r>
      <w:r>
        <w:t xml:space="preserve"> </w:t>
      </w:r>
      <w:r>
        <w:rPr>
          <w:iCs/>
          <w:i/>
        </w:rPr>
        <w:t xml:space="preserve">Annual Review of Sociology</w:t>
      </w:r>
      <w:r>
        <w:t xml:space="preserve"> </w:t>
      </w:r>
      <w:r>
        <w:t xml:space="preserve">52(1):35–61.</w:t>
      </w:r>
      <w:r>
        <w:t xml:space="preserve"> </w:t>
      </w:r>
      <w:hyperlink r:id="rId42">
        <w:r>
          <w:rPr>
            <w:rStyle w:val="Hyperlink"/>
          </w:rPr>
          <w:t xml:space="preserve">https://doi.org/10.1146/annurev-soc-011824-104836</w:t>
        </w:r>
      </w:hyperlink>
      <w:r>
        <w:t xml:space="preserve">.</w:t>
      </w:r>
    </w:p>
    <w:bookmarkEnd w:id="43"/>
    <w:bookmarkStart w:id="44" w:name="ref-Abramson2026"/>
    <w:p>
      <w:pPr>
        <w:pStyle w:val="Bibliography"/>
      </w:pPr>
      <w:r>
        <w:t xml:space="preserve">Abramson, Corey M., Tara Prendergast, Zhuofan Li, and Daniel Dohan. 2026a.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4"/>
    <w:bookmarkStart w:id="46"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5">
        <w:r>
          <w:rPr>
            <w:rStyle w:val="Hyperlink"/>
          </w:rPr>
          <w:t xml:space="preserve">https://doi.org/10.1073/pnas.2314021121</w:t>
        </w:r>
      </w:hyperlink>
      <w:r>
        <w:t xml:space="preserve">.</w:t>
      </w:r>
    </w:p>
    <w:bookmarkEnd w:id="46"/>
    <w:bookmarkStart w:id="48" w:name="ref-BeckBurri2024"/>
    <w:p>
      <w:pPr>
        <w:pStyle w:val="Bibliography"/>
      </w:pPr>
      <w:r>
        <w:t xml:space="preserve">Beck, Juliane, and Thomas Burri. 2024.</w:t>
      </w:r>
      <w:r>
        <w:t xml:space="preserve"> </w:t>
      </w:r>
      <w:hyperlink r:id="rId47">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48"/>
    <w:bookmarkStart w:id="50"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9">
        <w:r>
          <w:rPr>
            <w:rStyle w:val="Hyperlink"/>
          </w:rPr>
          <w:t xml:space="preserve">https://doi.org/10.1073/pnas.2606495123</w:t>
        </w:r>
      </w:hyperlink>
      <w:r>
        <w:t xml:space="preserve">.</w:t>
      </w:r>
    </w:p>
    <w:bookmarkEnd w:id="50"/>
    <w:bookmarkStart w:id="51" w:name="ref-Bertran2026Multiverse"/>
    <w:p>
      <w:pPr>
        <w:pStyle w:val="Bibliography"/>
      </w:pPr>
      <w:r>
        <w:t xml:space="preserve">Bertrán, Martin, Riccardo Fogliato, and Zhiwei Steven Wu. 2026. Many</w:t>
      </w:r>
      <w:r>
        <w:t xml:space="preserve"> </w:t>
      </w:r>
      <w:r>
        <w:t xml:space="preserve">AI</w:t>
      </w:r>
      <w:r>
        <w:t xml:space="preserve"> </w:t>
      </w:r>
      <w:r>
        <w:t xml:space="preserve">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9">
        <w:r>
          <w:rPr>
            <w:rStyle w:val="Hyperlink"/>
          </w:rPr>
          <w:t xml:space="preserve">https://doi.org/10.1073/pnas.2606495123</w:t>
        </w:r>
      </w:hyperlink>
      <w:r>
        <w:t xml:space="preserve">.</w:t>
      </w:r>
    </w:p>
    <w:bookmarkEnd w:id="51"/>
    <w:bookmarkStart w:id="53"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2">
        <w:r>
          <w:rPr>
            <w:rStyle w:val="Hyperlink"/>
          </w:rPr>
          <w:t xml:space="preserve">https://doi.org/10.31235/osf.io/azs6r_v1</w:t>
        </w:r>
      </w:hyperlink>
      <w:r>
        <w:t xml:space="preserve">.</w:t>
      </w:r>
    </w:p>
    <w:bookmarkEnd w:id="53"/>
    <w:bookmarkStart w:id="55"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54">
        <w:r>
          <w:rPr>
            <w:rStyle w:val="Hyperlink"/>
          </w:rPr>
          <w:t xml:space="preserve">https://doi.org/10.1371/journal.pcbi.1014428</w:t>
        </w:r>
      </w:hyperlink>
      <w:r>
        <w:t xml:space="preserve">.</w:t>
      </w:r>
    </w:p>
    <w:bookmarkEnd w:id="55"/>
    <w:bookmarkStart w:id="57" w:name="ref-Brown2026local"/>
    <w:p>
      <w:pPr>
        <w:pStyle w:val="Bibliography"/>
      </w:pPr>
      <w:r>
        <w:t xml:space="preserve">Brown, Chris,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56">
        <w:r>
          <w:rPr>
            <w:rStyle w:val="Hyperlink"/>
          </w:rPr>
          <w:t xml:space="preserve">https://vitaexmachina.substack.com/p/running-local-large-language-models</w:t>
        </w:r>
      </w:hyperlink>
      <w:r>
        <w:t xml:space="preserve">, accessed September 18, 2026.</w:t>
      </w:r>
    </w:p>
    <w:bookmarkEnd w:id="57"/>
    <w:bookmarkStart w:id="59"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58">
        <w:r>
          <w:rPr>
            <w:rStyle w:val="Hyperlink"/>
          </w:rPr>
          <w:t xml:space="preserve">https://www.seascapemodels.org/AI-assistants-for-scientific-coding/</w:t>
        </w:r>
      </w:hyperlink>
      <w:r>
        <w:t xml:space="preserve">, accessed September 18, 2026.</w:t>
      </w:r>
    </w:p>
    <w:bookmarkEnd w:id="59"/>
    <w:bookmarkStart w:id="61"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0">
        <w:r>
          <w:rPr>
            <w:rStyle w:val="Hyperlink"/>
          </w:rPr>
          <w:t xml:space="preserve">https://doi.org/10.1111/faf.70079</w:t>
        </w:r>
      </w:hyperlink>
      <w:r>
        <w:t xml:space="preserve">.</w:t>
      </w:r>
    </w:p>
    <w:bookmarkEnd w:id="61"/>
    <w:bookmarkStart w:id="63"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2">
        <w:r>
          <w:rPr>
            <w:rStyle w:val="Hyperlink"/>
          </w:rPr>
          <w:t xml:space="preserve">https://doi.org/10.1111/2041-210x.70267</w:t>
        </w:r>
      </w:hyperlink>
      <w:r>
        <w:t xml:space="preserve">.</w:t>
      </w:r>
    </w:p>
    <w:bookmarkEnd w:id="63"/>
    <w:bookmarkStart w:id="65"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64">
        <w:r>
          <w:rPr>
            <w:rStyle w:val="Hyperlink"/>
          </w:rPr>
          <w:t xml:space="preserve">https://doi.org/10.1111/2041-210X.14396</w:t>
        </w:r>
      </w:hyperlink>
      <w:r>
        <w:t xml:space="preserve">.</w:t>
      </w:r>
    </w:p>
    <w:bookmarkEnd w:id="65"/>
    <w:bookmarkStart w:id="67"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66">
        <w:r>
          <w:rPr>
            <w:rStyle w:val="Hyperlink"/>
          </w:rPr>
          <w:t xml:space="preserve">https://doi.org/10.48550/arXiv.2609.11198</w:t>
        </w:r>
      </w:hyperlink>
      <w:r>
        <w:t xml:space="preserve">.</w:t>
      </w:r>
    </w:p>
    <w:bookmarkEnd w:id="67"/>
    <w:bookmarkStart w:id="69"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68">
        <w:r>
          <w:rPr>
            <w:rStyle w:val="Hyperlink"/>
          </w:rPr>
          <w:t xml:space="preserve">https://doi.org/10.48550/arXiv.2304.05128</w:t>
        </w:r>
      </w:hyperlink>
      <w:r>
        <w:t xml:space="preserve">.</w:t>
      </w:r>
    </w:p>
    <w:bookmarkEnd w:id="69"/>
    <w:bookmarkStart w:id="71"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70">
        <w:r>
          <w:rPr>
            <w:rStyle w:val="Hyperlink"/>
          </w:rPr>
          <w:t xml:space="preserve">https://ai.google/static/documents/AI-in-Science.pdf</w:t>
        </w:r>
      </w:hyperlink>
      <w:r>
        <w:t xml:space="preserve">, accessed September 16, 2026.</w:t>
      </w:r>
    </w:p>
    <w:bookmarkEnd w:id="71"/>
    <w:bookmarkStart w:id="73"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2">
        <w:r>
          <w:rPr>
            <w:rStyle w:val="Hyperlink"/>
          </w:rPr>
          <w:t xml:space="preserve">https://doi.org/10.1111/2041-210X.14325</w:t>
        </w:r>
      </w:hyperlink>
      <w:r>
        <w:t xml:space="preserve">.</w:t>
      </w:r>
    </w:p>
    <w:bookmarkEnd w:id="73"/>
    <w:bookmarkStart w:id="75" w:name="ref-Cootsona_Castillo_Sunseri_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74">
        <w:r>
          <w:rPr>
            <w:rStyle w:val="Hyperlink"/>
          </w:rPr>
          <w:t xml:space="preserve">https://doi.org/10.1017/aap.2026.10173</w:t>
        </w:r>
      </w:hyperlink>
      <w:r>
        <w:t xml:space="preserve">.</w:t>
      </w:r>
    </w:p>
    <w:bookmarkEnd w:id="75"/>
    <w:bookmarkStart w:id="77"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76">
        <w:r>
          <w:rPr>
            <w:rStyle w:val="Hyperlink"/>
          </w:rPr>
          <w:t xml:space="preserve">https://doi.org/10.1287/orsc.2025.21838</w:t>
        </w:r>
      </w:hyperlink>
      <w:r>
        <w:t xml:space="preserve">.</w:t>
      </w:r>
    </w:p>
    <w:bookmarkEnd w:id="77"/>
    <w:bookmarkStart w:id="79"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78">
        <w:r>
          <w:rPr>
            <w:rStyle w:val="Hyperlink"/>
          </w:rPr>
          <w:t xml:space="preserve">https://doi.org/10.1093/jmammal/gyaf082</w:t>
        </w:r>
      </w:hyperlink>
      <w:r>
        <w:t xml:space="preserve">.</w:t>
      </w:r>
    </w:p>
    <w:bookmarkEnd w:id="79"/>
    <w:bookmarkStart w:id="81"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80">
        <w:r>
          <w:rPr>
            <w:rStyle w:val="Hyperlink"/>
          </w:rPr>
          <w:t xml:space="preserve">https://doi.org/10.1007/s12599-023-00834-7</w:t>
        </w:r>
      </w:hyperlink>
      <w:r>
        <w:t xml:space="preserve">.</w:t>
      </w:r>
    </w:p>
    <w:bookmarkEnd w:id="81"/>
    <w:bookmarkStart w:id="83"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2">
        <w:r>
          <w:rPr>
            <w:rStyle w:val="Hyperlink"/>
          </w:rPr>
          <w:t xml:space="preserve">https://doi.org/10.1016/j.culher.2024.11.020</w:t>
        </w:r>
      </w:hyperlink>
      <w:r>
        <w:t xml:space="preserve">.</w:t>
      </w:r>
    </w:p>
    <w:bookmarkEnd w:id="83"/>
    <w:bookmarkStart w:id="85"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84">
        <w:r>
          <w:rPr>
            <w:rStyle w:val="Hyperlink"/>
          </w:rPr>
          <w:t xml:space="preserve">https://doi.org/10.1080/10584609.2023.2290497</w:t>
        </w:r>
      </w:hyperlink>
      <w:r>
        <w:t xml:space="preserve">.</w:t>
      </w:r>
    </w:p>
    <w:bookmarkEnd w:id="85"/>
    <w:bookmarkStart w:id="87"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86">
        <w:r>
          <w:rPr>
            <w:rStyle w:val="Hyperlink"/>
          </w:rPr>
          <w:t xml:space="preserve">https://doi.org/10.1038/s44185-024-00043-9</w:t>
        </w:r>
      </w:hyperlink>
      <w:r>
        <w:t xml:space="preserve">.</w:t>
      </w:r>
    </w:p>
    <w:bookmarkEnd w:id="87"/>
    <w:bookmarkStart w:id="89"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88">
        <w:r>
          <w:rPr>
            <w:rStyle w:val="Hyperlink"/>
          </w:rPr>
          <w:t xml:space="preserve">https://doi.org/10.1126/science.adi1778</w:t>
        </w:r>
      </w:hyperlink>
      <w:r>
        <w:t xml:space="preserve">.</w:t>
      </w:r>
    </w:p>
    <w:bookmarkEnd w:id="89"/>
    <w:bookmarkStart w:id="91"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90">
        <w:r>
          <w:rPr>
            <w:rStyle w:val="Hyperlink"/>
          </w:rPr>
          <w:t xml:space="preserve">https://doi.org/10.1057/s41599-026-08832-2</w:t>
        </w:r>
      </w:hyperlink>
      <w:r>
        <w:t xml:space="preserve">.</w:t>
      </w:r>
    </w:p>
    <w:bookmarkEnd w:id="91"/>
    <w:bookmarkStart w:id="93"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2">
        <w:r>
          <w:rPr>
            <w:rStyle w:val="Hyperlink"/>
          </w:rPr>
          <w:t xml:space="preserve">https://doi.org/10.1016/j.sftr.2025.101152</w:t>
        </w:r>
      </w:hyperlink>
      <w:r>
        <w:t xml:space="preserve">.</w:t>
      </w:r>
    </w:p>
    <w:bookmarkEnd w:id="93"/>
    <w:bookmarkStart w:id="95" w:name="ref-Hariri2025"/>
    <w:p>
      <w:pPr>
        <w:pStyle w:val="Bibliography"/>
      </w:pPr>
      <w:r>
        <w:t xml:space="preserve">Hariri, Ali, Stéphane Jean, and Mickaël Baron. 2025.</w:t>
      </w:r>
      <w:r>
        <w:t xml:space="preserve"> </w:t>
      </w:r>
      <w:hyperlink r:id="rId94">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5"/>
    <w:bookmarkStart w:id="97"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96">
        <w:r>
          <w:rPr>
            <w:rStyle w:val="Hyperlink"/>
          </w:rPr>
          <w:t xml:space="preserve">https://doi.org/10.1145/3796519</w:t>
        </w:r>
      </w:hyperlink>
      <w:r>
        <w:t xml:space="preserve">.</w:t>
      </w:r>
    </w:p>
    <w:bookmarkEnd w:id="97"/>
    <w:bookmarkStart w:id="99"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98">
        <w:r>
          <w:rPr>
            <w:rStyle w:val="Hyperlink"/>
          </w:rPr>
          <w:t xml:space="preserve">https://doi.org/10.1371/journal.pone.0317084</w:t>
        </w:r>
      </w:hyperlink>
      <w:r>
        <w:t xml:space="preserve">.</w:t>
      </w:r>
    </w:p>
    <w:bookmarkEnd w:id="99"/>
    <w:bookmarkStart w:id="101"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00">
        <w:r>
          <w:rPr>
            <w:rStyle w:val="Hyperlink"/>
          </w:rPr>
          <w:t xml:space="preserve">https://doi.org/10.1080/00187259.2026.2714301</w:t>
        </w:r>
      </w:hyperlink>
      <w:r>
        <w:t xml:space="preserve">.</w:t>
      </w:r>
    </w:p>
    <w:bookmarkEnd w:id="101"/>
    <w:bookmarkStart w:id="103" w:name="ref-Jonker2024"/>
    <w:p>
      <w:pPr>
        <w:pStyle w:val="Bibliography"/>
      </w:pPr>
      <w:r>
        <w:t xml:space="preserve">Jonker, Catholijn M., Luciano Cavalcante Siebert, and Pradeep K. Murukannaiah. 2024.</w:t>
      </w:r>
      <w:r>
        <w:t xml:space="preserve"> </w:t>
      </w:r>
      <w:hyperlink r:id="rId102">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03"/>
    <w:bookmarkStart w:id="105"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04">
        <w:r>
          <w:rPr>
            <w:rStyle w:val="Hyperlink"/>
          </w:rPr>
          <w:t xml:space="preserve">https://doi.org/10.11141/ia.71.15</w:t>
        </w:r>
      </w:hyperlink>
      <w:r>
        <w:t xml:space="preserve">.</w:t>
      </w:r>
    </w:p>
    <w:bookmarkEnd w:id="105"/>
    <w:bookmarkStart w:id="107"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6(2):1–42.</w:t>
      </w:r>
      <w:r>
        <w:t xml:space="preserve"> </w:t>
      </w:r>
      <w:hyperlink r:id="rId106">
        <w:r>
          <w:rPr>
            <w:rStyle w:val="Hyperlink"/>
          </w:rPr>
          <w:t xml:space="preserve">https://doi.org/10.35566/jbds/jikim</w:t>
        </w:r>
      </w:hyperlink>
      <w:r>
        <w:t xml:space="preserve">.</w:t>
      </w:r>
    </w:p>
    <w:bookmarkEnd w:id="107"/>
    <w:bookmarkStart w:id="109"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08">
        <w:r>
          <w:rPr>
            <w:rStyle w:val="Hyperlink"/>
          </w:rPr>
          <w:t xml:space="preserve">https://doi.org/10.1257/jel.20231736</w:t>
        </w:r>
      </w:hyperlink>
      <w:r>
        <w:t xml:space="preserve">.</w:t>
      </w:r>
    </w:p>
    <w:bookmarkEnd w:id="109"/>
    <w:bookmarkStart w:id="111" w:name="ref-Korinek2025"/>
    <w:p>
      <w:pPr>
        <w:pStyle w:val="Bibliography"/>
      </w:pPr>
      <w:r>
        <w:t xml:space="preserve">Korinek, Anton. 2025.</w:t>
      </w:r>
      <w:r>
        <w:t xml:space="preserve"> </w:t>
      </w:r>
      <w:hyperlink r:id="rId110">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11"/>
    <w:bookmarkStart w:id="113"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12">
        <w:r>
          <w:rPr>
            <w:rStyle w:val="Hyperlink"/>
          </w:rPr>
          <w:t xml:space="preserve">https://doi.org/10.1111/2041-210x.70403</w:t>
        </w:r>
      </w:hyperlink>
      <w:r>
        <w:t xml:space="preserve">.</w:t>
      </w:r>
    </w:p>
    <w:bookmarkEnd w:id="113"/>
    <w:bookmarkStart w:id="115"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14">
        <w:r>
          <w:rPr>
            <w:rStyle w:val="Hyperlink"/>
          </w:rPr>
          <w:t xml:space="preserve">https://doi.org/10.48550/arXiv.2505.06120</w:t>
        </w:r>
      </w:hyperlink>
      <w:r>
        <w:t xml:space="preserve">.</w:t>
      </w:r>
    </w:p>
    <w:bookmarkEnd w:id="115"/>
    <w:bookmarkStart w:id="117"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16">
        <w:r>
          <w:rPr>
            <w:rStyle w:val="Hyperlink"/>
          </w:rPr>
          <w:t xml:space="preserve">https://doi.org/10.2196/51584</w:t>
        </w:r>
      </w:hyperlink>
      <w:r>
        <w:t xml:space="preserve">.</w:t>
      </w:r>
    </w:p>
    <w:bookmarkEnd w:id="117"/>
    <w:bookmarkStart w:id="119"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18">
        <w:r>
          <w:rPr>
            <w:rStyle w:val="Hyperlink"/>
          </w:rPr>
          <w:t xml:space="preserve">https://doi.org/10.22582/ta.v14i2.778</w:t>
        </w:r>
      </w:hyperlink>
      <w:r>
        <w:t xml:space="preserve">.</w:t>
      </w:r>
    </w:p>
    <w:bookmarkEnd w:id="119"/>
    <w:bookmarkStart w:id="121"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20">
        <w:r>
          <w:rPr>
            <w:rStyle w:val="Hyperlink"/>
          </w:rPr>
          <w:t xml:space="preserve">https://doi.org/10.1038/s41586-026-10265-5</w:t>
        </w:r>
      </w:hyperlink>
      <w:r>
        <w:t xml:space="preserve">.</w:t>
      </w:r>
    </w:p>
    <w:bookmarkEnd w:id="121"/>
    <w:bookmarkStart w:id="123"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22">
        <w:r>
          <w:rPr>
            <w:rStyle w:val="Hyperlink"/>
          </w:rPr>
          <w:t xml:space="preserve">https://doi.org/10.1007/s10816-015-9272-9</w:t>
        </w:r>
      </w:hyperlink>
      <w:r>
        <w:t xml:space="preserve">.</w:t>
      </w:r>
    </w:p>
    <w:bookmarkEnd w:id="123"/>
    <w:bookmarkStart w:id="125"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24">
        <w:r>
          <w:rPr>
            <w:rStyle w:val="Hyperlink"/>
          </w:rPr>
          <w:t xml:space="preserve">https://doi.org/10.1038/s41586-024-07146-0</w:t>
        </w:r>
      </w:hyperlink>
      <w:r>
        <w:t xml:space="preserve">.</w:t>
      </w:r>
    </w:p>
    <w:bookmarkEnd w:id="125"/>
    <w:bookmarkStart w:id="127"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26">
        <w:r>
          <w:rPr>
            <w:rStyle w:val="Hyperlink"/>
          </w:rPr>
          <w:t xml:space="preserve">https://doi.org/10.48550/arXiv.2607.01507</w:t>
        </w:r>
      </w:hyperlink>
      <w:r>
        <w:t xml:space="preserve">.</w:t>
      </w:r>
    </w:p>
    <w:bookmarkEnd w:id="127"/>
    <w:bookmarkStart w:id="129" w:name="ref-Monakhov2026"/>
    <w:p>
      <w:pPr>
        <w:pStyle w:val="Bibliography"/>
      </w:pPr>
      <w:r>
        <w:t xml:space="preserve">Monakhov, Alexander Yu. 2026.</w:t>
      </w:r>
      <w:r>
        <w:t xml:space="preserve"> </w:t>
      </w:r>
      <w:hyperlink r:id="rId128">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29"/>
    <w:bookmarkStart w:id="131" w:name="ref-NationalAcademies2026"/>
    <w:p>
      <w:pPr>
        <w:pStyle w:val="Bibliography"/>
      </w:pPr>
      <w:r>
        <w:t xml:space="preserve">National Academies of Sciences, Engineering, and Medicine. 2026.</w:t>
      </w:r>
      <w:r>
        <w:t xml:space="preserve"> </w:t>
      </w:r>
      <w:hyperlink r:id="rId130">
        <w:r>
          <w:rPr>
            <w:rStyle w:val="Hyperlink"/>
            <w:iCs/>
            <w:i/>
          </w:rPr>
          <w:t xml:space="preserve">On Being a Scientist: A Guide to the Responsible and Ethical Conduct of Research: Fourth Edition</w:t>
        </w:r>
      </w:hyperlink>
      <w:r>
        <w:t xml:space="preserve">. The National Academies Press, Washington, DC.</w:t>
      </w:r>
    </w:p>
    <w:bookmarkEnd w:id="131"/>
    <w:bookmarkStart w:id="133"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32">
        <w:r>
          <w:rPr>
            <w:rStyle w:val="Hyperlink"/>
          </w:rPr>
          <w:t xml:space="preserve">https://doi.org/10.1002/smr.2723</w:t>
        </w:r>
      </w:hyperlink>
      <w:r>
        <w:t xml:space="preserve">.</w:t>
      </w:r>
    </w:p>
    <w:bookmarkEnd w:id="133"/>
    <w:bookmarkStart w:id="135"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34">
        <w:r>
          <w:rPr>
            <w:rStyle w:val="Hyperlink"/>
          </w:rPr>
          <w:t xml:space="preserve">https://doi.org/10.1017/chr.2026.10039</w:t>
        </w:r>
      </w:hyperlink>
      <w:r>
        <w:t xml:space="preserve">.</w:t>
      </w:r>
    </w:p>
    <w:bookmarkEnd w:id="135"/>
    <w:bookmarkStart w:id="137" w:name="ref-QuartoDocs2026"/>
    <w:p>
      <w:pPr>
        <w:pStyle w:val="Bibliography"/>
      </w:pPr>
      <w:r>
        <w:t xml:space="preserve">Quarto.</w:t>
      </w:r>
      <w:r>
        <w:t xml:space="preserve"> </w:t>
      </w:r>
      <w:r>
        <w:t xml:space="preserve">Tutorial: Hello, Quarto</w:t>
      </w:r>
      <w:r>
        <w:t xml:space="preserve">.</w:t>
      </w:r>
      <w:r>
        <w:t xml:space="preserve"> </w:t>
      </w:r>
      <w:hyperlink r:id="rId136">
        <w:r>
          <w:rPr>
            <w:rStyle w:val="Hyperlink"/>
          </w:rPr>
          <w:t xml:space="preserve">https://quarto.org/docs/get-started/hello/rstudio.html</w:t>
        </w:r>
      </w:hyperlink>
      <w:r>
        <w:t xml:space="preserve">, accessed September 17, 2026.</w:t>
      </w:r>
    </w:p>
    <w:bookmarkEnd w:id="137"/>
    <w:bookmarkStart w:id="139"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38">
        <w:r>
          <w:rPr>
            <w:rStyle w:val="Hyperlink"/>
          </w:rPr>
          <w:t xml:space="preserve">https://doi.org/10.1111/2041-210X.14341</w:t>
        </w:r>
      </w:hyperlink>
      <w:r>
        <w:t xml:space="preserve">.</w:t>
      </w:r>
    </w:p>
    <w:bookmarkEnd w:id="139"/>
    <w:bookmarkStart w:id="141"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40">
        <w:r>
          <w:rPr>
            <w:rStyle w:val="Hyperlink"/>
          </w:rPr>
          <w:t xml:space="preserve">https://ladal.edu.au/tutorials/llm_privacy/llm_privacy.html</w:t>
        </w:r>
      </w:hyperlink>
      <w:r>
        <w:t xml:space="preserve">, accessed September 18, 2026.</w:t>
      </w:r>
    </w:p>
    <w:bookmarkEnd w:id="141"/>
    <w:bookmarkStart w:id="143"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42">
        <w:r>
          <w:rPr>
            <w:rStyle w:val="Hyperlink"/>
          </w:rPr>
          <w:t xml:space="preserve">https://doi.org/10.1080/20548923.2025.2564519</w:t>
        </w:r>
      </w:hyperlink>
      <w:r>
        <w:t xml:space="preserve">.</w:t>
      </w:r>
    </w:p>
    <w:bookmarkEnd w:id="143"/>
    <w:bookmarkStart w:id="145"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44">
        <w:r>
          <w:rPr>
            <w:rStyle w:val="Hyperlink"/>
          </w:rPr>
          <w:t xml:space="preserve">https://doi.org/10.1093/biosci/biaf169</w:t>
        </w:r>
      </w:hyperlink>
      <w:r>
        <w:t xml:space="preserve">.</w:t>
      </w:r>
    </w:p>
    <w:bookmarkEnd w:id="145"/>
    <w:bookmarkStart w:id="147" w:name="ref-Taylor2023"/>
    <w:p>
      <w:pPr>
        <w:pStyle w:val="Bibliography"/>
      </w:pPr>
      <w:r>
        <w:t xml:space="preserve">Taylor, Matthew E. 2023.</w:t>
      </w:r>
      <w:r>
        <w:t xml:space="preserve"> </w:t>
      </w:r>
      <w:hyperlink r:id="rId146">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47"/>
    <w:bookmarkStart w:id="149"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48">
        <w:r>
          <w:rPr>
            <w:rStyle w:val="Hyperlink"/>
          </w:rPr>
          <w:t xml:space="preserve">https://doi.org/10.11141/ia.67.8</w:t>
        </w:r>
      </w:hyperlink>
      <w:r>
        <w:t xml:space="preserve">.</w:t>
      </w:r>
    </w:p>
    <w:bookmarkEnd w:id="149"/>
    <w:bookmarkStart w:id="151" w:name="ref-RoyalSociety2024"/>
    <w:p>
      <w:pPr>
        <w:pStyle w:val="Bibliography"/>
      </w:pPr>
      <w:r>
        <w:t xml:space="preserve">The Royal Society. 2024.</w:t>
      </w:r>
      <w:r>
        <w:t xml:space="preserve"> </w:t>
      </w:r>
      <w:hyperlink r:id="rId150">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51"/>
    <w:bookmarkStart w:id="153"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52">
        <w:r>
          <w:rPr>
            <w:rStyle w:val="Hyperlink"/>
          </w:rPr>
          <w:t xml:space="preserve">https://doi.org/10.1038/s41598-023-41032-5</w:t>
        </w:r>
      </w:hyperlink>
      <w:r>
        <w:t xml:space="preserve">.</w:t>
      </w:r>
    </w:p>
    <w:bookmarkEnd w:id="153"/>
    <w:bookmarkStart w:id="155"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54">
        <w:r>
          <w:rPr>
            <w:rStyle w:val="Hyperlink"/>
          </w:rPr>
          <w:t xml:space="preserve">https://doi.org/10.21105/joss.01686</w:t>
        </w:r>
      </w:hyperlink>
      <w:r>
        <w:t xml:space="preserve">.</w:t>
      </w:r>
    </w:p>
    <w:bookmarkEnd w:id="155"/>
    <w:bookmarkStart w:id="157"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56">
        <w:r>
          <w:rPr>
            <w:rStyle w:val="Hyperlink"/>
          </w:rPr>
          <w:t xml:space="preserve">https://doi.org/10.1038/s41746-024-01233-2</w:t>
        </w:r>
      </w:hyperlink>
      <w:r>
        <w:t xml:space="preserve">.</w:t>
      </w:r>
    </w:p>
    <w:bookmarkEnd w:id="157"/>
    <w:bookmarkStart w:id="159"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58">
        <w:r>
          <w:rPr>
            <w:rStyle w:val="Hyperlink"/>
          </w:rPr>
          <w:t xml:space="preserve">https://doi.org/10.1371/journal.pbio.1001745</w:t>
        </w:r>
      </w:hyperlink>
      <w:r>
        <w:t xml:space="preserve">.</w:t>
      </w:r>
    </w:p>
    <w:bookmarkEnd w:id="159"/>
    <w:bookmarkStart w:id="161"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60">
        <w:r>
          <w:rPr>
            <w:rStyle w:val="Hyperlink"/>
          </w:rPr>
          <w:t xml:space="preserve">https://doi.org/10.48550/arXiv.2602.12430</w:t>
        </w:r>
      </w:hyperlink>
      <w:r>
        <w:t xml:space="preserve">.</w:t>
      </w:r>
    </w:p>
    <w:bookmarkEnd w:id="161"/>
    <w:bookmarkStart w:id="163" w:name="ref-ZamfirescuPereira2023"/>
    <w:p>
      <w:pPr>
        <w:pStyle w:val="Bibliography"/>
      </w:pPr>
      <w:r>
        <w:t xml:space="preserve">Zamfirescu-Pereira, J. D., Richmond Y. Wong, Bjoern Hartmann, and Qian Yang. 2023.</w:t>
      </w:r>
      <w:r>
        <w:t xml:space="preserve"> </w:t>
      </w:r>
      <w:hyperlink r:id="rId162">
        <w:r>
          <w:rPr>
            <w:rStyle w:val="Hyperlink"/>
          </w:rPr>
          <w:t xml:space="preserve">Why Johnny Can’t Prompt: How Non-AI Experts Try (and Fail) to Design LLM Prompts</w:t>
        </w:r>
      </w:hyperlink>
      <w:r>
        <w:t xml:space="preserve">, New York, NY, USA.</w:t>
      </w:r>
    </w:p>
    <w:bookmarkEnd w:id="163"/>
    <w:bookmarkStart w:id="165"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64">
        <w:r>
          <w:rPr>
            <w:rStyle w:val="Hyperlink"/>
          </w:rPr>
          <w:t xml:space="preserve">https://doi.org/10.1613/jair.1.11345</w:t>
        </w:r>
      </w:hyperlink>
      <w:r>
        <w:t xml:space="preserve">.</w:t>
      </w:r>
    </w:p>
    <w:bookmarkEnd w:id="165"/>
    <w:bookmarkStart w:id="167"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66">
        <w:r>
          <w:rPr>
            <w:rStyle w:val="Hyperlink"/>
          </w:rPr>
          <w:t xml:space="preserve">https://doi.org/10.1038/s44387-025-00019-5</w:t>
        </w:r>
      </w:hyperlink>
      <w:r>
        <w:t xml:space="preserve">.</w:t>
      </w:r>
    </w:p>
    <w:bookmarkEnd w:id="167"/>
    <w:bookmarkStart w:id="169"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68">
        <w:r>
          <w:rPr>
            <w:rStyle w:val="Hyperlink"/>
          </w:rPr>
          <w:t xml:space="preserve">https://doi.org/10.48550/arXiv.2311.10372</w:t>
        </w:r>
      </w:hyperlink>
      <w:r>
        <w:t xml:space="preserve">.</w:t>
      </w:r>
    </w:p>
    <w:bookmarkEnd w:id="169"/>
    <w:bookmarkStart w:id="171"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70">
        <w:r>
          <w:rPr>
            <w:rStyle w:val="Hyperlink"/>
          </w:rPr>
          <w:t xml:space="preserve">https://doi.org/10.1162/coli_a_00502</w:t>
        </w:r>
      </w:hyperlink>
      <w:r>
        <w:t xml:space="preserve">.</w:t>
      </w:r>
    </w:p>
    <w:bookmarkEnd w:id="171"/>
    <w:bookmarkStart w:id="173"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72">
        <w:r>
          <w:rPr>
            <w:rStyle w:val="Hyperlink"/>
          </w:rPr>
          <w:t xml:space="preserve">https://doi.org/10.48550/arXiv.2603.15914</w:t>
        </w:r>
      </w:hyperlink>
      <w:r>
        <w:t xml:space="preserve">.</w:t>
      </w:r>
    </w:p>
    <w:bookmarkEnd w:id="173"/>
    <w:bookmarkEnd w:id="174"/>
    <w:p>
      <w:r>
        <w:br w:type="page"/>
      </w:r>
    </w:p>
    <w:bookmarkStart w:id="175" w:name="colophon"/>
    <w:p>
      <w:pPr>
        <w:pStyle w:val="Heading3"/>
      </w:pPr>
      <w:r>
        <w:t xml:space="preserve">Colophon</w:t>
      </w:r>
    </w:p>
    <w:p>
      <w:pPr>
        <w:pStyle w:val="FirstParagraph"/>
      </w:pPr>
      <w:r>
        <w:t xml:space="preserve">This report was generated on 2026-09-24 09:30:24.181259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2026-09-24</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0.61    2026-09-16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[8c4db65] 2026-09-24: D&amp;C</w:t>
      </w:r>
    </w:p>
    <w:bookmarkEnd w:id="175"/>
    <w:bookmarkEnd w:id="176"/>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70" Target="https://ai.google/static/documents/AI-in-Science.pdf" TargetMode="External" /><Relationship Type="http://schemas.openxmlformats.org/officeDocument/2006/relationships/hyperlink" Id="rId132" Target="https://doi.org/10.1002/smr.2723" TargetMode="External" /><Relationship Type="http://schemas.openxmlformats.org/officeDocument/2006/relationships/hyperlink" Id="rId94" Target="https://doi.org/10.1007/978-3-032-02049-9_6" TargetMode="External" /><Relationship Type="http://schemas.openxmlformats.org/officeDocument/2006/relationships/hyperlink" Id="rId122" Target="https://doi.org/10.1007/s10816-015-9272-9" TargetMode="External" /><Relationship Type="http://schemas.openxmlformats.org/officeDocument/2006/relationships/hyperlink" Id="rId80" Target="https://doi.org/10.1007/s12599-023-00834-7" TargetMode="External" /><Relationship Type="http://schemas.openxmlformats.org/officeDocument/2006/relationships/hyperlink" Id="rId82" Target="https://doi.org/10.1016/j.culher.2024.11.020" TargetMode="External" /><Relationship Type="http://schemas.openxmlformats.org/officeDocument/2006/relationships/hyperlink" Id="rId92" Target="https://doi.org/10.1016/j.sftr.2025.101152" TargetMode="External" /><Relationship Type="http://schemas.openxmlformats.org/officeDocument/2006/relationships/hyperlink" Id="rId74" Target="https://doi.org/10.1017/aap.2026.10173" TargetMode="External" /><Relationship Type="http://schemas.openxmlformats.org/officeDocument/2006/relationships/hyperlink" Id="rId134" Target="https://doi.org/10.1017/chr.2026.10039" TargetMode="External" /><Relationship Type="http://schemas.openxmlformats.org/officeDocument/2006/relationships/hyperlink" Id="rId124" Target="https://doi.org/10.1038/s41586-024-07146-0" TargetMode="External" /><Relationship Type="http://schemas.openxmlformats.org/officeDocument/2006/relationships/hyperlink" Id="rId120" Target="https://doi.org/10.1038/s41586-026-10265-5" TargetMode="External" /><Relationship Type="http://schemas.openxmlformats.org/officeDocument/2006/relationships/hyperlink" Id="rId152" Target="https://doi.org/10.1038/s41598-023-41032-5" TargetMode="External" /><Relationship Type="http://schemas.openxmlformats.org/officeDocument/2006/relationships/hyperlink" Id="rId156" Target="https://doi.org/10.1038/s41746-024-01233-2" TargetMode="External" /><Relationship Type="http://schemas.openxmlformats.org/officeDocument/2006/relationships/hyperlink" Id="rId86" Target="https://doi.org/10.1038/s44185-024-00043-9" TargetMode="External" /><Relationship Type="http://schemas.openxmlformats.org/officeDocument/2006/relationships/hyperlink" Id="rId166" Target="https://doi.org/10.1038/s44387-025-00019-5" TargetMode="External" /><Relationship Type="http://schemas.openxmlformats.org/officeDocument/2006/relationships/hyperlink" Id="rId90" Target="https://doi.org/10.1057/s41599-026-08832-2" TargetMode="External" /><Relationship Type="http://schemas.openxmlformats.org/officeDocument/2006/relationships/hyperlink" Id="rId45" Target="https://doi.org/10.1073/pnas.2314021121" TargetMode="External" /><Relationship Type="http://schemas.openxmlformats.org/officeDocument/2006/relationships/hyperlink" Id="rId49" Target="https://doi.org/10.1073/pnas.2606495123" TargetMode="External" /><Relationship Type="http://schemas.openxmlformats.org/officeDocument/2006/relationships/hyperlink" Id="rId100" Target="https://doi.org/10.1080/00187259.2026.2714301" TargetMode="External" /><Relationship Type="http://schemas.openxmlformats.org/officeDocument/2006/relationships/hyperlink" Id="rId84" Target="https://doi.org/10.1080/10584609.2023.2290497" TargetMode="External" /><Relationship Type="http://schemas.openxmlformats.org/officeDocument/2006/relationships/hyperlink" Id="rId142" Target="https://doi.org/10.1080/20548923.2025.2564519" TargetMode="External" /><Relationship Type="http://schemas.openxmlformats.org/officeDocument/2006/relationships/hyperlink" Id="rId144" Target="https://doi.org/10.1093/biosci/biaf169" TargetMode="External" /><Relationship Type="http://schemas.openxmlformats.org/officeDocument/2006/relationships/hyperlink" Id="rId78" Target="https://doi.org/10.1093/jmammal/gyaf082" TargetMode="External" /><Relationship Type="http://schemas.openxmlformats.org/officeDocument/2006/relationships/hyperlink" Id="rId150" Target="https://doi.org/10.1098/rs-policy.2026-31" TargetMode="External" /><Relationship Type="http://schemas.openxmlformats.org/officeDocument/2006/relationships/hyperlink" Id="rId72" Target="https://doi.org/10.1111/2041-210X.14325" TargetMode="External" /><Relationship Type="http://schemas.openxmlformats.org/officeDocument/2006/relationships/hyperlink" Id="rId138" Target="https://doi.org/10.1111/2041-210X.14341" TargetMode="External" /><Relationship Type="http://schemas.openxmlformats.org/officeDocument/2006/relationships/hyperlink" Id="rId64" Target="https://doi.org/10.1111/2041-210X.14396" TargetMode="External" /><Relationship Type="http://schemas.openxmlformats.org/officeDocument/2006/relationships/hyperlink" Id="rId62" Target="https://doi.org/10.1111/2041-210x.70267" TargetMode="External" /><Relationship Type="http://schemas.openxmlformats.org/officeDocument/2006/relationships/hyperlink" Id="rId112" Target="https://doi.org/10.1111/2041-210x.70403" TargetMode="External" /><Relationship Type="http://schemas.openxmlformats.org/officeDocument/2006/relationships/hyperlink" Id="rId60" Target="https://doi.org/10.1111/faf.70079" TargetMode="External" /><Relationship Type="http://schemas.openxmlformats.org/officeDocument/2006/relationships/hyperlink" Id="rId148" Target="https://doi.org/10.11141/ia.67.8" TargetMode="External" /><Relationship Type="http://schemas.openxmlformats.org/officeDocument/2006/relationships/hyperlink" Id="rId104" Target="https://doi.org/10.11141/ia.71.15" TargetMode="External" /><Relationship Type="http://schemas.openxmlformats.org/officeDocument/2006/relationships/hyperlink" Id="rId88" Target="https://doi.org/10.1126/science.adi1778" TargetMode="External" /><Relationship Type="http://schemas.openxmlformats.org/officeDocument/2006/relationships/hyperlink" Id="rId162" Target="https://doi.org/10.1145/3544548.3581388" TargetMode="External" /><Relationship Type="http://schemas.openxmlformats.org/officeDocument/2006/relationships/hyperlink" Id="rId96"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70" Target="https://doi.org/10.1162/coli_a_00502" TargetMode="External" /><Relationship Type="http://schemas.openxmlformats.org/officeDocument/2006/relationships/hyperlink" Id="rId108" Target="https://doi.org/10.1257/jel.20231736" TargetMode="External" /><Relationship Type="http://schemas.openxmlformats.org/officeDocument/2006/relationships/hyperlink" Id="rId76" Target="https://doi.org/10.1287/orsc.2025.21838" TargetMode="External" /><Relationship Type="http://schemas.openxmlformats.org/officeDocument/2006/relationships/hyperlink" Id="rId158" Target="https://doi.org/10.1371/journal.pbio.1001745" TargetMode="External" /><Relationship Type="http://schemas.openxmlformats.org/officeDocument/2006/relationships/hyperlink" Id="rId54" Target="https://doi.org/10.1371/journal.pcbi.1014428" TargetMode="External" /><Relationship Type="http://schemas.openxmlformats.org/officeDocument/2006/relationships/hyperlink" Id="rId98" Target="https://doi.org/10.1371/journal.pone.0317084" TargetMode="External" /><Relationship Type="http://schemas.openxmlformats.org/officeDocument/2006/relationships/hyperlink" Id="rId164" Target="https://doi.org/10.1613/jair.1.11345" TargetMode="External" /><Relationship Type="http://schemas.openxmlformats.org/officeDocument/2006/relationships/hyperlink" Id="rId130" Target="https://doi.org/10.17226/29488" TargetMode="External" /><Relationship Type="http://schemas.openxmlformats.org/officeDocument/2006/relationships/hyperlink" Id="rId154" Target="https://doi.org/10.21105/joss.01686" TargetMode="External" /><Relationship Type="http://schemas.openxmlformats.org/officeDocument/2006/relationships/hyperlink" Id="rId128" Target="https://doi.org/10.2139/ssrn.7011058" TargetMode="External" /><Relationship Type="http://schemas.openxmlformats.org/officeDocument/2006/relationships/hyperlink" Id="rId116" Target="https://doi.org/10.2196/51584" TargetMode="External" /><Relationship Type="http://schemas.openxmlformats.org/officeDocument/2006/relationships/hyperlink" Id="rId118"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46" Target="https://doi.org/10.3233/faia230098" TargetMode="External" /><Relationship Type="http://schemas.openxmlformats.org/officeDocument/2006/relationships/hyperlink" Id="rId106" Target="https://doi.org/10.35566/jbds/jikim" TargetMode="External" /><Relationship Type="http://schemas.openxmlformats.org/officeDocument/2006/relationships/hyperlink" Id="rId47" Target="https://doi.org/10.4337/9781802204131.00014" TargetMode="External" /><Relationship Type="http://schemas.openxmlformats.org/officeDocument/2006/relationships/hyperlink" Id="rId102" Target="https://doi.org/10.4337/9781802204131.00019" TargetMode="External" /><Relationship Type="http://schemas.openxmlformats.org/officeDocument/2006/relationships/hyperlink" Id="rId68" Target="https://doi.org/10.48550/arXiv.2304.05128" TargetMode="External" /><Relationship Type="http://schemas.openxmlformats.org/officeDocument/2006/relationships/hyperlink" Id="rId168" Target="https://doi.org/10.48550/arXiv.2311.10372" TargetMode="External" /><Relationship Type="http://schemas.openxmlformats.org/officeDocument/2006/relationships/hyperlink" Id="rId114" Target="https://doi.org/10.48550/arXiv.2505.06120" TargetMode="External" /><Relationship Type="http://schemas.openxmlformats.org/officeDocument/2006/relationships/hyperlink" Id="rId160" Target="https://doi.org/10.48550/arXiv.2602.12430" TargetMode="External" /><Relationship Type="http://schemas.openxmlformats.org/officeDocument/2006/relationships/hyperlink" Id="rId172" Target="https://doi.org/10.48550/arXiv.2603.15914" TargetMode="External" /><Relationship Type="http://schemas.openxmlformats.org/officeDocument/2006/relationships/hyperlink" Id="rId126" Target="https://doi.org/10.48550/arXiv.2607.01507" TargetMode="External" /><Relationship Type="http://schemas.openxmlformats.org/officeDocument/2006/relationships/hyperlink" Id="rId66" Target="https://doi.org/10.48550/arXiv.2609.11198" TargetMode="External" /><Relationship Type="http://schemas.openxmlformats.org/officeDocument/2006/relationships/hyperlink" Id="rId140" Target="https://ladal.edu.au/tutorials/llm_privacy/llm_privacy.html" TargetMode="External" /><Relationship Type="http://schemas.openxmlformats.org/officeDocument/2006/relationships/hyperlink" Id="rId136" Target="https://quarto.org/docs/get-started/hello/rstudio.html" TargetMode="External" /><Relationship Type="http://schemas.openxmlformats.org/officeDocument/2006/relationships/hyperlink" Id="rId56" Target="https://vitaexmachina.substack.com/p/running-local-large-language-models" TargetMode="External" /><Relationship Type="http://schemas.openxmlformats.org/officeDocument/2006/relationships/hyperlink" Id="rId110" Target="https://www.nber.org/papers/w34202" TargetMode="External" /><Relationship Type="http://schemas.openxmlformats.org/officeDocument/2006/relationships/hyperlink" Id="rId58"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70" Target="https://ai.google/static/documents/AI-in-Science.pdf" TargetMode="External" /><Relationship Type="http://schemas.openxmlformats.org/officeDocument/2006/relationships/hyperlink" Id="rId132" Target="https://doi.org/10.1002/smr.2723" TargetMode="External" /><Relationship Type="http://schemas.openxmlformats.org/officeDocument/2006/relationships/hyperlink" Id="rId94" Target="https://doi.org/10.1007/978-3-032-02049-9_6" TargetMode="External" /><Relationship Type="http://schemas.openxmlformats.org/officeDocument/2006/relationships/hyperlink" Id="rId122" Target="https://doi.org/10.1007/s10816-015-9272-9" TargetMode="External" /><Relationship Type="http://schemas.openxmlformats.org/officeDocument/2006/relationships/hyperlink" Id="rId80" Target="https://doi.org/10.1007/s12599-023-00834-7" TargetMode="External" /><Relationship Type="http://schemas.openxmlformats.org/officeDocument/2006/relationships/hyperlink" Id="rId82" Target="https://doi.org/10.1016/j.culher.2024.11.020" TargetMode="External" /><Relationship Type="http://schemas.openxmlformats.org/officeDocument/2006/relationships/hyperlink" Id="rId92" Target="https://doi.org/10.1016/j.sftr.2025.101152" TargetMode="External" /><Relationship Type="http://schemas.openxmlformats.org/officeDocument/2006/relationships/hyperlink" Id="rId74" Target="https://doi.org/10.1017/aap.2026.10173" TargetMode="External" /><Relationship Type="http://schemas.openxmlformats.org/officeDocument/2006/relationships/hyperlink" Id="rId134" Target="https://doi.org/10.1017/chr.2026.10039" TargetMode="External" /><Relationship Type="http://schemas.openxmlformats.org/officeDocument/2006/relationships/hyperlink" Id="rId124" Target="https://doi.org/10.1038/s41586-024-07146-0" TargetMode="External" /><Relationship Type="http://schemas.openxmlformats.org/officeDocument/2006/relationships/hyperlink" Id="rId120" Target="https://doi.org/10.1038/s41586-026-10265-5" TargetMode="External" /><Relationship Type="http://schemas.openxmlformats.org/officeDocument/2006/relationships/hyperlink" Id="rId152" Target="https://doi.org/10.1038/s41598-023-41032-5" TargetMode="External" /><Relationship Type="http://schemas.openxmlformats.org/officeDocument/2006/relationships/hyperlink" Id="rId156" Target="https://doi.org/10.1038/s41746-024-01233-2" TargetMode="External" /><Relationship Type="http://schemas.openxmlformats.org/officeDocument/2006/relationships/hyperlink" Id="rId86" Target="https://doi.org/10.1038/s44185-024-00043-9" TargetMode="External" /><Relationship Type="http://schemas.openxmlformats.org/officeDocument/2006/relationships/hyperlink" Id="rId166" Target="https://doi.org/10.1038/s44387-025-00019-5" TargetMode="External" /><Relationship Type="http://schemas.openxmlformats.org/officeDocument/2006/relationships/hyperlink" Id="rId90" Target="https://doi.org/10.1057/s41599-026-08832-2" TargetMode="External" /><Relationship Type="http://schemas.openxmlformats.org/officeDocument/2006/relationships/hyperlink" Id="rId45" Target="https://doi.org/10.1073/pnas.2314021121" TargetMode="External" /><Relationship Type="http://schemas.openxmlformats.org/officeDocument/2006/relationships/hyperlink" Id="rId49" Target="https://doi.org/10.1073/pnas.2606495123" TargetMode="External" /><Relationship Type="http://schemas.openxmlformats.org/officeDocument/2006/relationships/hyperlink" Id="rId100" Target="https://doi.org/10.1080/00187259.2026.2714301" TargetMode="External" /><Relationship Type="http://schemas.openxmlformats.org/officeDocument/2006/relationships/hyperlink" Id="rId84" Target="https://doi.org/10.1080/10584609.2023.2290497" TargetMode="External" /><Relationship Type="http://schemas.openxmlformats.org/officeDocument/2006/relationships/hyperlink" Id="rId142" Target="https://doi.org/10.1080/20548923.2025.2564519" TargetMode="External" /><Relationship Type="http://schemas.openxmlformats.org/officeDocument/2006/relationships/hyperlink" Id="rId144" Target="https://doi.org/10.1093/biosci/biaf169" TargetMode="External" /><Relationship Type="http://schemas.openxmlformats.org/officeDocument/2006/relationships/hyperlink" Id="rId78" Target="https://doi.org/10.1093/jmammal/gyaf082" TargetMode="External" /><Relationship Type="http://schemas.openxmlformats.org/officeDocument/2006/relationships/hyperlink" Id="rId150" Target="https://doi.org/10.1098/rs-policy.2026-31" TargetMode="External" /><Relationship Type="http://schemas.openxmlformats.org/officeDocument/2006/relationships/hyperlink" Id="rId72" Target="https://doi.org/10.1111/2041-210X.14325" TargetMode="External" /><Relationship Type="http://schemas.openxmlformats.org/officeDocument/2006/relationships/hyperlink" Id="rId138" Target="https://doi.org/10.1111/2041-210X.14341" TargetMode="External" /><Relationship Type="http://schemas.openxmlformats.org/officeDocument/2006/relationships/hyperlink" Id="rId64" Target="https://doi.org/10.1111/2041-210X.14396" TargetMode="External" /><Relationship Type="http://schemas.openxmlformats.org/officeDocument/2006/relationships/hyperlink" Id="rId62" Target="https://doi.org/10.1111/2041-210x.70267" TargetMode="External" /><Relationship Type="http://schemas.openxmlformats.org/officeDocument/2006/relationships/hyperlink" Id="rId112" Target="https://doi.org/10.1111/2041-210x.70403" TargetMode="External" /><Relationship Type="http://schemas.openxmlformats.org/officeDocument/2006/relationships/hyperlink" Id="rId60" Target="https://doi.org/10.1111/faf.70079" TargetMode="External" /><Relationship Type="http://schemas.openxmlformats.org/officeDocument/2006/relationships/hyperlink" Id="rId148" Target="https://doi.org/10.11141/ia.67.8" TargetMode="External" /><Relationship Type="http://schemas.openxmlformats.org/officeDocument/2006/relationships/hyperlink" Id="rId104" Target="https://doi.org/10.11141/ia.71.15" TargetMode="External" /><Relationship Type="http://schemas.openxmlformats.org/officeDocument/2006/relationships/hyperlink" Id="rId88" Target="https://doi.org/10.1126/science.adi1778" TargetMode="External" /><Relationship Type="http://schemas.openxmlformats.org/officeDocument/2006/relationships/hyperlink" Id="rId162" Target="https://doi.org/10.1145/3544548.3581388" TargetMode="External" /><Relationship Type="http://schemas.openxmlformats.org/officeDocument/2006/relationships/hyperlink" Id="rId96"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70" Target="https://doi.org/10.1162/coli_a_00502" TargetMode="External" /><Relationship Type="http://schemas.openxmlformats.org/officeDocument/2006/relationships/hyperlink" Id="rId108" Target="https://doi.org/10.1257/jel.20231736" TargetMode="External" /><Relationship Type="http://schemas.openxmlformats.org/officeDocument/2006/relationships/hyperlink" Id="rId76" Target="https://doi.org/10.1287/orsc.2025.21838" TargetMode="External" /><Relationship Type="http://schemas.openxmlformats.org/officeDocument/2006/relationships/hyperlink" Id="rId158" Target="https://doi.org/10.1371/journal.pbio.1001745" TargetMode="External" /><Relationship Type="http://schemas.openxmlformats.org/officeDocument/2006/relationships/hyperlink" Id="rId54" Target="https://doi.org/10.1371/journal.pcbi.1014428" TargetMode="External" /><Relationship Type="http://schemas.openxmlformats.org/officeDocument/2006/relationships/hyperlink" Id="rId98" Target="https://doi.org/10.1371/journal.pone.0317084" TargetMode="External" /><Relationship Type="http://schemas.openxmlformats.org/officeDocument/2006/relationships/hyperlink" Id="rId164" Target="https://doi.org/10.1613/jair.1.11345" TargetMode="External" /><Relationship Type="http://schemas.openxmlformats.org/officeDocument/2006/relationships/hyperlink" Id="rId130" Target="https://doi.org/10.17226/29488" TargetMode="External" /><Relationship Type="http://schemas.openxmlformats.org/officeDocument/2006/relationships/hyperlink" Id="rId154" Target="https://doi.org/10.21105/joss.01686" TargetMode="External" /><Relationship Type="http://schemas.openxmlformats.org/officeDocument/2006/relationships/hyperlink" Id="rId128" Target="https://doi.org/10.2139/ssrn.7011058" TargetMode="External" /><Relationship Type="http://schemas.openxmlformats.org/officeDocument/2006/relationships/hyperlink" Id="rId116" Target="https://doi.org/10.2196/51584" TargetMode="External" /><Relationship Type="http://schemas.openxmlformats.org/officeDocument/2006/relationships/hyperlink" Id="rId118" Target="https://doi.org/10.22582/ta.v14i2.778" TargetMode="External" /><Relationship Type="http://schemas.openxmlformats.org/officeDocument/2006/relationships/hyperlink" Id="rId52" Target="https://doi.org/10.31235/osf.io/azs6r_v1" TargetMode="External" /><Relationship Type="http://schemas.openxmlformats.org/officeDocument/2006/relationships/hyperlink" Id="rId146" Target="https://doi.org/10.3233/faia230098" TargetMode="External" /><Relationship Type="http://schemas.openxmlformats.org/officeDocument/2006/relationships/hyperlink" Id="rId106" Target="https://doi.org/10.35566/jbds/jikim" TargetMode="External" /><Relationship Type="http://schemas.openxmlformats.org/officeDocument/2006/relationships/hyperlink" Id="rId47" Target="https://doi.org/10.4337/9781802204131.00014" TargetMode="External" /><Relationship Type="http://schemas.openxmlformats.org/officeDocument/2006/relationships/hyperlink" Id="rId102" Target="https://doi.org/10.4337/9781802204131.00019" TargetMode="External" /><Relationship Type="http://schemas.openxmlformats.org/officeDocument/2006/relationships/hyperlink" Id="rId68" Target="https://doi.org/10.48550/arXiv.2304.05128" TargetMode="External" /><Relationship Type="http://schemas.openxmlformats.org/officeDocument/2006/relationships/hyperlink" Id="rId168" Target="https://doi.org/10.48550/arXiv.2311.10372" TargetMode="External" /><Relationship Type="http://schemas.openxmlformats.org/officeDocument/2006/relationships/hyperlink" Id="rId114" Target="https://doi.org/10.48550/arXiv.2505.06120" TargetMode="External" /><Relationship Type="http://schemas.openxmlformats.org/officeDocument/2006/relationships/hyperlink" Id="rId160" Target="https://doi.org/10.48550/arXiv.2602.12430" TargetMode="External" /><Relationship Type="http://schemas.openxmlformats.org/officeDocument/2006/relationships/hyperlink" Id="rId172" Target="https://doi.org/10.48550/arXiv.2603.15914" TargetMode="External" /><Relationship Type="http://schemas.openxmlformats.org/officeDocument/2006/relationships/hyperlink" Id="rId126" Target="https://doi.org/10.48550/arXiv.2607.01507" TargetMode="External" /><Relationship Type="http://schemas.openxmlformats.org/officeDocument/2006/relationships/hyperlink" Id="rId66" Target="https://doi.org/10.48550/arXiv.2609.11198" TargetMode="External" /><Relationship Type="http://schemas.openxmlformats.org/officeDocument/2006/relationships/hyperlink" Id="rId140" Target="https://ladal.edu.au/tutorials/llm_privacy/llm_privacy.html" TargetMode="External" /><Relationship Type="http://schemas.openxmlformats.org/officeDocument/2006/relationships/hyperlink" Id="rId136" Target="https://quarto.org/docs/get-started/hello/rstudio.html" TargetMode="External" /><Relationship Type="http://schemas.openxmlformats.org/officeDocument/2006/relationships/hyperlink" Id="rId56" Target="https://vitaexmachina.substack.com/p/running-local-large-language-models" TargetMode="External" /><Relationship Type="http://schemas.openxmlformats.org/officeDocument/2006/relationships/hyperlink" Id="rId110" Target="https://www.nber.org/papers/w34202" TargetMode="External" /><Relationship Type="http://schemas.openxmlformats.org/officeDocument/2006/relationships/hyperlink" Id="rId58"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2026-09-24T16:30:25Z</dcterms:created>
  <dcterms:modified xsi:type="dcterms:W3CDTF">2026-09-24T16:30:25Z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show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24,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