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r>
        <w:t xml:space="preserve"> </w:t>
      </w:r>
      <w:r>
        <w:t xml:space="preserve">in</w:t>
      </w:r>
      <w:r>
        <w:t xml:space="preserve"> </w:t>
      </w:r>
      <w:r>
        <w:t xml:space="preserve">R</w:t>
      </w:r>
    </w:p>
    <w:p>
      <w:pPr>
        <w:pStyle w:val="Date"/>
      </w:pPr>
      <w:r>
        <w:t xml:space="preserve">September</w:t>
      </w:r>
      <w:r>
        <w:t xml:space="preserve"> </w:t>
      </w:r>
      <w:r>
        <w:t xml:space="preserve">19,</w:t>
      </w:r>
      <w:r>
        <w:t xml:space="preserve"> </w:t>
      </w:r>
      <w:r>
        <w:t xml:space="preserve">2026</w:t>
      </w:r>
    </w:p>
    <w:p>
      <w:pPr>
        <w:pStyle w:val="AbstractTitle"/>
      </w:pPr>
      <w:r>
        <w:t xml:space="preserve">Abstract</w:t>
      </w:r>
    </w:p>
    <w:p>
      <w:pPr>
        <w:pStyle w:val="Abstract"/>
      </w:pPr>
      <w:r>
        <w:t xml:space="preserve">Archaeologists</w:t>
      </w:r>
      <w:r>
        <w:t xml:space="preserve"> </w:t>
      </w:r>
      <w:r>
        <w:t xml:space="preserve">who</w:t>
      </w:r>
      <w:r>
        <w:t xml:space="preserve"> </w:t>
      </w:r>
      <w:r>
        <w:t xml:space="preserve">use</w:t>
      </w:r>
      <w:r>
        <w:t xml:space="preserve"> </w:t>
      </w:r>
      <w:r>
        <w:t xml:space="preserve">generative</w:t>
      </w:r>
      <w:r>
        <w:t xml:space="preserve"> </w:t>
      </w:r>
      <w:r>
        <w:t xml:space="preserve">artificial</w:t>
      </w:r>
      <w:r>
        <w:t xml:space="preserve"> </w:t>
      </w:r>
      <w:r>
        <w:t xml:space="preserve">intelligence</w:t>
      </w:r>
      <w:r>
        <w:t xml:space="preserve"> </w:t>
      </w:r>
      <w:r>
        <w:t xml:space="preserve">(AI)</w:t>
      </w:r>
      <w:r>
        <w:t xml:space="preserve"> </w:t>
      </w:r>
      <w:r>
        <w:t xml:space="preserve">for</w:t>
      </w:r>
      <w:r>
        <w:t xml:space="preserve"> </w:t>
      </w:r>
      <w:r>
        <w:t xml:space="preserve">data</w:t>
      </w:r>
      <w:r>
        <w:t xml:space="preserve"> </w:t>
      </w:r>
      <w:r>
        <w:t xml:space="preserve">analysis</w:t>
      </w:r>
      <w:r>
        <w:t xml:space="preserve"> </w:t>
      </w:r>
      <w:r>
        <w:t xml:space="preserve">need</w:t>
      </w:r>
      <w:r>
        <w:t xml:space="preserve"> </w:t>
      </w:r>
      <w:r>
        <w:t xml:space="preserve">procedures</w:t>
      </w:r>
      <w:r>
        <w:t xml:space="preserve"> </w:t>
      </w:r>
      <w:r>
        <w:t xml:space="preserve">for</w:t>
      </w:r>
      <w:r>
        <w:t xml:space="preserve"> </w:t>
      </w:r>
      <w:r>
        <w:t xml:space="preserve">inspecting</w:t>
      </w:r>
      <w:r>
        <w:t xml:space="preserve"> </w:t>
      </w:r>
      <w:r>
        <w:t xml:space="preserve">code,</w:t>
      </w:r>
      <w:r>
        <w:t xml:space="preserve"> </w:t>
      </w:r>
      <w:r>
        <w:t xml:space="preserve">evaluating</w:t>
      </w:r>
      <w:r>
        <w:t xml:space="preserve"> </w:t>
      </w:r>
      <w:r>
        <w:t xml:space="preserve">methods,</w:t>
      </w:r>
      <w:r>
        <w:t xml:space="preserve"> </w:t>
      </w:r>
      <w:r>
        <w:t xml:space="preserve">and</w:t>
      </w:r>
      <w:r>
        <w:t xml:space="preserve"> </w:t>
      </w:r>
      <w:r>
        <w:t xml:space="preserve">checking</w:t>
      </w:r>
      <w:r>
        <w:t xml:space="preserve"> </w:t>
      </w:r>
      <w:r>
        <w:t xml:space="preserve">sources.</w:t>
      </w:r>
      <w:r>
        <w:t xml:space="preserve"> </w:t>
      </w:r>
      <w:r>
        <w:t xml:space="preserve">This</w:t>
      </w:r>
      <w:r>
        <w:t xml:space="preserve"> </w:t>
      </w:r>
      <w:r>
        <w:t xml:space="preserve">how-to</w:t>
      </w:r>
      <w:r>
        <w:t xml:space="preserve"> </w:t>
      </w:r>
      <w:r>
        <w:t xml:space="preserve">article</w:t>
      </w:r>
      <w:r>
        <w:t xml:space="preserve"> </w:t>
      </w:r>
      <w:r>
        <w:t xml:space="preserve">describes</w:t>
      </w:r>
      <w:r>
        <w:t xml:space="preserve"> </w:t>
      </w:r>
      <w:r>
        <w:t xml:space="preserve">three</w:t>
      </w:r>
      <w:r>
        <w:t xml:space="preserve"> </w:t>
      </w:r>
      <w:r>
        <w:t xml:space="preserve">practices</w:t>
      </w:r>
      <w:r>
        <w:t xml:space="preserve"> </w:t>
      </w:r>
      <w:r>
        <w:t xml:space="preserve">for</w:t>
      </w:r>
      <w:r>
        <w:t xml:space="preserve"> </w:t>
      </w:r>
      <w:r>
        <w:t xml:space="preserve">responsible</w:t>
      </w:r>
      <w:r>
        <w:t xml:space="preserve"> </w:t>
      </w:r>
      <w:r>
        <w:t xml:space="preserve">agentic</w:t>
      </w:r>
      <w:r>
        <w:t xml:space="preserve"> </w:t>
      </w:r>
      <w:r>
        <w:t xml:space="preserve">AI</w:t>
      </w:r>
      <w:r>
        <w:t xml:space="preserve"> </w:t>
      </w:r>
      <w:r>
        <w:t xml:space="preserve">use</w:t>
      </w:r>
      <w:r>
        <w:t xml:space="preserve"> </w:t>
      </w:r>
      <w:r>
        <w:t xml:space="preserve">in</w:t>
      </w:r>
      <w:r>
        <w:t xml:space="preserve"> </w:t>
      </w:r>
      <w:r>
        <w:t xml:space="preserve">R.</w:t>
      </w:r>
      <w:r>
        <w:t xml:space="preserve"> </w:t>
      </w:r>
      <w:r>
        <w:t xml:space="preserve">First,</w:t>
      </w:r>
      <w:r>
        <w:t xml:space="preserve"> </w:t>
      </w:r>
      <w:r>
        <w:t xml:space="preserve">develop</w:t>
      </w:r>
      <w:r>
        <w:t xml:space="preserve"> </w:t>
      </w:r>
      <w:r>
        <w:t xml:space="preserve">enough</w:t>
      </w:r>
      <w:r>
        <w:t xml:space="preserve"> </w:t>
      </w:r>
      <w:r>
        <w:t xml:space="preserve">familiarity</w:t>
      </w:r>
      <w:r>
        <w:t xml:space="preserve"> </w:t>
      </w:r>
      <w:r>
        <w:t xml:space="preserve">with</w:t>
      </w:r>
      <w:r>
        <w:t xml:space="preserve"> </w:t>
      </w:r>
      <w:r>
        <w:t xml:space="preserve">research</w:t>
      </w:r>
      <w:r>
        <w:t xml:space="preserve"> </w:t>
      </w:r>
      <w:r>
        <w:t xml:space="preserve">tools</w:t>
      </w:r>
      <w:r>
        <w:t xml:space="preserve"> </w:t>
      </w:r>
      <w:r>
        <w:t xml:space="preserve">and</w:t>
      </w:r>
      <w:r>
        <w:t xml:space="preserve"> </w:t>
      </w:r>
      <w:r>
        <w:t xml:space="preserve">standards</w:t>
      </w:r>
      <w:r>
        <w:t xml:space="preserve"> </w:t>
      </w:r>
      <w:r>
        <w:t xml:space="preserve">to</w:t>
      </w:r>
      <w:r>
        <w:t xml:space="preserve"> </w:t>
      </w:r>
      <w:r>
        <w:t xml:space="preserve">judge</w:t>
      </w:r>
      <w:r>
        <w:t xml:space="preserve"> </w:t>
      </w:r>
      <w:r>
        <w:t xml:space="preserve">AI-generated</w:t>
      </w:r>
      <w:r>
        <w:t xml:space="preserve"> </w:t>
      </w:r>
      <w:r>
        <w:t xml:space="preserve">outputs.</w:t>
      </w:r>
      <w:r>
        <w:t xml:space="preserve"> </w:t>
      </w:r>
      <w:r>
        <w:t xml:space="preserve">R</w:t>
      </w:r>
      <w:r>
        <w:t xml:space="preserve"> </w:t>
      </w:r>
      <w:r>
        <w:t xml:space="preserve">supports</w:t>
      </w:r>
      <w:r>
        <w:t xml:space="preserve"> </w:t>
      </w:r>
      <w:r>
        <w:t xml:space="preserve">analysis,</w:t>
      </w:r>
      <w:r>
        <w:t xml:space="preserve"> </w:t>
      </w:r>
      <w:r>
        <w:t xml:space="preserve">Quarto</w:t>
      </w:r>
      <w:r>
        <w:t xml:space="preserve"> </w:t>
      </w:r>
      <w:r>
        <w:t xml:space="preserve">combines</w:t>
      </w:r>
      <w:r>
        <w:t xml:space="preserve"> </w:t>
      </w:r>
      <w:r>
        <w:t xml:space="preserve">code</w:t>
      </w:r>
      <w:r>
        <w:t xml:space="preserve"> </w:t>
      </w:r>
      <w:r>
        <w:t xml:space="preserve">and</w:t>
      </w:r>
      <w:r>
        <w:t xml:space="preserve"> </w:t>
      </w:r>
      <w:r>
        <w:t xml:space="preserve">text</w:t>
      </w:r>
      <w:r>
        <w:t xml:space="preserve"> </w:t>
      </w:r>
      <w:r>
        <w:t xml:space="preserve">in</w:t>
      </w:r>
      <w:r>
        <w:t xml:space="preserve"> </w:t>
      </w:r>
      <w:r>
        <w:t xml:space="preserve">executable</w:t>
      </w:r>
      <w:r>
        <w:t xml:space="preserve"> </w:t>
      </w:r>
      <w:r>
        <w:t xml:space="preserve">documents,</w:t>
      </w:r>
      <w:r>
        <w:t xml:space="preserve"> </w:t>
      </w:r>
      <w:r>
        <w:t xml:space="preserve">and</w:t>
      </w:r>
      <w:r>
        <w:t xml:space="preserve"> </w:t>
      </w:r>
      <w:r>
        <w:t xml:space="preserve">Git</w:t>
      </w:r>
      <w:r>
        <w:t xml:space="preserve"> </w:t>
      </w:r>
      <w:r>
        <w:t xml:space="preserve">records</w:t>
      </w:r>
      <w:r>
        <w:t xml:space="preserve"> </w:t>
      </w:r>
      <w:r>
        <w:t xml:space="preserve">changes</w:t>
      </w:r>
      <w:r>
        <w:t xml:space="preserve"> </w:t>
      </w:r>
      <w:r>
        <w:t xml:space="preserve">for</w:t>
      </w:r>
      <w:r>
        <w:t xml:space="preserve"> </w:t>
      </w:r>
      <w:r>
        <w:t xml:space="preserve">inspection.</w:t>
      </w:r>
      <w:r>
        <w:t xml:space="preserve"> </w:t>
      </w:r>
      <w:r>
        <w:t xml:space="preserve">Second,</w:t>
      </w:r>
      <w:r>
        <w:t xml:space="preserve"> </w:t>
      </w:r>
      <w:r>
        <w:t xml:space="preserve">configure</w:t>
      </w:r>
      <w:r>
        <w:t xml:space="preserve"> </w:t>
      </w:r>
      <w:r>
        <w:t xml:space="preserve">an</w:t>
      </w:r>
      <w:r>
        <w:t xml:space="preserve"> </w:t>
      </w:r>
      <w:r>
        <w:t xml:space="preserve">AI</w:t>
      </w:r>
      <w:r>
        <w:t xml:space="preserve"> </w:t>
      </w:r>
      <w:r>
        <w:t xml:space="preserve">agent</w:t>
      </w:r>
      <w:r>
        <w:t xml:space="preserve"> </w:t>
      </w:r>
      <w:r>
        <w:t xml:space="preserve">in</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explicit</w:t>
      </w:r>
      <w:r>
        <w:t xml:space="preserve"> </w:t>
      </w:r>
      <w:r>
        <w:t xml:space="preserve">project</w:t>
      </w:r>
      <w:r>
        <w:t xml:space="preserve"> </w:t>
      </w:r>
      <w:r>
        <w:t xml:space="preserve">instructions</w:t>
      </w:r>
      <w:r>
        <w:t xml:space="preserve"> </w:t>
      </w:r>
      <w:r>
        <w:t xml:space="preserve">and</w:t>
      </w:r>
      <w:r>
        <w:t xml:space="preserve"> </w:t>
      </w:r>
      <w:r>
        <w:t xml:space="preserve">permissions.</w:t>
      </w:r>
      <w:r>
        <w:t xml:space="preserve"> </w:t>
      </w:r>
      <w:r>
        <w:t xml:space="preserve">Third,</w:t>
      </w:r>
      <w:r>
        <w:t xml:space="preserve"> </w:t>
      </w:r>
      <w:r>
        <w:t xml:space="preserve">use</w:t>
      </w:r>
      <w:r>
        <w:t xml:space="preserve"> </w:t>
      </w:r>
      <w:r>
        <w:t xml:space="preserve">skills,</w:t>
      </w:r>
      <w:r>
        <w:t xml:space="preserve"> </w:t>
      </w:r>
      <w:r>
        <w:t xml:space="preserve">tools,</w:t>
      </w:r>
      <w:r>
        <w:t xml:space="preserve"> </w:t>
      </w:r>
      <w:r>
        <w:t xml:space="preserve">and</w:t>
      </w:r>
      <w:r>
        <w:t xml:space="preserve"> </w:t>
      </w:r>
      <w:r>
        <w:t xml:space="preserve">Model</w:t>
      </w:r>
      <w:r>
        <w:t xml:space="preserve"> </w:t>
      </w:r>
      <w:r>
        <w:t xml:space="preserve">Context</w:t>
      </w:r>
      <w:r>
        <w:t xml:space="preserve"> </w:t>
      </w:r>
      <w:r>
        <w:t xml:space="preserve">Protocol</w:t>
      </w:r>
      <w:r>
        <w:t xml:space="preserve"> </w:t>
      </w:r>
      <w:r>
        <w:t xml:space="preserve">servers</w:t>
      </w:r>
      <w:r>
        <w:t xml:space="preserve"> </w:t>
      </w:r>
      <w:r>
        <w:t xml:space="preserve">to</w:t>
      </w:r>
      <w:r>
        <w:t xml:space="preserve"> </w:t>
      </w:r>
      <w:r>
        <w:t xml:space="preserve">research</w:t>
      </w:r>
      <w:r>
        <w:t xml:space="preserve"> </w:t>
      </w:r>
      <w:r>
        <w:t xml:space="preserve">a</w:t>
      </w:r>
      <w:r>
        <w:t xml:space="preserve"> </w:t>
      </w:r>
      <w:r>
        <w:t xml:space="preserve">question,</w:t>
      </w:r>
      <w:r>
        <w:t xml:space="preserve"> </w:t>
      </w:r>
      <w:r>
        <w:t xml:space="preserve">critique</w:t>
      </w:r>
      <w:r>
        <w:t xml:space="preserve"> </w:t>
      </w:r>
      <w:r>
        <w:t xml:space="preserve">a</w:t>
      </w:r>
      <w:r>
        <w:t xml:space="preserve"> </w:t>
      </w:r>
      <w:r>
        <w:t xml:space="preserve">researcher-written</w:t>
      </w:r>
      <w:r>
        <w:t xml:space="preserve"> </w:t>
      </w:r>
      <w:r>
        <w:t xml:space="preserve">plan,</w:t>
      </w:r>
      <w:r>
        <w:t xml:space="preserve"> </w:t>
      </w:r>
      <w:r>
        <w:t xml:space="preserve">execute</w:t>
      </w:r>
      <w:r>
        <w:t xml:space="preserve"> </w:t>
      </w:r>
      <w:r>
        <w:t xml:space="preserve">approved</w:t>
      </w:r>
      <w:r>
        <w:t xml:space="preserve"> </w:t>
      </w:r>
      <w:r>
        <w:t xml:space="preserve">analyses,</w:t>
      </w:r>
      <w:r>
        <w:t xml:space="preserve"> </w:t>
      </w:r>
      <w:r>
        <w:t xml:space="preserve">and</w:t>
      </w:r>
      <w:r>
        <w:t xml:space="preserve"> </w:t>
      </w:r>
      <w:r>
        <w:t xml:space="preserve">verify</w:t>
      </w:r>
      <w:r>
        <w:t xml:space="preserve"> </w:t>
      </w:r>
      <w:r>
        <w:t xml:space="preserve">results.</w:t>
      </w:r>
      <w:r>
        <w:t xml:space="preserve"> </w:t>
      </w:r>
      <w:r>
        <w:t xml:space="preserve">We</w:t>
      </w:r>
      <w:r>
        <w:t xml:space="preserve"> </w:t>
      </w:r>
      <w:r>
        <w:t xml:space="preserve">describe</w:t>
      </w:r>
      <w:r>
        <w:t xml:space="preserve"> </w:t>
      </w:r>
      <w:r>
        <w:t xml:space="preserve">the</w:t>
      </w:r>
      <w:r>
        <w:t xml:space="preserve"> </w:t>
      </w:r>
      <w:r>
        <w:t xml:space="preserve">inputs,</w:t>
      </w:r>
      <w:r>
        <w:t xml:space="preserve"> </w:t>
      </w:r>
      <w:r>
        <w:t xml:space="preserve">actions,</w:t>
      </w:r>
      <w:r>
        <w:t xml:space="preserve"> </w:t>
      </w:r>
      <w:r>
        <w:t xml:space="preserve">and</w:t>
      </w:r>
      <w:r>
        <w:t xml:space="preserve"> </w:t>
      </w:r>
      <w:r>
        <w:t xml:space="preserve">checks</w:t>
      </w:r>
      <w:r>
        <w:t xml:space="preserve"> </w:t>
      </w:r>
      <w:r>
        <w:t xml:space="preserve">for</w:t>
      </w:r>
      <w:r>
        <w:t xml:space="preserve"> </w:t>
      </w:r>
      <w:r>
        <w:t xml:space="preserve">each</w:t>
      </w:r>
      <w:r>
        <w:t xml:space="preserve"> </w:t>
      </w:r>
      <w:r>
        <w:t xml:space="preserve">practice,</w:t>
      </w:r>
      <w:r>
        <w:t xml:space="preserve"> </w:t>
      </w:r>
      <w:r>
        <w:t xml:space="preserve">including</w:t>
      </w:r>
      <w:r>
        <w:t xml:space="preserve"> </w:t>
      </w:r>
      <w:r>
        <w:t xml:space="preserve">precautions</w:t>
      </w:r>
      <w:r>
        <w:t xml:space="preserve"> </w:t>
      </w:r>
      <w:r>
        <w:t xml:space="preserve">for</w:t>
      </w:r>
      <w:r>
        <w:t xml:space="preserve"> </w:t>
      </w:r>
      <w:r>
        <w:t xml:space="preserve">restricted</w:t>
      </w:r>
      <w:r>
        <w:t xml:space="preserve"> </w:t>
      </w:r>
      <w:r>
        <w:t xml:space="preserve">archaeological</w:t>
      </w:r>
      <w:r>
        <w:t xml:space="preserve"> </w:t>
      </w:r>
      <w:r>
        <w:t xml:space="preserve">data.</w:t>
      </w:r>
      <w:r>
        <w:t xml:space="preserve"> </w:t>
      </w:r>
      <w:r>
        <w:t xml:space="preserve">The</w:t>
      </w:r>
      <w:r>
        <w:t xml:space="preserve"> </w:t>
      </w:r>
      <w:r>
        <w:t xml:space="preserve">workflow</w:t>
      </w:r>
      <w:r>
        <w:t xml:space="preserve"> </w:t>
      </w:r>
      <w:r>
        <w:t xml:space="preserve">retains</w:t>
      </w:r>
      <w:r>
        <w:t xml:space="preserve"> </w:t>
      </w:r>
      <w:r>
        <w:t xml:space="preserve">the</w:t>
      </w:r>
      <w:r>
        <w:t xml:space="preserve"> </w:t>
      </w:r>
      <w:r>
        <w:t xml:space="preserve">researcher’s</w:t>
      </w:r>
      <w:r>
        <w:t xml:space="preserve"> </w:t>
      </w:r>
      <w:r>
        <w:t xml:space="preserve">responsibility</w:t>
      </w:r>
      <w:r>
        <w:t xml:space="preserve"> </w:t>
      </w:r>
      <w:r>
        <w:t xml:space="preserve">for</w:t>
      </w:r>
      <w:r>
        <w:t xml:space="preserve"> </w:t>
      </w:r>
      <w:r>
        <w:t xml:space="preserve">analytical</w:t>
      </w:r>
      <w:r>
        <w:t xml:space="preserve"> </w:t>
      </w:r>
      <w:r>
        <w:t xml:space="preserve">decisions</w:t>
      </w:r>
      <w:r>
        <w:t xml:space="preserve"> </w:t>
      </w:r>
      <w:r>
        <w:t xml:space="preserve">and</w:t>
      </w:r>
      <w:r>
        <w:t xml:space="preserve"> </w:t>
      </w:r>
      <w:r>
        <w:t xml:space="preserve">produces</w:t>
      </w:r>
      <w:r>
        <w:t xml:space="preserve"> </w:t>
      </w:r>
      <w:r>
        <w:t xml:space="preserve">code,</w:t>
      </w:r>
      <w:r>
        <w:t xml:space="preserve"> </w:t>
      </w:r>
      <w:r>
        <w:t xml:space="preserve">documentation,</w:t>
      </w:r>
      <w:r>
        <w:t xml:space="preserve"> </w:t>
      </w:r>
      <w:r>
        <w:t xml:space="preserve">and</w:t>
      </w:r>
      <w:r>
        <w:t xml:space="preserve"> </w:t>
      </w:r>
      <w:r>
        <w:t xml:space="preserve">a</w:t>
      </w:r>
      <w:r>
        <w:t xml:space="preserve"> </w:t>
      </w:r>
      <w:r>
        <w:t xml:space="preserve">report</w:t>
      </w:r>
      <w:r>
        <w:t xml:space="preserve"> </w:t>
      </w:r>
      <w:r>
        <w:t xml:space="preserve">that</w:t>
      </w:r>
      <w:r>
        <w:t xml:space="preserve"> </w:t>
      </w:r>
      <w:r>
        <w:t xml:space="preserve">others</w:t>
      </w:r>
      <w:r>
        <w:t xml:space="preserve"> </w:t>
      </w:r>
      <w:r>
        <w:t xml:space="preserve">can</w:t>
      </w:r>
      <w:r>
        <w:t xml:space="preserve"> </w:t>
      </w:r>
      <w:r>
        <w:t xml:space="preserve">inspect.</w:t>
      </w:r>
      <w:r>
        <w:t xml:space="preserve"> </w:t>
      </w:r>
      <w:r>
        <w:t xml:space="preserve">We</w:t>
      </w:r>
      <w:r>
        <w:t xml:space="preserve"> </w:t>
      </w:r>
      <w:r>
        <w:t xml:space="preserve">discuss</w:t>
      </w:r>
      <w:r>
        <w:t xml:space="preserve"> </w:t>
      </w:r>
      <w:r>
        <w:t xml:space="preserve">setup</w:t>
      </w:r>
      <w:r>
        <w:t xml:space="preserve"> </w:t>
      </w:r>
      <w:r>
        <w:t xml:space="preserve">costs,</w:t>
      </w:r>
      <w:r>
        <w:t xml:space="preserve"> </w:t>
      </w:r>
      <w:r>
        <w:t xml:space="preserve">limitations</w:t>
      </w:r>
      <w:r>
        <w:t xml:space="preserve"> </w:t>
      </w:r>
      <w:r>
        <w:t xml:space="preserve">of</w:t>
      </w:r>
      <w:r>
        <w:t xml:space="preserve"> </w:t>
      </w:r>
      <w:r>
        <w:t xml:space="preserve">automated</w:t>
      </w:r>
      <w:r>
        <w:t xml:space="preserve"> </w:t>
      </w:r>
      <w:r>
        <w:t xml:space="preserve">checking,</w:t>
      </w:r>
      <w:r>
        <w:t xml:space="preserve"> </w:t>
      </w:r>
      <w:r>
        <w:t xml:space="preserve">and</w:t>
      </w:r>
      <w:r>
        <w:t xml:space="preserve"> </w:t>
      </w:r>
      <w:r>
        <w:t xml:space="preserve">the</w:t>
      </w:r>
      <w:r>
        <w:t xml:space="preserve"> </w:t>
      </w:r>
      <w:r>
        <w:t xml:space="preserve">distinction</w:t>
      </w:r>
      <w:r>
        <w:t xml:space="preserve"> </w:t>
      </w:r>
      <w:r>
        <w:t xml:space="preserve">between</w:t>
      </w:r>
      <w:r>
        <w:t xml:space="preserve"> </w:t>
      </w:r>
      <w:r>
        <w:t xml:space="preserve">reproducing</w:t>
      </w:r>
      <w:r>
        <w:t xml:space="preserve"> </w:t>
      </w:r>
      <w:r>
        <w:t xml:space="preserve">a</w:t>
      </w:r>
      <w:r>
        <w:t xml:space="preserve"> </w:t>
      </w:r>
      <w:r>
        <w:t xml:space="preserve">saved</w:t>
      </w:r>
      <w:r>
        <w:t xml:space="preserve"> </w:t>
      </w:r>
      <w:r>
        <w:t xml:space="preserve">analysis</w:t>
      </w:r>
      <w:r>
        <w:t xml:space="preserve"> </w:t>
      </w:r>
      <w:r>
        <w:t xml:space="preserve">and</w:t>
      </w:r>
      <w:r>
        <w:t xml:space="preserve"> </w:t>
      </w:r>
      <w:r>
        <w:t xml:space="preserve">repeating</w:t>
      </w:r>
      <w:r>
        <w:t xml:space="preserve"> </w:t>
      </w:r>
      <w:r>
        <w:t xml:space="preserve">an</w:t>
      </w:r>
      <w:r>
        <w:t xml:space="preserve"> </w:t>
      </w:r>
      <w:r>
        <w:t xml:space="preserve">agent</w:t>
      </w:r>
      <w:r>
        <w:t xml:space="preserve"> </w:t>
      </w:r>
      <w:r>
        <w:t xml:space="preserve">interaction.</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and privacy also concern archaeologists using commercial LLM services</w:t>
      </w:r>
      <w:r>
        <w:t xml:space="preserve"> </w:t>
      </w:r>
      <w:r>
        <w:t xml:space="preserve">(Kansa 2026)</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In this guide we introduce a basic agentic AI workflow using open source software that is suitable for many kinds of archaeological work and has potential to address some of these issues. While traditional AI chatbots engage with humans in the form of turn-by-turn conversations on a website that require regular human interaction to complete a task, agents are a very different way to interact with AI. An AI agent can autonomously operate tools directly on our computer to complete multiple steps towards a specific goal without constant human interaction. This article describes how to use agentic AI to reduce the friction associated with many of the typical tasks of the archaeological research process that are done on a computer.</w:t>
      </w:r>
    </w:p>
    <w:p>
      <w:pPr>
        <w:pStyle w:val="BodyText"/>
      </w:pPr>
      <w:r>
        <w:t xml:space="preserve">Agentic AI refers to systems in which a language model uses context (e.g. files on our computer) and tools (e.g. the R programming language) to plan and take actions (e.g. search the internet, edit our files), rather than only responding to a prompt</w:t>
      </w:r>
      <w:r>
        <w:t xml:space="preserve"> </w:t>
      </w:r>
      <w:r>
        <w:t xml:space="preserve">(Korinek 2025)</w:t>
      </w:r>
      <w:r>
        <w:t xml:space="preserve">. An AI agent connects a language model to tools that can read files, execute code, or retrieve information. A harness is the software we install on our computer that manages those connections and the interaction with the researcher. A wide variety of agentic and harness systems have emerged recently,</w:t>
      </w:r>
      <w:r>
        <w:t xml:space="preserve"> </w:t>
      </w:r>
      <w:hyperlink w:anchor="tbl-taxonomies">
        <w:r>
          <w:rPr>
            <w:rStyle w:val="Hyperlink"/>
          </w:rPr>
          <w:t xml:space="preserve">Table 1</w:t>
        </w:r>
      </w:hyperlink>
      <w:r>
        <w:t xml:space="preserve"> </w:t>
      </w:r>
      <w:r>
        <w:t xml:space="preserve">summarises these by increasing autonomy</w:t>
      </w:r>
      <w:r>
        <w:t xml:space="preserve"> </w:t>
      </w:r>
      <w:r>
        <w:t xml:space="preserve">(Haase and Pokutta 2026; Zimmer et al. 2026)</w:t>
      </w:r>
      <w:r>
        <w:t xml:space="preserve">. Our guide focuses on the low-autonomy end of that range: the agent works only within a single project and researcher directs each stage. We are not describing end-to-end fully automated AI pipelines that generate ideas, run experiments, write manuscripts, and review the results with limited human intervention</w:t>
      </w:r>
      <w:r>
        <w:t xml:space="preserve"> </w:t>
      </w:r>
      <w:r>
        <w:t xml:space="preserve">(Lu et al. 2026)</w:t>
      </w:r>
      <w:r>
        <w:t xml:space="preserve">. Instead, we recommend a configured assistant for particular routine research tasks, whose file access, code execution, and outputs remain subject to researcher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taxonomies"/>
          <w:p>
            <w:pPr>
              <w:jc w:val="center"/>
            </w:pPr>
            <w:pPr>
              <w:jc w:val="start"/>
              <w:spacing w:before="200"/>
              <w:pStyle w:val="ImageCaption"/>
            </w:pPr>
            <w:r>
              <w:t xml:space="preserve">Table 1: Levels of agentic AI in two recent taxonomies.</w:t>
            </w:r>
          </w:p>
          <w:tbl>
            <w:tblPr>
              <w:tblStyle w:val="Table"/>
              <w:tblW w:type="pct" w:w="5000"/>
              <w:tblLook w:firstRow="1" w:lastRow="0" w:firstColumn="0" w:lastColumn="0" w:noHBand="0" w:noVBand="0" w:val="0020"/>
              <w:jc w:val="start"/>
              <w:tblLayout w:type="fixed"/>
            </w:tblPr>
            <w:tblGrid>
              <w:gridCol w:w="386"/>
              <w:gridCol w:w="3992"/>
              <w:gridCol w:w="3541"/>
            </w:tblGrid>
            <w:tr>
              <w:trPr>
                <w:tblHeader w:val="true"/>
              </w:trPr>
              <w:tc>
                <w:tcPr/>
                <w:p>
                  <w:pPr>
                    <w:pStyle w:val="Compact"/>
                    <w:jc w:val="right"/>
                    <w:jc w:val="center"/>
                  </w:pPr>
                  <w:r>
                    <w:t xml:space="preserve">Level</w:t>
                  </w:r>
                </w:p>
              </w:tc>
              <w:tc>
                <w:tcPr/>
                <w:p>
                  <w:pPr>
                    <w:pStyle w:val="Compact"/>
                    <w:jc w:val="left"/>
                    <w:jc w:val="center"/>
                  </w:pPr>
                  <w:r>
                    <w:t xml:space="preserve">Haase et al. (2026)</w:t>
                  </w:r>
                </w:p>
              </w:tc>
              <w:tc>
                <w:tcPr/>
                <w:p>
                  <w:pPr>
                    <w:pStyle w:val="Compact"/>
                    <w:jc w:val="left"/>
                    <w:jc w:val="center"/>
                  </w:pPr>
                  <w:r>
                    <w:t xml:space="preserve">Zimmer et al. (2026)</w:t>
                  </w:r>
                </w:p>
              </w:tc>
            </w:tr>
            <w:tr>
              <w:tc>
                <w:tcPr/>
                <w:p>
                  <w:pPr>
                    <w:pStyle w:val="Compact"/>
                    <w:jc w:val="right"/>
                    <w:jc w:val="center"/>
                  </w:pPr>
                  <w:r>
                    <w:t xml:space="preserve">1</w:t>
                  </w:r>
                </w:p>
              </w:tc>
              <w:tc>
                <w:tcPr/>
                <w:p>
                  <w:pPr>
                    <w:pStyle w:val="Compact"/>
                    <w:jc w:val="left"/>
                    <w:jc w:val="center"/>
                  </w:pPr>
                  <w:r>
                    <w:t xml:space="preserve">Simple data processing (text classification; data annotation)</w:t>
                  </w:r>
                </w:p>
              </w:tc>
              <w:tc>
                <w:tcPr/>
                <w:p>
                  <w:pPr>
                    <w:pStyle w:val="Compact"/>
                    <w:jc w:val="left"/>
                    <w:jc w:val="center"/>
                  </w:pPr>
                  <w:r>
                    <w:t xml:space="preserve">Classical practice: conventional computational methods</w:t>
                  </w:r>
                </w:p>
              </w:tc>
            </w:tr>
            <w:tr>
              <w:tc>
                <w:tcPr/>
                <w:p>
                  <w:pPr>
                    <w:pStyle w:val="Compact"/>
                    <w:jc w:val="right"/>
                    <w:jc w:val="center"/>
                  </w:pPr>
                  <w:r>
                    <w:t xml:space="preserve">2</w:t>
                  </w:r>
                </w:p>
              </w:tc>
              <w:tc>
                <w:tcPr/>
                <w:p>
                  <w:pPr>
                    <w:pStyle w:val="Compact"/>
                    <w:jc w:val="left"/>
                    <w:jc w:val="center"/>
                  </w:pPr>
                  <w:r>
                    <w:t xml:space="preserve">Enhanced data processing with limited tool use</w:t>
                  </w:r>
                </w:p>
              </w:tc>
              <w:tc>
                <w:tcPr/>
                <w:p>
                  <w:pPr>
                    <w:pStyle w:val="Compact"/>
                    <w:jc w:val="left"/>
                    <w:jc w:val="center"/>
                  </w:pPr>
                  <w:r>
                    <w:t xml:space="preserve">AI as research assistant: interactive code generation</w:t>
                  </w:r>
                </w:p>
              </w:tc>
            </w:tr>
            <w:tr>
              <w:tc>
                <w:tcPr/>
                <w:p>
                  <w:pPr>
                    <w:pStyle w:val="Compact"/>
                    <w:jc w:val="right"/>
                    <w:jc w:val="center"/>
                  </w:pPr>
                  <w:r>
                    <w:t xml:space="preserve">3</w:t>
                  </w:r>
                </w:p>
              </w:tc>
              <w:tc>
                <w:tcPr/>
                <w:p>
                  <w:pPr>
                    <w:pStyle w:val="Compact"/>
                    <w:jc w:val="left"/>
                    <w:jc w:val="center"/>
                  </w:pPr>
                  <w:r>
                    <w:t xml:space="preserve">Single-agent systems with tool access</w:t>
                  </w:r>
                </w:p>
              </w:tc>
              <w:tc>
                <w:tcPr/>
                <w:p>
                  <w:pPr>
                    <w:pStyle w:val="Compact"/>
                    <w:jc w:val="left"/>
                    <w:jc w:val="center"/>
                  </w:pPr>
                  <w:r>
                    <w:t xml:space="preserve">AI as collaborator: autonomous task execution</w:t>
                  </w:r>
                </w:p>
              </w:tc>
            </w:tr>
            <w:tr>
              <w:tc>
                <w:tcPr/>
                <w:p>
                  <w:pPr>
                    <w:pStyle w:val="Compact"/>
                    <w:jc w:val="right"/>
                    <w:jc w:val="center"/>
                  </w:pPr>
                  <w:r>
                    <w:t xml:space="preserve">4</w:t>
                  </w:r>
                </w:p>
              </w:tc>
              <w:tc>
                <w:tcPr/>
                <w:p>
                  <w:pPr>
                    <w:pStyle w:val="Compact"/>
                    <w:jc w:val="left"/>
                    <w:jc w:val="center"/>
                  </w:pPr>
                  <w:r>
                    <w:t xml:space="preserve">Multi-agent systems simulating social dynamics</w:t>
                  </w:r>
                </w:p>
              </w:tc>
              <w:tc>
                <w:tcPr/>
                <w:p>
                  <w:pPr>
                    <w:pStyle w:val="Compact"/>
                    <w:jc w:val="left"/>
                    <w:jc w:val="center"/>
                  </w:pPr>
                  <w:r>
                    <w:t xml:space="preserve">AI as research partner: multi-agent pipelines</w:t>
                  </w:r>
                </w:p>
              </w:tc>
            </w:tr>
            <w:tr>
              <w:tc>
                <w:tcPr/>
                <w:p>
                  <w:pPr>
                    <w:pStyle w:val="Compact"/>
                    <w:jc w:val="right"/>
                    <w:jc w:val="center"/>
                  </w:pPr>
                  <w:r>
                    <w:t xml:space="preserve">5</w:t>
                  </w:r>
                </w:p>
              </w:tc>
              <w:tc>
                <w:tcPr/>
                <w:p>
                  <w:pPr>
                    <w:pStyle w:val="Compact"/>
                    <w:jc w:val="left"/>
                    <w:jc w:val="center"/>
                  </w:pPr>
                  <w:r>
                    <w:t xml:space="preserve">Complex adaptive systems with emergent behaviour</w:t>
                  </w:r>
                </w:p>
              </w:tc>
              <w:tc>
                <w:tcPr/>
                <w:p>
                  <w:pPr>
                    <w:pStyle w:val="Compact"/>
                    <w:jc w:val="left"/>
                    <w:jc w:val="center"/>
                  </w:pPr>
                  <w:r>
                    <w:t xml:space="preserve">(framework not extended to this level)</w:t>
                  </w:r>
                </w:p>
              </w:tc>
            </w:tr>
            <w:tr>
              <w:tc>
                <w:tcPr/>
                <w:p>
                  <w:pPr>
                    <w:pStyle w:val="Compact"/>
                    <w:jc w:val="right"/>
                    <w:jc w:val="center"/>
                  </w:pPr>
                  <w:r>
                    <w:t xml:space="preserve">6</w:t>
                  </w:r>
                </w:p>
              </w:tc>
              <w:tc>
                <w:tcPr/>
                <w:p>
                  <w:pPr>
                    <w:pStyle w:val="Compact"/>
                    <w:jc w:val="left"/>
                    <w:jc w:val="center"/>
                  </w:pPr>
                  <w:r>
                    <w:t xml:space="preserve">Open-ended agentic systems</w:t>
                  </w:r>
                </w:p>
              </w:tc>
              <w:tc>
                <w:tcPr/>
                <w:p>
                  <w:pPr>
                    <w:pStyle w:val="Compact"/>
                    <w:jc w:val="left"/>
                    <w:jc w:val="center"/>
                  </w:pPr>
                  <w:r>
                    <w:t xml:space="preserv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 Zanzotto 2019)</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checks evidence, and can stop or redirect the work. In our view, human engagement and control remain essential even as technical capabilities advance</w:t>
      </w:r>
      <w:r>
        <w:t xml:space="preserve"> </w:t>
      </w:r>
      <w:r>
        <w:t xml:space="preserve">(Spillias et al. 2026)</w:t>
      </w:r>
      <w:r>
        <w:t xml:space="preserve">.</w:t>
      </w:r>
    </w:p>
    <w:p>
      <w:pPr>
        <w:pStyle w:val="BodyText"/>
      </w:pPr>
      <w:r>
        <w:t xml:space="preserve">A high level of researcher control also necessary to honor our responsibilities toward the communities involved in our work and affected by it. AI-generated perspectives cannot replace community participation</w:t>
      </w:r>
      <w:r>
        <w:t xml:space="preserve"> </w:t>
      </w:r>
      <w:r>
        <w:t xml:space="preserve">(Spillias et al. 2026)</w:t>
      </w:r>
      <w:r>
        <w:t xml:space="preserve">. Where archaeological work requires community consultation or consent, our approval of an agent’s actions does not replace those obligations. Recent guidance on archaeological AI ethics and heritage management provides additional reasons to make those responsibilities explicit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versus human at the helm across eleven dimensions.</w:t>
            </w:r>
          </w:p>
          <w:tbl>
            <w:tblPr>
              <w:tblStyle w:val="Table"/>
              <w:tblW w:type="pct" w:w="5000"/>
              <w:tblLook w:firstRow="1" w:lastRow="0" w:firstColumn="0" w:lastColumn="0" w:noHBand="0" w:noVBand="0" w:val="0020"/>
              <w:jc w:val="start"/>
              <w:tblLayout w:type="fixed"/>
            </w:tblPr>
            <w:tblGrid>
              <w:gridCol w:w="1072"/>
              <w:gridCol w:w="3320"/>
              <w:gridCol w:w="3527"/>
            </w:tblGrid>
            <w:tr>
              <w:trPr>
                <w:tblHeader w:val="true"/>
              </w:trPr>
              <w:tc>
                <w:tcPr/>
                <w:p>
                  <w:pPr>
                    <w:pStyle w:val="Compact"/>
                    <w:jc w:val="left"/>
                    <w:jc w:val="center"/>
                  </w:pPr>
                  <w:r>
                    <w:t xml:space="preserve">Dimension</w:t>
                  </w:r>
                </w:p>
              </w:tc>
              <w:tc>
                <w:tcPr/>
                <w:p>
                  <w:pPr>
                    <w:pStyle w:val="Compact"/>
                    <w:jc w:val="left"/>
                    <w:jc w:val="center"/>
                  </w:pPr>
                  <w:r>
                    <w:t xml:space="preserve">Human.in.the.Loop..HITL.</w:t>
                  </w:r>
                </w:p>
              </w:tc>
              <w:tc>
                <w:tcPr/>
                <w:p>
                  <w:pPr>
                    <w:pStyle w:val="Compact"/>
                    <w:jc w:val="left"/>
                    <w:jc w:val="center"/>
                  </w:pPr>
                  <w:r>
                    <w:t xml:space="preserve">Human.at.the.Helm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ML and RL</w:t>
                  </w:r>
                  <w:r>
                    <w:t xml:space="preserve"> </w:t>
                  </w:r>
                  <w:r>
                    <w:t xml:space="preserve">(Taylor 2023; Zanzotto 2019)</w:t>
                  </w:r>
                </w:p>
              </w:tc>
              <w:tc>
                <w:tcPr/>
                <w:p>
                  <w:pPr>
                    <w:pStyle w:val="Compact"/>
                    <w:jc w:val="left"/>
                    <w:jc w:val="center"/>
                  </w:pPr>
                  <w:r>
                    <w:t xml:space="preserve">Extends meaningful human control to research contexts</w:t>
                  </w:r>
                  <w:r>
                    <w:t xml:space="preserve"> </w:t>
                  </w:r>
                  <w:r>
                    <w:t xml:space="preserve">(Beck and Burri 2024; Jonker et al. 2024)</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r>
                    <w:t xml:space="preserve"> </w:t>
                  </w:r>
                  <w:r>
                    <w:t xml:space="preserve">(Beck and Burri 2024)</w:t>
                  </w:r>
                </w:p>
              </w:tc>
              <w:tc>
                <w:tcPr/>
                <w:p>
                  <w:pPr>
                    <w:pStyle w:val="Compact"/>
                    <w:jc w:val="left"/>
                    <w:jc w:val="center"/>
                  </w:pPr>
                  <w:r>
                    <w:t xml:space="preserve">Aligns with human oversight and control requirements in AI regulation</w:t>
                  </w:r>
                  <w:r>
                    <w:t xml:space="preserve"> </w:t>
                  </w:r>
                  <w:r>
                    <w:t xml:space="preserve">(Beck and Burri 2024; Monakhov 2026)</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r>
                    <w:t xml:space="preserve"> </w:t>
                  </w:r>
                  <w:r>
                    <w:t xml:space="preserve">(Hao et al. 2025)</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project files under researcher-defined permissions. Third, use instructions, skills, and Model Context Protocol (MCP) servers to research, plan, execute, and verify data analyses. These practices will be most useful to archaeologists who already analyze their own data in R, whether in academia, government, or private practice, and are looking to reduce some of the friction and tedium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in R before involving an agent in an analysis; computational literacy must be a core methodological competence for data-intensive reseachers. You need to be able inspect agent-generated code and explain its relationship to the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remains essential despite the expanding availability of AI assistance</w:t>
      </w:r>
      <w:r>
        <w:t xml:space="preserve"> </w:t>
      </w:r>
      <w:r>
        <w:t xml:space="preserve">(Abramson et al. 2026; Campbell et al. 2024; Dyck 2026)</w:t>
      </w:r>
      <w:r>
        <w:t xml:space="preserve">. Cooper and colleagues also reaffirm teaching coding so researchers can interpret generated code and think critically about it, while noting variable output quality in mathematics, logic, and reproducibility</w:t>
      </w:r>
      <w:r>
        <w:t xml:space="preserve"> </w:t>
      </w:r>
      <w:r>
        <w:t xml:space="preserve">(Cooper et al. 2024; Nejjar et al. 2025)</w:t>
      </w:r>
      <w:r>
        <w:t xml:space="preserve">.</w:t>
      </w:r>
    </w:p>
    <w:p>
      <w:pPr>
        <w:pStyle w:val="BodyText"/>
      </w:pPr>
      <w:r>
        <w:t xml:space="preserve">We recommend choosing a small set of reputable tools and learning how they work together, for example the tidyverse for data preparation and ggplot2 for visualization</w:t>
      </w:r>
      <w:r>
        <w:t xml:space="preserve"> </w:t>
      </w:r>
      <w:r>
        <w:t xml:space="preserve">(Wickham et al. 2019)</w:t>
      </w:r>
      <w:r>
        <w:t xml:space="preserve">. The here package helps construct project-relative file paths, and the renv records R package dependencies. The Quarto document format is ideal for writing your report, this combines prose, executable code, and results in a document written as a plain-text</w:t>
      </w:r>
      <w:r>
        <w:t xml:space="preserve"> </w:t>
      </w:r>
      <w:r>
        <w:rPr>
          <w:rStyle w:val="VerbatimChar"/>
        </w:rPr>
        <w:t xml:space="preserve">.qmd</w:t>
      </w:r>
      <w:r>
        <w:t xml:space="preserve"> </w:t>
      </w:r>
      <w:r>
        <w:t xml:space="preserve">file</w:t>
      </w:r>
      <w:r>
        <w:t xml:space="preserve"> </w:t>
      </w:r>
      <w:r>
        <w:t xml:space="preserve">(Quarto)</w:t>
      </w:r>
      <w:r>
        <w:t xml:space="preserve">. Quarto is an extension of the Markdown document format, which LLMs read and write very efficiently and accurately, much more so than Word documents and PDFs. This article was written as a Quarto document, the original file may be inspected in our research compendium at https://doi.org/00.0000/0000. We recommend using converters to turn DOCX and PDF files into markdown before agents read them</w:t>
      </w:r>
      <w:r>
        <w:t xml:space="preserve"> </w:t>
      </w:r>
      <w:r>
        <w:t xml:space="preserve">(Anthropic 2025)</w:t>
      </w:r>
      <w:r>
        <w:t xml:space="preserve">. You should create documents in Markdown format that you want your AI agent to read and edit. These R packages and document types also have the advantage of supporting the organization of transparent, reproducible and reusable analyses</w:t>
      </w:r>
      <w:r>
        <w:t xml:space="preserve"> </w:t>
      </w:r>
      <w:r>
        <w:t xml:space="preserve">(Marwick 2017)</w:t>
      </w:r>
      <w:r>
        <w:t xml:space="preserve">.</w:t>
      </w:r>
    </w:p>
    <w:p>
      <w:pPr>
        <w:pStyle w:val="BodyText"/>
      </w:pPr>
      <w:r>
        <w:t xml:space="preserve">Git is another free and open source software that specializes in collaboration and recording versions of project files (e.g. text, code, data) so you can inspect changes and retrieve earlier work</w:t>
      </w:r>
      <w:r>
        <w:t xml:space="preserve"> </w:t>
      </w:r>
      <w:r>
        <w:t xml:space="preserve">(Wilson et al. 2014)</w:t>
      </w:r>
      <w:r>
        <w:t xml:space="preserve">. Version control with Git supports reproducibility and transparency in science</w:t>
      </w:r>
      <w:r>
        <w:t xml:space="preserve"> </w:t>
      </w:r>
      <w:r>
        <w:t xml:space="preserve">(Blischak et al. 2016; Ram 2013)</w:t>
      </w:r>
      <w:r>
        <w:t xml:space="preserve">. Git records commits, a commit is a saved snapshot of tracked files, accompanied by a message describing the changes; a diff shows differences between versions. Commits should be kept small, guidance for scientific computing recommends reviewing changes in small increments</w:t>
      </w:r>
      <w:r>
        <w:t xml:space="preserve"> </w:t>
      </w:r>
      <w:r>
        <w:t xml:space="preserve">(Wilson et al. 2014)</w:t>
      </w:r>
      <w:r>
        <w:t xml:space="preserve">. The Git history for this article can be inspected at https://github.com/benmarwick/agenticai. Agents are fluent in Git and very efficient at using it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This is a simple and robust system for linking reported results back to the executable analyses that generated them. Every machine-generated change is recorded transparently in plain text where you can review before accepting or rejecting it.</w:t>
      </w:r>
    </w:p>
    <w:bookmarkEnd w:id="23"/>
    <w:bookmarkStart w:id="24" w:name="sec-harness"/>
    <w:p>
      <w:pPr>
        <w:pStyle w:val="Heading1"/>
      </w:pPr>
      <w:r>
        <w:t xml:space="preserve">Step 2: Configure an Agent Harness for Your Project</w:t>
      </w:r>
    </w:p>
    <w:p>
      <w:pPr>
        <w:pStyle w:val="FirstParagraph"/>
      </w:pPr>
      <w:r>
        <w:t xml:space="preserve">When we use the tools described in</w:t>
      </w:r>
      <w:r>
        <w:t xml:space="preserve"> </w:t>
      </w:r>
      <w:hyperlink w:anchor="sec-tools">
        <w:r>
          <w:rPr>
            <w:rStyle w:val="Hyperlink"/>
          </w:rPr>
          <w:t xml:space="preserve">Section 2</w:t>
        </w:r>
      </w:hyperlink>
      <w:r>
        <w:t xml:space="preserve">, it is relatively simple to configure an AI agent so that it can efficiently see all the files in our project and work on them. The key tool here is a local harness, this is software you install on your computer that turns a LLM into an agent. The LLM by itself can only generate text. The harness connects that model to tools, such as reading and editing project files, running shell and R commands, calling MCP servers, and managing the exchange between the model, the tools, and you. The harness enforces permissions (decides which actions run automatically and which require your approval, according to your configuration of the harness, e.g. which files they can and cannot edit), and manages context (assembles what the model sees each turn in the conversation, e.g project instructions such as AGENTS.md, conversation history, file contents, and tool outputs). It also runs the loop (sends your prompt to the model, sends the model’s action requests to the tools, feeds results back to the model, and repeats until the task finishes or you stop it), and presents the interface (the space where you type prompts, watch the agent work, and read its output). At the time of writing widely used harnesses include Claude Code, GitHub Copilot, OpenAI Codex and OpenCode. We use and recommend the OpenCode or Hermes terminal user interface (running in the terminal pane of RStudio or VS Code) because they are free and open source and not tied to any model vendor.</w:t>
      </w:r>
    </w:p>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such as OpenCode often provide multiple working modes,</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w:t>
      </w:r>
      <w:r>
        <w:t xml:space="preserve">are two widely used modes.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and that may be complicated to undo. We recommend multiple rounds of planning with a model to explore options for you to choose from before you decide on a course of action. First-pass AI suggestions can be unreliable because models can produce authoritative-sounding but wrong proposals and illusions of understanding</w:t>
      </w:r>
      <w:r>
        <w:t xml:space="preserve"> </w:t>
      </w:r>
      <w:r>
        <w:t xml:space="preserve">(Messeri and Crockett 2024)</w:t>
      </w:r>
      <w:r>
        <w:t xml:space="preserve">. A model’s conclusions can shift with model and prompt choices</w:t>
      </w:r>
      <w:r>
        <w:t xml:space="preserve"> </w:t>
      </w:r>
      <w:r>
        <w:t xml:space="preserve">(Bertran et al. 2026)</w:t>
      </w:r>
      <w:r>
        <w:t xml:space="preserve">, so each round needs evaluation against data, literature, and your expertise. The specificity of a plan compounds across rounds, with each discussion round letting you add variables, design details, and constraints missing from previous rounds</w:t>
      </w:r>
      <w:r>
        <w:t xml:space="preserve"> </w:t>
      </w:r>
      <w:r>
        <w:t xml:space="preserve">(Brown and Spillias 2026)</w:t>
      </w:r>
      <w:r>
        <w:t xml:space="preserve">. Multiple rounds of planning also gives you a chance to steer and challenge the model, request justification for decisions it proposes, and invite the model to criticize your ideas, in anticipation of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We recommend saving your analysis plan to a markdown file at the end of a planning session (switch to build mode to allow the model to create a new file). This is because models often perform increasingly poorly across long meandering threads and rarely recover after a wrong turn</w:t>
      </w:r>
      <w:r>
        <w:t xml:space="preserve"> </w:t>
      </w:r>
      <w:r>
        <w:t xml:space="preserve">(Laban et al. 2025)</w:t>
      </w:r>
      <w:r>
        <w:t xml:space="preserve">. Then when you resume your work, you should start a new conversation by directing the model to read your plan saved in the markdown file, rather than rely on its memory.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 LLM can be effective when using a state-of-the-art, reasoning-enabled large frontier model because these are often better at the long-horizon, open-ended, branching tasks involved in drafting a plan</w:t>
      </w:r>
      <w:r>
        <w:t xml:space="preserve"> </w:t>
      </w:r>
      <w:r>
        <w:t xml:space="preserve">(Lu et al. 2026; Zhang et al. 2025)</w:t>
      </w:r>
      <w:r>
        <w:t xml:space="preserve">. Because larger models can be slower and more expensive, we recommend switching to a smaller model to implement the individual steps of the plan. When your plan is set, switch your harness to build mode and direct the model to execute one step of the plan. The more precisely specified the plan step is, the better chance you have of the smaller model successfully executing it</w:t>
      </w:r>
      <w:r>
        <w:t xml:space="preserve"> </w:t>
      </w:r>
      <w:r>
        <w:t xml:space="preserve">(Brown and Spillias 2026)</w:t>
      </w:r>
      <w:r>
        <w:t xml:space="preserve">. As the model completes a step, verify completion by inspecting the Git diff, check the output against your plan, and for more complex steps, interrogate the model to have it justify its actions. Agents sometimes report finished work they never completed</w:t>
      </w:r>
      <w:r>
        <w:t xml:space="preserve"> </w:t>
      </w:r>
      <w:r>
        <w:t xml:space="preserve">(Christopher J. Brown et al. 2026; Nejjar et al. 2025)</w:t>
      </w:r>
      <w:r>
        <w:t xml:space="preserve">, so it is essential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We have been using the free tiers of models available from OpenRouter and OpenCode. However, for many archaeological projects using models hosted by commercial providers is unacceptable, for example when working with restricted site coordinates, confidential client information, and culturally sensitive data. One solution to this problem is to select LLM providers that offer an option for Zero Data Retention (ZDR), a contractual policy promise where the provider processes your request and deletes the data immediately after. Another option is to keep sensitive files in a directory entirely outside the project folder so the agent cannot open them by accident</w:t>
      </w:r>
      <w:r>
        <w:t xml:space="preserve"> </w:t>
      </w:r>
      <w:r>
        <w:t xml:space="preserve">(Brown 2026)</w:t>
      </w:r>
      <w:r>
        <w:t xml:space="preserve">. Simulated data with the same structure can replace restricted data during analysis development. Finally, perhaps the most secure solution is a locally hosted LLM so that no data leave your computer</w:t>
      </w:r>
      <w:r>
        <w:t xml:space="preserve"> </w:t>
      </w:r>
      <w:r>
        <w:t xml:space="preserve">(Abramson et al. 2026; Wiest et al. 2024)</w:t>
      </w:r>
      <w:r>
        <w:t xml:space="preserve">. Widely used free and opensource tools for managing local LLMs include Ollama, llama.cpp, vLLM, and AnythingLLM, and currently popular models for local use include Llama (Meta), Gemma (Google) and Qwen (Alibaba). Local LLMs can suit simpler tasks when run on a typical computer, such as execution of well-specified steps of a plan, and writing code, but getting performance similar to leading hosted models requires expensive high performance hardware</w:t>
      </w:r>
      <w:r>
        <w:t xml:space="preserve"> </w:t>
      </w:r>
      <w:r>
        <w:t xml:space="preserve">(Chris Brown et al. 2026)</w:t>
      </w:r>
      <w:r>
        <w:t xml:space="preserve">. A hybrid approach uses a local LLM to inspect the raw data to prepare a synthetic version of that data that has exactly the same structure as the real dataset (same columns, same variable types, same format), has the same statistical properties as the real dataset, but contains no real locations, measurements, and no identifying information. This synthetic proxy data can then sent to the more capable remote model to write code that can be run locally on your data on your computer</w:t>
      </w:r>
      <w:r>
        <w:t xml:space="preserve"> </w:t>
      </w:r>
      <w:r>
        <w:t xml:space="preserve">(Schweinberger 2026)</w:t>
      </w:r>
      <w:r>
        <w:t xml:space="preserve">.</w:t>
      </w:r>
    </w:p>
    <w:bookmarkEnd w:id="24"/>
    <w:bookmarkStart w:id="26"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taking actions is more efficient by using tools, skills and Model Context Protocols (MCPs) to do common research tasks such as search for and verify references, write and run code, organise and manage files (</w:t>
      </w:r>
      <w:r>
        <w:t xml:space="preserve">Anthropic (2024)</w:t>
      </w:r>
      <w:r>
        <w:t xml:space="preserve">), and simulate peer review. A tool performs a single computer action and returns a result, such as reading, editing and renaming a file, or starting R and running R code. A skill is a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 contents is sent to the model as part of the prompt. For example, we have a skill file for the tidyverse idiom of the R language. This specifies conventions that we want the model to follow when it writes R code, e.g. use the native pipe |&gt; over %&gt;%. We also provide good and bad code examples.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(Anthropic 2024; Hou et al. 2026)</w:t>
      </w:r>
      <w:r>
        <w:t xml:space="preserve">. A skill describes a procedure, while tools perform its actions and an MCP server supplies connections.</w:t>
      </w:r>
      <w:r>
        <w:t xml:space="preserve"> </w:t>
      </w:r>
      <w:hyperlink w:anchor="tbl-stack">
        <w:r>
          <w:rPr>
            <w:rStyle w:val="Hyperlink"/>
          </w:rPr>
          <w:t xml:space="preserve">Table 3</w:t>
        </w:r>
      </w:hyperlink>
      <w:r>
        <w:t xml:space="preserve"> </w:t>
      </w:r>
      <w:r>
        <w:t xml:space="preserve">lists the five MCP servers and six skills named in this guide plus the three instructions files that govern them.</w:t>
      </w:r>
    </w:p>
    <w:tbl>
      <w:tblPr>
        <w:tblStyle w:val="Table"/>
        <w:tblW w:type="pct" w:w="5000"/>
        <w:tblLook w:firstRow="0" w:lastRow="0" w:firstColumn="0" w:lastColumn="0" w:noHBand="0" w:noVBand="0" w:val="0000"/>
        <w:jc w:val="start"/>
        <w:tblLayout w:type="fixed"/>
      </w:tblPr>
      <w:tblGrid>
        <w:gridCol w:w="7920"/>
      </w:tblGrid>
      <w:tr>
        <w:tc>
          <w:tcPr/>
          <w:bookmarkStart w:id="25" w:name="tbl-stack"/>
          <w:p>
            <w:pPr>
              <w:jc w:val="center"/>
            </w:pPr>
            <w:pPr>
              <w:jc w:val="start"/>
              <w:spacing w:before="200"/>
              <w:pStyle w:val="ImageCaption"/>
            </w:pPr>
            <w:r>
              <w:t xml:space="preserve">Table 3: MCP servers and skills installed in the author’s OpenCode configuration.</w:t>
            </w:r>
          </w:p>
          <w:tbl>
            <w:tblPr>
              <w:tblStyle w:val="Table"/>
              <w:tblW w:type="pct" w:w="5000"/>
              <w:tblLook w:firstRow="1" w:lastRow="0" w:firstColumn="0" w:lastColumn="0" w:noHBand="0" w:noVBand="0" w:val="0020"/>
              <w:jc w:val="start"/>
              <w:tblLayout w:type="fixed"/>
            </w:tblPr>
            <w:tblGrid>
              <w:gridCol w:w="411"/>
              <w:gridCol w:w="855"/>
              <w:gridCol w:w="2977"/>
              <w:gridCol w:w="3674"/>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Purpose</w:t>
                  </w:r>
                </w:p>
              </w:tc>
              <w:tc>
                <w:tcPr/>
                <w:p>
                  <w:pPr>
                    <w:pStyle w:val="Compact"/>
                    <w:jc w:val="left"/>
                    <w:jc w:val="center"/>
                  </w:pPr>
                  <w:r>
                    <w:t xml:space="preserve">Source</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Global style verification</w:t>
                  </w:r>
                </w:p>
              </w:tc>
              <w:tc>
                <w:tcPr/>
                <w:p>
                  <w:pPr>
                    <w:pStyle w:val="Compact"/>
                    <w:jc w:val="left"/>
                    <w:jc w:val="center"/>
                  </w:pPr>
                  <w:r>
                    <w:t xml:space="preserve">local</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Specific custom project context and instructions auto-loaded at the start of each session</w:t>
                  </w:r>
                </w:p>
              </w:tc>
              <w:tc>
                <w:tcPr/>
                <w:p>
                  <w:pPr>
                    <w:pStyle w:val="Compact"/>
                    <w:jc w:val="left"/>
                    <w:jc w:val="center"/>
                  </w:pPr>
                  <w:r>
                    <w:t xml:space="preserve">local</w:t>
                  </w:r>
                </w:p>
              </w:tc>
            </w:tr>
            <w:tr>
              <w:tc>
                <w:tcPr/>
                <w:p>
                  <w:pPr>
                    <w:pStyle w:val="Compact"/>
                    <w:jc w:val="left"/>
                    <w:jc w:val="center"/>
                  </w:pPr>
                  <w:r>
                    <w:t xml:space="preserve">Skill</w:t>
                  </w:r>
                </w:p>
              </w:tc>
              <w:tc>
                <w:tcPr/>
                <w:p>
                  <w:pPr>
                    <w:pStyle w:val="Compact"/>
                    <w:jc w:val="left"/>
                    <w:jc w:val="center"/>
                  </w:pPr>
                  <w:r>
                    <w:t xml:space="preserve">academic-paper-reviewer</w:t>
                  </w:r>
                </w:p>
              </w:tc>
              <w:tc>
                <w:tcPr/>
                <w:p>
                  <w:pPr>
                    <w:pStyle w:val="Compact"/>
                    <w:jc w:val="left"/>
                    <w:jc w:val="center"/>
                  </w:pPr>
                  <w:r>
                    <w:t xml:space="preserve">Simulates independent reviewers plus a devil’s advocate for manuscripts</w:t>
                  </w:r>
                </w:p>
              </w:tc>
              <w:tc>
                <w:tcPr/>
                <w:p>
                  <w:pPr>
                    <w:pStyle w:val="Compact"/>
                    <w:jc w:val="left"/>
                    <w:jc w:val="center"/>
                  </w:pPr>
                  <w:r>
                    <w:t xml:space="preserve">https://github.com/izillionways/academic-research-skills-hermes/blob/main/research/academic-paper-reviewer/SKILL.md</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Agent team for literature search verification synthesis and systematic review</w:t>
                  </w:r>
                </w:p>
              </w:tc>
              <w:tc>
                <w:tcPr/>
                <w:p>
                  <w:pPr>
                    <w:pStyle w:val="Compact"/>
                    <w:jc w:val="left"/>
                    <w:jc w:val="center"/>
                  </w:pPr>
                  <w:r>
                    <w:t xml:space="preserve">https://github.com/pafozz/hermes-deep-research</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Conventions for writing R, e.g. naming, spacing, layout, function design</w:t>
                  </w:r>
                </w:p>
              </w:tc>
              <w:tc>
                <w:tcPr/>
                <w:p>
                  <w:pPr>
                    <w:pStyle w:val="Compact"/>
                    <w:jc w:val="left"/>
                    <w:jc w:val="center"/>
                  </w:pPr>
                  <w:r>
                    <w:t xml:space="preserve">https://style.tidyverse.org/</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Conventions for using tidyverse packages, e.g. modern pipes, joins, grouping, string handling</w:t>
                  </w:r>
                </w:p>
              </w:tc>
              <w:tc>
                <w:tcPr/>
                <w:p>
                  <w:pPr>
                    <w:pStyle w:val="Compact"/>
                    <w:jc w:val="left"/>
                    <w:jc w:val="center"/>
                  </w:pPr>
                  <w:r>
                    <w:t xml:space="preserve">https://style.tidyverse.org/</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Authoring with Quarto documents, e.g. cross-references, citations, and extensions</w:t>
                  </w:r>
                </w:p>
              </w:tc>
              <w:tc>
                <w:tcPr/>
                <w:p>
                  <w:pPr>
                    <w:pStyle w:val="Compact"/>
                    <w:jc w:val="left"/>
                    <w:jc w:val="center"/>
                  </w:pPr>
                  <w:r>
                    <w:t xml:space="preserve">https://github.com/NousResearch/hermes-agent/blob/main/skills/writing/quarto-authoring</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Searches, reads, and annotates the author’s Zotero library from the shell</w:t>
                  </w:r>
                </w:p>
              </w:tc>
              <w:tc>
                <w:tcPr/>
                <w:p>
                  <w:pPr>
                    <w:pStyle w:val="Compact"/>
                    <w:jc w:val="left"/>
                    <w:jc w:val="center"/>
                  </w:pPr>
                  <w:r>
                    <w:t xml:space="preserve">https://github.com/Agents365-ai/zotero-cli-ai</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Exposes a running R session so the agent can execute code and read results</w:t>
                  </w:r>
                </w:p>
              </w:tc>
              <w:tc>
                <w:tcPr/>
                <w:p>
                  <w:pPr>
                    <w:pStyle w:val="Compact"/>
                    <w:jc w:val="left"/>
                    <w:jc w:val="center"/>
                  </w:pPr>
                  <w:r>
                    <w:t xml:space="preserve">https://github.com/posit-dev/mcptools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Searches publication databases and returns verified references with BibTeX</w:t>
                  </w:r>
                </w:p>
              </w:tc>
              <w:tc>
                <w:tcPr/>
                <w:p>
                  <w:pPr>
                    <w:pStyle w:val="Compact"/>
                    <w:jc w:val="left"/>
                    <w:jc w:val="center"/>
                  </w:pPr>
                  <w:r>
                    <w:t xml:space="preserve">https://github.com/UMN-Choi-Lab/refcheck</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Retrieves paper metadata and references and validates manuscript citations</w:t>
                  </w:r>
                </w:p>
              </w:tc>
              <w:tc>
                <w:tcPr/>
                <w:p>
                  <w:pPr>
                    <w:pStyle w:val="Compact"/>
                    <w:jc w:val="left"/>
                    <w:jc w:val="center"/>
                  </w:pPr>
                  <w:r>
                    <w:t xml:space="preserve">https://github.com/Liyux3/scholar-mcp</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Converts DOCX files, PDFs and web pages to markdown the agent can read</w:t>
                  </w:r>
                </w:p>
              </w:tc>
              <w:tc>
                <w:tcPr/>
                <w:p>
                  <w:pPr>
                    <w:pStyle w:val="Compact"/>
                    <w:jc w:val="left"/>
                    <w:jc w:val="center"/>
                  </w:pPr>
                  <w:r>
                    <w:t xml:space="preserve">https://github.com/microsoft/markitdown/tree/main/packages/markitdown-mcp</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Queries Semantic Scholar arXiv and Scholar author records</w:t>
                  </w:r>
                </w:p>
              </w:tc>
              <w:tc>
                <w:tcPr/>
                <w:p>
                  <w:pPr>
                    <w:pStyle w:val="Compact"/>
                    <w:jc w:val="left"/>
                    <w:jc w:val="center"/>
                  </w:pPr>
                  <w:r>
                    <w:t xml:space="preserve">https://github.com/amirkiarafiei/open-scholar-peer</w:t>
                  </w:r>
                </w:p>
              </w:tc>
            </w:tr>
          </w:tbl>
          <w:bookmarkEnd w:id="25"/>
          <w:p/>
        </w:tc>
      </w:tr>
    </w:tbl>
    <w:p>
      <w:pPr>
        <w:pStyle w:val="BodyText"/>
      </w:pPr>
      <w:r>
        <w:t xml:space="preserve">As as example of how these additions work, consider what happens if we give our agent the command</w:t>
      </w:r>
      <w:r>
        <w:t xml:space="preserve"> </w:t>
      </w:r>
      <w:r>
        <w:t xml:space="preserve">“</w:t>
      </w:r>
      <w:r>
        <w:t xml:space="preserve">deeply research the debate about the Châtelperronian</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for a specific set of actions: scoping the authorship question, systematic search, source verification, synthesis with a devil’s-advocate pass, and a written report. The harness dispatches subagents for search, verification, and synthesis; retrieval</w:t>
      </w:r>
      <w:r>
        <w:t xml:space="preserve"> </w:t>
      </w:r>
      <w:r>
        <w:rPr>
          <w:iCs/>
          <w:i/>
        </w:rPr>
        <w:t xml:space="preserve">tools</w:t>
      </w:r>
      <w:r>
        <w:t xml:space="preserve"> </w:t>
      </w:r>
      <w:r>
        <w:t xml:space="preserve">fetch candidate papers while verification tools check each citation against publication databases through a reference-verification server. The literature search and verification tools are provided by the refcheck MCP server; they query Crossref, Semantic Scholar, and other online services. The results of the literature search can then be written into the project-level bibtex file or saved in your Zotero library using the zotero-cli</w:t>
      </w:r>
      <w:r>
        <w:t xml:space="preserve"> </w:t>
      </w:r>
      <w:r>
        <w:rPr>
          <w:iCs/>
          <w:i/>
        </w:rPr>
        <w:t xml:space="preserve">skill</w:t>
      </w:r>
      <w:r>
        <w:t xml:space="preserve"> </w:t>
      </w:r>
      <w:r>
        <w:t xml:space="preserve">which drives the shell</w:t>
      </w:r>
      <w:r>
        <w:t xml:space="preserve"> </w:t>
      </w:r>
      <w:r>
        <w:rPr>
          <w:iCs/>
          <w:i/>
        </w:rPr>
        <w:t xml:space="preserve">tools</w:t>
      </w:r>
      <w:r>
        <w:t xml:space="preserve"> </w:t>
      </w:r>
      <w:r>
        <w:t xml:space="preserve">to connect with your Zotero database. Skills guides the agent but cannot force compliance, so you need to critically review the results before incorporating them into your work. We recommend multiple iterations of literature search prompts, adjusting the prompt each time to the steer the model to focus on different areas of the literature</w:t>
      </w:r>
      <w:r>
        <w:t xml:space="preserve"> </w:t>
      </w:r>
      <w:r>
        <w:t xml:space="preserve">(Krishna Moorthy et al. 2026)</w:t>
      </w:r>
      <w:r>
        <w:t xml:space="preserve">. Multiple rounds of verification prompts are also important to ensure the bibliography is free of hallucinated details.</w:t>
      </w:r>
    </w:p>
    <w:p>
      <w:pPr>
        <w:pStyle w:val="BodyText"/>
      </w:pPr>
      <w:r>
        <w:t xml:space="preserve">Aided by tools, skills and MCP servers, AI agents can be very efficient at accurately extracting data from the full text of publications. One LLM extracted ecological data from literature 50 times faster than a human reviewer, with accuracy above 90% on discrete and categorical data</w:t>
      </w:r>
      <w:r>
        <w:t xml:space="preserve"> </w:t>
      </w:r>
      <w:r>
        <w:t xml:space="preserve">(Gougherty and Clipp 2024)</w:t>
      </w:r>
      <w:r>
        <w:t xml:space="preserve">.</w:t>
      </w:r>
      <w:r>
        <w:t xml:space="preserve"> </w:t>
      </w:r>
      <w:r>
        <w:t xml:space="preserve">Hariri et al. (2025)</w:t>
      </w:r>
      <w:r>
        <w:t xml:space="preserve"> </w:t>
      </w:r>
      <w:r>
        <w:t xml:space="preserve">describes structured knowledge extraction from archaeological texts, and</w:t>
      </w:r>
      <w:r>
        <w:t xml:space="preserve"> </w:t>
      </w:r>
      <w:r>
        <w:t xml:space="preserve">Syme et al. (2026)</w:t>
      </w:r>
      <w:r>
        <w:t xml:space="preserve"> </w:t>
      </w:r>
      <w:r>
        <w:t xml:space="preserve">examines validation of LLM-generated units for cross-cultural anthropological research. Human validation is necessary:</w:t>
      </w:r>
      <w:r>
        <w:t xml:space="preserve"> </w:t>
      </w:r>
      <w:r>
        <w:t xml:space="preserve">Gilardi et al. (2023)</w:t>
      </w:r>
      <w:r>
        <w:t xml:space="preserve"> </w:t>
      </w:r>
      <w:r>
        <w:t xml:space="preserve">found {LLM} labels matched or exceeded crowd workers on tested tasks,</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so quantitative fields need extra quality checks. GPT-4 extracted species at F1 99.8% and locations at 95.3% from pest-control abstracts and distinguished ecological roles, though a small number of confabulated details appeared</w:t>
      </w:r>
      <w:r>
        <w:t xml:space="preserve"> </w:t>
      </w:r>
      <w:r>
        <w:t xml:space="preserve">(Scheepens et al. 2024)</w:t>
      </w:r>
      <w:r>
        <w:t xml:space="preserve">. Context-rich prompting improves data extraction results</w:t>
      </w:r>
      <w:r>
        <w:t xml:space="preserve"> </w:t>
      </w:r>
      <w:r>
        <w:t xml:space="preserve">(Krishna Moorthy et al. 2026)</w:t>
      </w:r>
      <w:r>
        <w:t xml:space="preserve">, though no single model dominates all extraction tasks, so you should test several model-prompt pairings and keep validation workflows that build trust in outputs. Before using machine-coded variables, you should define them in detail, compare a AI-collected sample against human coding, and document errors. Save source locations with extracted values so another researcher can inspect the evidence.</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context, debugging skills, and integration with the overall goals of your research project. When using an AI agent to plan and write code for data analysis, we recommend you:</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The archaeological expertise you bring to writing this prompt can make a big difference to the quality and consistency of responses to this prompt</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with the prompt the dataset, a narrative summary of the data or a synthetic version of the data generated by a local LLM. This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DOIs to exemplary studies similar to what you want to do, or technical methodological literature that describes relevant methods in detail</w:t>
      </w:r>
      <w:r>
        <w:t xml:space="preserve"> </w:t>
      </w:r>
      <w:r>
        <w:t xml:space="preserve">(Brown and Spillias 2026)</w:t>
      </w:r>
      <w:r>
        <w:t xml:space="preserve">. Use the agent to help you deeply search for this literature.</w:t>
      </w:r>
    </w:p>
    <w:p>
      <w:pPr>
        <w:numPr>
          <w:ilvl w:val="0"/>
          <w:numId w:val="1001"/>
        </w:numPr>
        <w:pStyle w:val="Compact"/>
      </w:pPr>
      <w:r>
        <w:t xml:space="preserve">include instructions for the model evaluate its code for correctness and completeness before stopping. This sets the agent to work in a loop: generate code -&gt; run it -&gt; test it -&gt; fix any errors -&gt; run it again -&gt; test it, etc. until your evaluation criteria have been satisfied. Specifying evaluation criteria and instructing the model to debug itself improves the accuracy of output</w:t>
      </w:r>
      <w:r>
        <w:t xml:space="preserve"> </w:t>
      </w:r>
      <w:r>
        <w:t xml:space="preserve">(Chen et al. 2023)</w:t>
      </w:r>
    </w:p>
    <w:p>
      <w:pPr>
        <w:pStyle w:val="FirstParagraph"/>
      </w:pPr>
      <w:r>
        <w:t xml:space="preserve">Tools that execute R can expose errors for inspection, but automated correction still needs review.</w:t>
      </w:r>
      <w:r>
        <w:t xml:space="preserve"> </w:t>
      </w:r>
      <w:r>
        <w:t xml:space="preserve">Christopher J. Brown et al. (2026)</w:t>
      </w:r>
      <w:r>
        <w:t xml:space="preserve"> </w:t>
      </w:r>
      <w:r>
        <w:t xml:space="preserve">tested agentic workflows for ecological and fisheries modelling and found variable accuracy and failures to follow instructions. When code fails, check whether the proposed correction preserves the approved method. Do not accept a different analysis simply because it runs. Agents also change methods without flagging it: one agent swapped a requested bootstrap interval for a t-distribution interval, so read the code produced, not the summary</w:t>
      </w:r>
      <w:r>
        <w:t xml:space="preserve"> </w:t>
      </w:r>
      <w:r>
        <w:t xml:space="preserve">(Christopher J. Brown et al. 2026)</w:t>
      </w:r>
      <w:r>
        <w:t xml:space="preserve">.</w:t>
      </w:r>
    </w:p>
    <w:bookmarkEnd w:id="26"/>
    <w:bookmarkStart w:id="27" w:name="discussion"/>
    <w:p>
      <w:pPr>
        <w:pStyle w:val="Heading1"/>
      </w:pPr>
      <w:r>
        <w:t xml:space="preserve">Discussion</w:t>
      </w:r>
    </w:p>
    <w:p>
      <w:pPr>
        <w:pStyle w:val="FirstParagraph"/>
      </w:pPr>
      <w:r>
        <w:t xml:space="preserve">The three practices assign distinct responsibilities to the researcher. Familiarity with R, Quarto, and Git supports efficient interaction with AI agents, supporting your inspection of calculations, reports, and changes. Harness configuration is where you define the AI agent’s permissions and work habits. Use of tools, skills, and MCP servers greatly expand the capability of the model, and improve the accuracy and usefulness of its work. This sequence applies existing scientific-computing practices to agent-assisted archaeological work</w:t>
      </w:r>
      <w:r>
        <w:t xml:space="preserve"> </w:t>
      </w:r>
      <w:r>
        <w:t xml:space="preserve">(Bridgeford et al. 2026; Marwick 2017; Wilson et al. 2014)</w:t>
      </w:r>
      <w:r>
        <w:t xml:space="preserve">.</w:t>
      </w:r>
    </w:p>
    <w:p>
      <w:pPr>
        <w:pStyle w:val="BodyText"/>
      </w:pPr>
      <w:r>
        <w:t xml:space="preserve">Each practice has costs. Learning R and version control requires time, while configuring a harness introduces provider choices and access decisions. Skills and servers add dependencies that require testing and maintenance.</w:t>
      </w:r>
      <w:r>
        <w:t xml:space="preserve"> </w:t>
      </w:r>
      <w:r>
        <w:t xml:space="preserve">Kansa (2026)</w:t>
      </w:r>
      <w:r>
        <w:t xml:space="preserve"> </w:t>
      </w:r>
      <w:r>
        <w:t xml:space="preserve">discusses commercial dependence, and</w:t>
      </w:r>
      <w:r>
        <w:t xml:space="preserve"> </w:t>
      </w:r>
      <w:r>
        <w:t xml:space="preserve">Johnson and Eberl (2026)</w:t>
      </w:r>
      <w:r>
        <w:t xml:space="preserve"> </w:t>
      </w:r>
      <w:r>
        <w:t xml:space="preserve">examines environmental costs of AI in archaeology.</w:t>
      </w:r>
      <w:r>
        <w:t xml:space="preserve"> </w:t>
      </w:r>
      <w:r>
        <w:t xml:space="preserve">Luccioni et al. (2024)</w:t>
      </w:r>
      <w:r>
        <w:t xml:space="preserve"> </w:t>
      </w:r>
      <w:r>
        <w:t xml:space="preserve">measured inference energy across models and tasks, so we batch queries and log usage. Treat heavy token use as a reason to inspect output: in one study the costliest runs were agents stuck in unproductive loops, not the most accurate ones</w:t>
      </w:r>
      <w:r>
        <w:t xml:space="preserve"> </w:t>
      </w:r>
      <w:r>
        <w:t xml:space="preserve">(Christopher J. Brown et al. 2026)</w:t>
      </w:r>
      <w:r>
        <w:t xml:space="preserve">. Mapping latency, token cost, and F1 score guides model choice under budget constraints</w:t>
      </w:r>
      <w:r>
        <w:t xml:space="preserve"> </w:t>
      </w:r>
      <w:r>
        <w:t xml:space="preserve">(Krishna Moorthy et al. 2026)</w:t>
      </w:r>
      <w:r>
        <w:t xml:space="preserve">. We recommend recording available cost and usage information, limiting unnecessary repeated calls, and considering whether an existing R script already completes the task.</w:t>
      </w:r>
    </w:p>
    <w:p>
      <w:pPr>
        <w:pStyle w:val="BodyText"/>
      </w:pPr>
      <w:r>
        <w:t xml:space="preserve">These instructions do not establish that agent assistance improves every analysis. The illustrative tasks are teaching examples, and we have not measured their effects on accuracy or completion time. Reproducing saved R code differs from repeating an agent conversation: a model may generate different code on another attempt. Provider-side model updates add a second source of non-repeatability: the same prompt can behave differently months later because the provider changed the model</w:t>
      </w:r>
      <w:r>
        <w:t xml:space="preserve"> </w:t>
      </w:r>
      <w:r>
        <w:t xml:space="preserve">(Abdurahman et al. 2025; Abramson et al. 2026)</w:t>
      </w:r>
      <w:r>
        <w:t xml:space="preserve">. Preserve the inspected code and document the interaction, rather than promising identical agent behavior. Incentives sharpen a further risk: when publication metrics define success, researchers may use LLMs as a shortcut to game output rather than support innovation, which reduces quality and stifles development</w:t>
      </w:r>
      <w:r>
        <w:t xml:space="preserve"> </w:t>
      </w:r>
      <w:r>
        <w:t xml:space="preserve">(Johnson et al. 2024)</w:t>
      </w:r>
      <w:r>
        <w:t xml:space="preserve">.</w:t>
      </w:r>
    </w:p>
    <w:bookmarkEnd w:id="27"/>
    <w:bookmarkStart w:id="28" w:name="conclusion"/>
    <w:p>
      <w:pPr>
        <w:pStyle w:val="Heading1"/>
      </w:pPr>
      <w:r>
        <w:t xml:space="preserve">Conclusion</w:t>
      </w:r>
    </w:p>
    <w:p>
      <w:pPr>
        <w:pStyle w:val="FirstParagraph"/>
      </w:pPr>
      <w:r>
        <w:t xml:space="preserve">automate micro-tasks for productivity gains; comparative advantage is AI generates, human evaluates; do not over- or under-estimate LLMs because authoritative style does not equal truth; prompt with context, iterate,</w:t>
      </w:r>
    </w:p>
    <w:p>
      <w:pPr>
        <w:pStyle w:val="BodyText"/>
      </w:pPr>
      <w:r>
        <w:t xml:space="preserve">limitations from Brown… national academies report</w:t>
      </w:r>
    </w:p>
    <w:bookmarkEnd w:id="28"/>
    <w:bookmarkStart w:id="29" w:name="acknowledgments"/>
    <w:p>
      <w:pPr>
        <w:pStyle w:val="Heading1"/>
      </w:pPr>
      <w:r>
        <w:t xml:space="preserve">Acknowledgments</w:t>
      </w:r>
    </w:p>
    <w:p>
      <w:pPr>
        <w:pStyle w:val="FirstParagraph"/>
      </w:pPr>
      <w:r>
        <w:t xml:space="preserve">No permits were required for the preparation of this manuscript. The author used OpenCode (https://opencode.ai/), an open-source AI harness, and OpenRouter (https://openrouter.ai/) a commercial model provider. AI models used included Nemotron 3.5 Ultra (NVIDIA), Qwen3.8, Muse Spark 1.3 (Meta), GLM-5.3 Flash, and MiMo-V2.5 (Xiaomi). AI was used to assist assist with searching for literature, planning, drafting and editing the manuscript, and reference checking. All AI-generated suggestions were reviewed and revised by the author.</w:t>
      </w:r>
    </w:p>
    <w:bookmarkEnd w:id="29"/>
    <w:bookmarkStart w:id="30"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0"/>
    <w:bookmarkStart w:id="31" w:name="data-availability-statement"/>
    <w:p>
      <w:pPr>
        <w:pStyle w:val="Heading1"/>
      </w:pPr>
      <w:r>
        <w:t xml:space="preserve">Data Availability Statement</w:t>
      </w:r>
    </w:p>
    <w:p>
      <w:pPr>
        <w:pStyle w:val="FirstParagraph"/>
      </w:pPr>
      <w:r>
        <w:t xml:space="preserve">No original data were used.</w:t>
      </w:r>
    </w:p>
    <w:bookmarkEnd w:id="31"/>
    <w:bookmarkStart w:id="32" w:name="competing-interests"/>
    <w:p>
      <w:pPr>
        <w:pStyle w:val="Heading1"/>
      </w:pPr>
      <w:r>
        <w:t xml:space="preserve">Competing Interests</w:t>
      </w:r>
    </w:p>
    <w:p>
      <w:pPr>
        <w:pStyle w:val="FirstParagraph"/>
      </w:pPr>
      <w:r>
        <w:t xml:space="preserve">The author declares none.</w:t>
      </w:r>
    </w:p>
    <w:bookmarkEnd w:id="32"/>
    <w:bookmarkStart w:id="157" w:name="references"/>
    <w:p>
      <w:pPr>
        <w:pStyle w:val="Heading1"/>
      </w:pPr>
      <w:r>
        <w:t xml:space="preserve">References</w:t>
      </w:r>
    </w:p>
    <w:bookmarkStart w:id="155" w:name="refs"/>
    <w:bookmarkStart w:id="34" w:name="ref-Abdurahman2025"/>
    <w:p>
      <w:pPr>
        <w:pStyle w:val="Bibliography"/>
      </w:pPr>
      <w:r>
        <w:t xml:space="preserve">Abdurahman, Suhaib, Alireza Salkhordeh Ziabari, Alexander K. Moore, Daniel M. Bartels, and Morteza Dehghani. 2025. A Primer for Evaluating</w:t>
      </w:r>
      <w:r>
        <w:t xml:space="preserve"> </w:t>
      </w:r>
      <w:r>
        <w:t xml:space="preserve">Large Language Models</w:t>
      </w:r>
      <w:r>
        <w:t xml:space="preserve"> </w:t>
      </w:r>
      <w:r>
        <w:t xml:space="preserve">in Social-Science Research.</w:t>
      </w:r>
      <w:r>
        <w:t xml:space="preserve"> </w:t>
      </w:r>
      <w:r>
        <w:rPr>
          <w:iCs/>
          <w:i/>
        </w:rPr>
        <w:t xml:space="preserve">Advances in Methods and Practices in Psychological Science</w:t>
      </w:r>
      <w:r>
        <w:t xml:space="preserve"> </w:t>
      </w:r>
      <w:r>
        <w:t xml:space="preserve">8(2).</w:t>
      </w:r>
      <w:r>
        <w:t xml:space="preserve"> </w:t>
      </w:r>
      <w:hyperlink r:id="rId33">
        <w:r>
          <w:rPr>
            <w:rStyle w:val="Hyperlink"/>
          </w:rPr>
          <w:t xml:space="preserve">https://doi.org/10.1177/25152459251325174</w:t>
        </w:r>
      </w:hyperlink>
      <w:r>
        <w:t xml:space="preserve">.</w:t>
      </w:r>
    </w:p>
    <w:bookmarkEnd w:id="34"/>
    <w:bookmarkStart w:id="36"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35">
        <w:r>
          <w:rPr>
            <w:rStyle w:val="Hyperlink"/>
          </w:rPr>
          <w:t xml:space="preserve">https://doi.org/10.1146/annurev-soc-011824-104836</w:t>
        </w:r>
      </w:hyperlink>
      <w:r>
        <w:t xml:space="preserve">.</w:t>
      </w:r>
    </w:p>
    <w:bookmarkEnd w:id="36"/>
    <w:bookmarkStart w:id="38" w:name="ref-Anthropic2024"/>
    <w:p>
      <w:pPr>
        <w:pStyle w:val="Bibliography"/>
      </w:pPr>
      <w:r>
        <w:t xml:space="preserve">Anthropic. 2024. Introducing the</w:t>
      </w:r>
      <w:r>
        <w:t xml:space="preserve"> </w:t>
      </w:r>
      <w:r>
        <w:t xml:space="preserve">Model Context Protocol</w:t>
      </w:r>
      <w:r>
        <w:t xml:space="preserve">.</w:t>
      </w:r>
      <w:r>
        <w:t xml:space="preserve"> </w:t>
      </w:r>
      <w:hyperlink r:id="rId37">
        <w:r>
          <w:rPr>
            <w:rStyle w:val="Hyperlink"/>
          </w:rPr>
          <w:t xml:space="preserve">https://www.anthropic.com/research/model-context-protocol</w:t>
        </w:r>
      </w:hyperlink>
      <w:r>
        <w:t xml:space="preserve">, accessed September 16, 2026.</w:t>
      </w:r>
    </w:p>
    <w:bookmarkEnd w:id="38"/>
    <w:bookmarkStart w:id="40" w:name="ref-Anthropic2025Skills"/>
    <w:p>
      <w:pPr>
        <w:pStyle w:val="Bibliography"/>
      </w:pPr>
      <w:r>
        <w:t xml:space="preserve">Anthropic. 2025. Equipping Agents for the Real World with</w:t>
      </w:r>
      <w:r>
        <w:t xml:space="preserve"> </w:t>
      </w:r>
      <w:r>
        <w:t xml:space="preserve">Agent Skills</w:t>
      </w:r>
      <w:r>
        <w:t xml:space="preserve">.</w:t>
      </w:r>
      <w:r>
        <w:t xml:space="preserve"> </w:t>
      </w:r>
      <w:hyperlink r:id="rId39">
        <w:r>
          <w:rPr>
            <w:rStyle w:val="Hyperlink"/>
          </w:rPr>
          <w:t xml:space="preserve">https://www.anthropic.com/engineering/equipping-agents-for-the-real-world-with-agent-skills</w:t>
        </w:r>
      </w:hyperlink>
      <w:r>
        <w:t xml:space="preserve">, accessed September 16, 2026.</w:t>
      </w:r>
    </w:p>
    <w:bookmarkEnd w:id="40"/>
    <w:bookmarkStart w:id="42" w:name="ref-BeckBurri2024"/>
    <w:p>
      <w:pPr>
        <w:pStyle w:val="Bibliography"/>
      </w:pPr>
      <w:r>
        <w:t xml:space="preserve">Beck, Juliane, and Thomas Burri. 2024.</w:t>
      </w:r>
      <w:r>
        <w:t xml:space="preserve"> </w:t>
      </w:r>
      <w:hyperlink r:id="rId41">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42"/>
    <w:bookmarkStart w:id="44"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43">
        <w:r>
          <w:rPr>
            <w:rStyle w:val="Hyperlink"/>
          </w:rPr>
          <w:t xml:space="preserve">https://doi.org/10.1073/pnas.2606495123</w:t>
        </w:r>
      </w:hyperlink>
      <w:r>
        <w:t xml:space="preserve">.</w:t>
      </w:r>
    </w:p>
    <w:bookmarkEnd w:id="44"/>
    <w:bookmarkStart w:id="46" w:name="ref-Blischak2016"/>
    <w:p>
      <w:pPr>
        <w:pStyle w:val="Bibliography"/>
      </w:pPr>
      <w:r>
        <w:t xml:space="preserve">Blischak, John D., Emily R. Davenport, and Greg Wilson. 2016. A Quick Introduction to Version Control with</w:t>
      </w:r>
      <w:r>
        <w:t xml:space="preserve"> </w:t>
      </w:r>
      <w:r>
        <w:t xml:space="preserve">Git</w:t>
      </w:r>
      <w:r>
        <w:t xml:space="preserve"> </w:t>
      </w:r>
      <w:r>
        <w:t xml:space="preserve">and</w:t>
      </w:r>
      <w:r>
        <w:t xml:space="preserve"> </w:t>
      </w:r>
      <w:r>
        <w:t xml:space="preserve">GitHub</w:t>
      </w:r>
      <w:r>
        <w:t xml:space="preserve">.</w:t>
      </w:r>
      <w:r>
        <w:t xml:space="preserve"> </w:t>
      </w:r>
      <w:r>
        <w:rPr>
          <w:iCs/>
          <w:i/>
        </w:rPr>
        <w:t xml:space="preserve">PLOS Computational Biology</w:t>
      </w:r>
      <w:r>
        <w:t xml:space="preserve"> </w:t>
      </w:r>
      <w:r>
        <w:t xml:space="preserve">12(1):e1004668.</w:t>
      </w:r>
      <w:r>
        <w:t xml:space="preserve"> </w:t>
      </w:r>
      <w:hyperlink r:id="rId45">
        <w:r>
          <w:rPr>
            <w:rStyle w:val="Hyperlink"/>
          </w:rPr>
          <w:t xml:space="preserve">https://doi.org/10.1371/journal.pcbi.1004668</w:t>
        </w:r>
      </w:hyperlink>
      <w:r>
        <w:t xml:space="preserve">.</w:t>
      </w:r>
    </w:p>
    <w:bookmarkEnd w:id="46"/>
    <w:bookmarkStart w:id="48"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47">
        <w:r>
          <w:rPr>
            <w:rStyle w:val="Hyperlink"/>
          </w:rPr>
          <w:t xml:space="preserve">https://doi.org/10.1371/journal.pcbi.1014428</w:t>
        </w:r>
      </w:hyperlink>
      <w:r>
        <w:t xml:space="preserve">.</w:t>
      </w:r>
    </w:p>
    <w:bookmarkEnd w:id="48"/>
    <w:bookmarkStart w:id="50" w:name="ref-Brown2026local"/>
    <w:p>
      <w:pPr>
        <w:pStyle w:val="Bibliography"/>
      </w:pPr>
      <w:r>
        <w:t xml:space="preserve">Brown, Chris,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49">
        <w:r>
          <w:rPr>
            <w:rStyle w:val="Hyperlink"/>
          </w:rPr>
          <w:t xml:space="preserve">https://vitaexmachina.substack.com/p/running-local-large-language-models</w:t>
        </w:r>
      </w:hyperlink>
      <w:r>
        <w:t xml:space="preserve">, accessed September 18, 2026.</w:t>
      </w:r>
    </w:p>
    <w:bookmarkEnd w:id="50"/>
    <w:bookmarkStart w:id="52"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51">
        <w:r>
          <w:rPr>
            <w:rStyle w:val="Hyperlink"/>
          </w:rPr>
          <w:t xml:space="preserve">https://www.seascapemodels.org/AI-assistants-for-scientific-coding/</w:t>
        </w:r>
      </w:hyperlink>
      <w:r>
        <w:t xml:space="preserve">, accessed September 18, 2026.</w:t>
      </w:r>
    </w:p>
    <w:bookmarkEnd w:id="52"/>
    <w:bookmarkStart w:id="54"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53">
        <w:r>
          <w:rPr>
            <w:rStyle w:val="Hyperlink"/>
          </w:rPr>
          <w:t xml:space="preserve">https://doi.org/10.1111/faf.70079</w:t>
        </w:r>
      </w:hyperlink>
      <w:r>
        <w:t xml:space="preserve">.</w:t>
      </w:r>
    </w:p>
    <w:bookmarkEnd w:id="54"/>
    <w:bookmarkStart w:id="56"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55">
        <w:r>
          <w:rPr>
            <w:rStyle w:val="Hyperlink"/>
          </w:rPr>
          <w:t xml:space="preserve">https://doi.org/10.1111/2041-210x.70267</w:t>
        </w:r>
      </w:hyperlink>
      <w:r>
        <w:t xml:space="preserve">.</w:t>
      </w:r>
    </w:p>
    <w:bookmarkEnd w:id="56"/>
    <w:bookmarkStart w:id="58"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57">
        <w:r>
          <w:rPr>
            <w:rStyle w:val="Hyperlink"/>
          </w:rPr>
          <w:t xml:space="preserve">https://doi.org/10.1111/2041-210X.14396</w:t>
        </w:r>
      </w:hyperlink>
      <w:r>
        <w:t xml:space="preserve">.</w:t>
      </w:r>
    </w:p>
    <w:bookmarkEnd w:id="58"/>
    <w:bookmarkStart w:id="60"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59">
        <w:r>
          <w:rPr>
            <w:rStyle w:val="Hyperlink"/>
          </w:rPr>
          <w:t xml:space="preserve">https://doi.org/10.48550/arXiv.2304.05128</w:t>
        </w:r>
      </w:hyperlink>
      <w:r>
        <w:t xml:space="preserve">.</w:t>
      </w:r>
    </w:p>
    <w:bookmarkEnd w:id="60"/>
    <w:bookmarkStart w:id="62"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61">
        <w:r>
          <w:rPr>
            <w:rStyle w:val="Hyperlink"/>
          </w:rPr>
          <w:t xml:space="preserve">https://doi.org/10.1111/2041-210X.14325</w:t>
        </w:r>
      </w:hyperlink>
      <w:r>
        <w:t xml:space="preserve">.</w:t>
      </w:r>
    </w:p>
    <w:bookmarkEnd w:id="62"/>
    <w:bookmarkStart w:id="64" w:name="ref-DellAcqua2026"/>
    <w:p>
      <w:pPr>
        <w:pStyle w:val="Bibliography"/>
      </w:pPr>
      <w:r>
        <w:t xml:space="preserve">Dell’Acqua, Fabrizio, Edward McFowland, Ethan Mollick, Hila Lifshitz, Katherine C. Kellogg, Saran Rajendran, Lisa Krayer, François Candelon, and Karim R. Lakhani.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63">
        <w:r>
          <w:rPr>
            <w:rStyle w:val="Hyperlink"/>
          </w:rPr>
          <w:t xml:space="preserve">https://doi.org/10.1287/orsc.2025.21838</w:t>
        </w:r>
      </w:hyperlink>
      <w:r>
        <w:t xml:space="preserve">.</w:t>
      </w:r>
    </w:p>
    <w:bookmarkEnd w:id="64"/>
    <w:bookmarkStart w:id="66"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65">
        <w:r>
          <w:rPr>
            <w:rStyle w:val="Hyperlink"/>
          </w:rPr>
          <w:t xml:space="preserve">https://doi.org/10.1093/jmammal/gyaf082</w:t>
        </w:r>
      </w:hyperlink>
      <w:r>
        <w:t xml:space="preserve">.</w:t>
      </w:r>
    </w:p>
    <w:bookmarkEnd w:id="66"/>
    <w:bookmarkStart w:id="68"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67">
        <w:r>
          <w:rPr>
            <w:rStyle w:val="Hyperlink"/>
          </w:rPr>
          <w:t xml:space="preserve">https://doi.org/10.1007/s12599-023-00834-7</w:t>
        </w:r>
      </w:hyperlink>
      <w:r>
        <w:t xml:space="preserve">.</w:t>
      </w:r>
    </w:p>
    <w:bookmarkEnd w:id="68"/>
    <w:bookmarkStart w:id="70"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69">
        <w:r>
          <w:rPr>
            <w:rStyle w:val="Hyperlink"/>
          </w:rPr>
          <w:t xml:space="preserve">https://doi.org/10.1080/10584609.2023.2290497</w:t>
        </w:r>
      </w:hyperlink>
      <w:r>
        <w:t xml:space="preserve">.</w:t>
      </w:r>
    </w:p>
    <w:bookmarkEnd w:id="70"/>
    <w:bookmarkStart w:id="72" w:name="ref-Gilardi2023"/>
    <w:p>
      <w:pPr>
        <w:pStyle w:val="Bibliography"/>
      </w:pPr>
      <w:r>
        <w:t xml:space="preserve">Gilardi, Fabrizio, Meysam Alizadeh, and Maël Kubli. 2023.</w:t>
      </w:r>
      <w:r>
        <w:t xml:space="preserve"> </w:t>
      </w:r>
      <w:r>
        <w:t xml:space="preserve">ChatGPT</w:t>
      </w:r>
      <w:r>
        <w:t xml:space="preserve"> </w:t>
      </w:r>
      <w:r>
        <w:t xml:space="preserve">Outperforms Crowd Workers for Text-Annotation Tasks.</w:t>
      </w:r>
      <w:r>
        <w:t xml:space="preserve"> </w:t>
      </w:r>
      <w:r>
        <w:rPr>
          <w:iCs/>
          <w:i/>
        </w:rPr>
        <w:t xml:space="preserve">Proceedings of the National Academy of Sciences</w:t>
      </w:r>
      <w:r>
        <w:t xml:space="preserve"> </w:t>
      </w:r>
      <w:r>
        <w:t xml:space="preserve">120(30):e2305016120.</w:t>
      </w:r>
      <w:r>
        <w:t xml:space="preserve"> </w:t>
      </w:r>
      <w:hyperlink r:id="rId71">
        <w:r>
          <w:rPr>
            <w:rStyle w:val="Hyperlink"/>
          </w:rPr>
          <w:t xml:space="preserve">https://doi.org/10.1073/pnas.2305016120</w:t>
        </w:r>
      </w:hyperlink>
      <w:r>
        <w:t xml:space="preserve">.</w:t>
      </w:r>
    </w:p>
    <w:bookmarkEnd w:id="72"/>
    <w:bookmarkStart w:id="74"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73">
        <w:r>
          <w:rPr>
            <w:rStyle w:val="Hyperlink"/>
          </w:rPr>
          <w:t xml:space="preserve">https://doi.org/10.1038/s44185-024-00043-9</w:t>
        </w:r>
      </w:hyperlink>
      <w:r>
        <w:t xml:space="preserve">.</w:t>
      </w:r>
    </w:p>
    <w:bookmarkEnd w:id="74"/>
    <w:bookmarkStart w:id="76"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75">
        <w:r>
          <w:rPr>
            <w:rStyle w:val="Hyperlink"/>
          </w:rPr>
          <w:t xml:space="preserve">https://doi.org/10.1057/s41599-026-08832-2</w:t>
        </w:r>
      </w:hyperlink>
      <w:r>
        <w:t xml:space="preserve">.</w:t>
      </w:r>
    </w:p>
    <w:bookmarkEnd w:id="76"/>
    <w:bookmarkStart w:id="78"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77">
        <w:r>
          <w:rPr>
            <w:rStyle w:val="Hyperlink"/>
          </w:rPr>
          <w:t xml:space="preserve">https://doi.org/10.1016/j.sftr.2025.101152</w:t>
        </w:r>
      </w:hyperlink>
      <w:r>
        <w:t xml:space="preserve">.</w:t>
      </w:r>
    </w:p>
    <w:bookmarkEnd w:id="78"/>
    <w:bookmarkStart w:id="80" w:name="ref-Hariri2025"/>
    <w:p>
      <w:pPr>
        <w:pStyle w:val="Bibliography"/>
      </w:pPr>
      <w:r>
        <w:t xml:space="preserve">Hariri, Ali, Stéphane Jean, and Mickaël Baron. 2025.</w:t>
      </w:r>
      <w:r>
        <w:t xml:space="preserve"> </w:t>
      </w:r>
      <w:hyperlink r:id="rId79">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80"/>
    <w:bookmarkStart w:id="82"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81">
        <w:r>
          <w:rPr>
            <w:rStyle w:val="Hyperlink"/>
          </w:rPr>
          <w:t xml:space="preserve">https://doi.org/10.1145/3796519</w:t>
        </w:r>
      </w:hyperlink>
      <w:r>
        <w:t xml:space="preserve">.</w:t>
      </w:r>
    </w:p>
    <w:bookmarkEnd w:id="82"/>
    <w:bookmarkStart w:id="84"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83">
        <w:r>
          <w:rPr>
            <w:rStyle w:val="Hyperlink"/>
          </w:rPr>
          <w:t xml:space="preserve">https://doi.org/10.1371/journal.pone.0317084</w:t>
        </w:r>
      </w:hyperlink>
      <w:r>
        <w:t xml:space="preserve">.</w:t>
      </w:r>
    </w:p>
    <w:bookmarkEnd w:id="84"/>
    <w:bookmarkStart w:id="86"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85">
        <w:r>
          <w:rPr>
            <w:rStyle w:val="Hyperlink"/>
          </w:rPr>
          <w:t xml:space="preserve">https://doi.org/10.1080/00187259.2026.2714301</w:t>
        </w:r>
      </w:hyperlink>
      <w:r>
        <w:t xml:space="preserve">.</w:t>
      </w:r>
    </w:p>
    <w:bookmarkEnd w:id="86"/>
    <w:bookmarkStart w:id="88" w:name="ref-Johnson2024"/>
    <w:p>
      <w:pPr>
        <w:pStyle w:val="Bibliography"/>
      </w:pPr>
      <w:r>
        <w:t xml:space="preserve">Johnson, Thomas F., Benno I. Simmons, Joseph Millard, Tanya Strydom, Alain Danet, Amy R. Sweeny, and Luke C. Evans. 2024. Pressure to Publish Introduces</w:t>
      </w:r>
      <w:r>
        <w:t xml:space="preserve"> </w:t>
      </w:r>
      <w:r>
        <w:t xml:space="preserve">Large-Language Model</w:t>
      </w:r>
      <w:r>
        <w:t xml:space="preserve"> </w:t>
      </w:r>
      <w:r>
        <w:t xml:space="preserve">Risks.</w:t>
      </w:r>
      <w:r>
        <w:t xml:space="preserve"> </w:t>
      </w:r>
      <w:r>
        <w:rPr>
          <w:iCs/>
          <w:i/>
        </w:rPr>
        <w:t xml:space="preserve">Methods in Ecology and Evolution</w:t>
      </w:r>
      <w:r>
        <w:t xml:space="preserve"> </w:t>
      </w:r>
      <w:r>
        <w:t xml:space="preserve">15(10):1771–1773.</w:t>
      </w:r>
      <w:r>
        <w:t xml:space="preserve"> </w:t>
      </w:r>
      <w:hyperlink r:id="rId87">
        <w:r>
          <w:rPr>
            <w:rStyle w:val="Hyperlink"/>
          </w:rPr>
          <w:t xml:space="preserve">https://doi.org/10.1111/2041-210x.14397</w:t>
        </w:r>
      </w:hyperlink>
      <w:r>
        <w:t xml:space="preserve">.</w:t>
      </w:r>
    </w:p>
    <w:bookmarkEnd w:id="88"/>
    <w:bookmarkStart w:id="90" w:name="ref-Jonker2024"/>
    <w:p>
      <w:pPr>
        <w:pStyle w:val="Bibliography"/>
      </w:pPr>
      <w:r>
        <w:t xml:space="preserve">Jonker, Catholijn M., Luciano Cavalcante Siebert, and Pradeep K. Murukannaiah. 2024.</w:t>
      </w:r>
      <w:r>
        <w:t xml:space="preserve"> </w:t>
      </w:r>
      <w:hyperlink r:id="rId89">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90"/>
    <w:bookmarkStart w:id="92"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91">
        <w:r>
          <w:rPr>
            <w:rStyle w:val="Hyperlink"/>
          </w:rPr>
          <w:t xml:space="preserve">https://doi.org/10.11141/ia.71.15</w:t>
        </w:r>
      </w:hyperlink>
      <w:r>
        <w:t xml:space="preserve">.</w:t>
      </w:r>
    </w:p>
    <w:bookmarkEnd w:id="92"/>
    <w:bookmarkStart w:id="94"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93">
        <w:r>
          <w:rPr>
            <w:rStyle w:val="Hyperlink"/>
          </w:rPr>
          <w:t xml:space="preserve">https://doi.org/10.1257/jel.20231736</w:t>
        </w:r>
      </w:hyperlink>
      <w:r>
        <w:t xml:space="preserve">.</w:t>
      </w:r>
    </w:p>
    <w:bookmarkEnd w:id="94"/>
    <w:bookmarkStart w:id="96" w:name="ref-Korinek2025"/>
    <w:p>
      <w:pPr>
        <w:pStyle w:val="Bibliography"/>
      </w:pPr>
      <w:r>
        <w:t xml:space="preserve">Korinek, Anton. 2025.</w:t>
      </w:r>
      <w:r>
        <w:t xml:space="preserve"> </w:t>
      </w:r>
      <w:hyperlink r:id="rId95">
        <w:r>
          <w:rPr>
            <w:rStyle w:val="Hyperlink"/>
            <w:iCs/>
            <w:i/>
          </w:rPr>
          <w:t xml:space="preserve">AI</w:t>
        </w:r>
        <w:r>
          <w:rPr>
            <w:rStyle w:val="Hyperlink"/>
            <w:iCs/>
            <w:i/>
          </w:rPr>
          <w:t xml:space="preserve"> </w:t>
        </w:r>
        <w:r>
          <w:rPr>
            <w:rStyle w:val="Hyperlink"/>
            <w:iCs/>
            <w:i/>
          </w:rPr>
          <w:t xml:space="preserve">Agents for Economic Research</w:t>
        </w:r>
      </w:hyperlink>
      <w:r>
        <w:t xml:space="preserve">. National Bureau of Economic Research.</w:t>
      </w:r>
    </w:p>
    <w:bookmarkEnd w:id="96"/>
    <w:bookmarkStart w:id="98"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97">
        <w:r>
          <w:rPr>
            <w:rStyle w:val="Hyperlink"/>
          </w:rPr>
          <w:t xml:space="preserve">https://doi.org/10.1111/2041-210x.70403</w:t>
        </w:r>
      </w:hyperlink>
      <w:r>
        <w:t xml:space="preserve">.</w:t>
      </w:r>
    </w:p>
    <w:bookmarkEnd w:id="98"/>
    <w:bookmarkStart w:id="100"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99">
        <w:r>
          <w:rPr>
            <w:rStyle w:val="Hyperlink"/>
          </w:rPr>
          <w:t xml:space="preserve">https://doi.org/10.48550/arXiv.2505.06120</w:t>
        </w:r>
      </w:hyperlink>
      <w:r>
        <w:t xml:space="preserve">.</w:t>
      </w:r>
    </w:p>
    <w:bookmarkEnd w:id="100"/>
    <w:bookmarkStart w:id="102"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01">
        <w:r>
          <w:rPr>
            <w:rStyle w:val="Hyperlink"/>
          </w:rPr>
          <w:t xml:space="preserve">https://doi.org/10.2196/51584</w:t>
        </w:r>
      </w:hyperlink>
      <w:r>
        <w:t xml:space="preserve">.</w:t>
      </w:r>
    </w:p>
    <w:bookmarkEnd w:id="102"/>
    <w:bookmarkStart w:id="104" w:name="ref-Lu2026"/>
    <w:p>
      <w:pPr>
        <w:pStyle w:val="Bibliography"/>
      </w:pPr>
      <w:r>
        <w:t xml:space="preserve">Lu, Chris, Cong Lu, Robert Tjarko Lange, Yutaro Yamada, Shengran Hu, Jakob Foerster, David Ha, and Jeff Clune.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03">
        <w:r>
          <w:rPr>
            <w:rStyle w:val="Hyperlink"/>
          </w:rPr>
          <w:t xml:space="preserve">https://doi.org/10.1038/s41586-026-10265-5</w:t>
        </w:r>
      </w:hyperlink>
      <w:r>
        <w:t xml:space="preserve">.</w:t>
      </w:r>
    </w:p>
    <w:bookmarkEnd w:id="104"/>
    <w:bookmarkStart w:id="106" w:name="ref-Luccioni2024"/>
    <w:p>
      <w:pPr>
        <w:pStyle w:val="Bibliography"/>
      </w:pPr>
      <w:r>
        <w:t xml:space="preserve">Luccioni, Sasha, Yacine Jernite, and Emma Strubell. 2024.</w:t>
      </w:r>
      <w:r>
        <w:t xml:space="preserve"> </w:t>
      </w:r>
      <w:hyperlink r:id="rId105">
        <w:r>
          <w:rPr>
            <w:rStyle w:val="Hyperlink"/>
          </w:rPr>
          <w:t xml:space="preserve">Power Hungry Processing: Watts Driving the Cost of</w:t>
        </w:r>
        <w:r>
          <w:rPr>
            <w:rStyle w:val="Hyperlink"/>
          </w:rPr>
          <w:t xml:space="preserve"> </w:t>
        </w:r>
        <w:r>
          <w:rPr>
            <w:rStyle w:val="Hyperlink"/>
          </w:rPr>
          <w:t xml:space="preserve">AI</w:t>
        </w:r>
        <w:r>
          <w:rPr>
            <w:rStyle w:val="Hyperlink"/>
          </w:rPr>
          <w:t xml:space="preserve"> </w:t>
        </w:r>
        <w:r>
          <w:rPr>
            <w:rStyle w:val="Hyperlink"/>
          </w:rPr>
          <w:t xml:space="preserve">Deployment?</w:t>
        </w:r>
      </w:hyperlink>
      <w:r>
        <w:t xml:space="preserve">, pp. 85–99.</w:t>
      </w:r>
    </w:p>
    <w:bookmarkEnd w:id="106"/>
    <w:bookmarkStart w:id="108"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07">
        <w:r>
          <w:rPr>
            <w:rStyle w:val="Hyperlink"/>
          </w:rPr>
          <w:t xml:space="preserve">https://doi.org/10.1007/s10816-015-9272-9</w:t>
        </w:r>
      </w:hyperlink>
      <w:r>
        <w:t xml:space="preserve">.</w:t>
      </w:r>
    </w:p>
    <w:bookmarkEnd w:id="108"/>
    <w:bookmarkStart w:id="110"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09">
        <w:r>
          <w:rPr>
            <w:rStyle w:val="Hyperlink"/>
          </w:rPr>
          <w:t xml:space="preserve">https://doi.org/10.1038/s41586-024-07146-0</w:t>
        </w:r>
      </w:hyperlink>
      <w:r>
        <w:t xml:space="preserve">.</w:t>
      </w:r>
    </w:p>
    <w:bookmarkEnd w:id="110"/>
    <w:bookmarkStart w:id="112" w:name="ref-Monakhov2026"/>
    <w:p>
      <w:pPr>
        <w:pStyle w:val="Bibliography"/>
      </w:pPr>
      <w:r>
        <w:t xml:space="preserve">Monakhov, Alexander Yu. 2026.</w:t>
      </w:r>
      <w:r>
        <w:t xml:space="preserve"> </w:t>
      </w:r>
      <w:hyperlink r:id="rId111">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12"/>
    <w:bookmarkStart w:id="114"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13">
        <w:r>
          <w:rPr>
            <w:rStyle w:val="Hyperlink"/>
          </w:rPr>
          <w:t xml:space="preserve">https://doi.org/10.1002/smr.2723</w:t>
        </w:r>
      </w:hyperlink>
      <w:r>
        <w:t xml:space="preserve">.</w:t>
      </w:r>
    </w:p>
    <w:bookmarkEnd w:id="114"/>
    <w:bookmarkStart w:id="116" w:name="ref-QuartoDocs2026"/>
    <w:p>
      <w:pPr>
        <w:pStyle w:val="Bibliography"/>
      </w:pPr>
      <w:r>
        <w:t xml:space="preserve">Quarto.</w:t>
      </w:r>
      <w:r>
        <w:t xml:space="preserve"> </w:t>
      </w:r>
      <w:r>
        <w:t xml:space="preserve">Tutorial: Hello, Quarto</w:t>
      </w:r>
      <w:r>
        <w:t xml:space="preserve">.</w:t>
      </w:r>
      <w:r>
        <w:t xml:space="preserve"> </w:t>
      </w:r>
      <w:hyperlink r:id="rId115">
        <w:r>
          <w:rPr>
            <w:rStyle w:val="Hyperlink"/>
          </w:rPr>
          <w:t xml:space="preserve">https://quarto.org/docs/get-started/hello/rstudio.html</w:t>
        </w:r>
      </w:hyperlink>
      <w:r>
        <w:t xml:space="preserve">, accessed September 17, 2026.</w:t>
      </w:r>
    </w:p>
    <w:bookmarkEnd w:id="116"/>
    <w:bookmarkStart w:id="118" w:name="ref-Ram2013"/>
    <w:p>
      <w:pPr>
        <w:pStyle w:val="Bibliography"/>
      </w:pPr>
      <w:r>
        <w:t xml:space="preserve">Ram, Karthik. 2013. Git Can Facilitate Greater Reproducibility and Increased Transparency in Science.</w:t>
      </w:r>
      <w:r>
        <w:t xml:space="preserve"> </w:t>
      </w:r>
      <w:r>
        <w:rPr>
          <w:iCs/>
          <w:i/>
        </w:rPr>
        <w:t xml:space="preserve">Source Code for Biology and Medicine</w:t>
      </w:r>
      <w:r>
        <w:t xml:space="preserve"> </w:t>
      </w:r>
      <w:r>
        <w:t xml:space="preserve">8(1):7.</w:t>
      </w:r>
      <w:r>
        <w:t xml:space="preserve"> </w:t>
      </w:r>
      <w:hyperlink r:id="rId117">
        <w:r>
          <w:rPr>
            <w:rStyle w:val="Hyperlink"/>
          </w:rPr>
          <w:t xml:space="preserve">https://doi.org/10.1186/1751-0473-8-7</w:t>
        </w:r>
      </w:hyperlink>
      <w:r>
        <w:t xml:space="preserve">.</w:t>
      </w:r>
    </w:p>
    <w:bookmarkEnd w:id="118"/>
    <w:bookmarkStart w:id="120"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19">
        <w:r>
          <w:rPr>
            <w:rStyle w:val="Hyperlink"/>
          </w:rPr>
          <w:t xml:space="preserve">https://doi.org/10.1111/2041-210X.14341</w:t>
        </w:r>
      </w:hyperlink>
      <w:r>
        <w:t xml:space="preserve">.</w:t>
      </w:r>
    </w:p>
    <w:bookmarkEnd w:id="120"/>
    <w:bookmarkStart w:id="122"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21">
        <w:r>
          <w:rPr>
            <w:rStyle w:val="Hyperlink"/>
          </w:rPr>
          <w:t xml:space="preserve">https://ladal.edu.au/tutorials/llm_privacy/llm_privacy.html</w:t>
        </w:r>
      </w:hyperlink>
      <w:r>
        <w:t xml:space="preserve">, accessed September 18, 2026.</w:t>
      </w:r>
    </w:p>
    <w:bookmarkEnd w:id="122"/>
    <w:bookmarkStart w:id="124"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23">
        <w:r>
          <w:rPr>
            <w:rStyle w:val="Hyperlink"/>
          </w:rPr>
          <w:t xml:space="preserve">https://doi.org/10.1080/20548923.2025.2564519</w:t>
        </w:r>
      </w:hyperlink>
      <w:r>
        <w:t xml:space="preserve">.</w:t>
      </w:r>
    </w:p>
    <w:bookmarkEnd w:id="124"/>
    <w:bookmarkStart w:id="126" w:name="ref-Spillias2025"/>
    <w:p>
      <w:pPr>
        <w:pStyle w:val="Bibliography"/>
      </w:pPr>
      <w:r>
        <w:t xml:space="preserve">Spillias, Scott, Rowan Trebilco, Matthew P. Adams, Fabio Boschetti, Andrew Constable, Piers Dunstan, Simon Ferrier, et al. 2026.</w:t>
      </w:r>
      <w:r>
        <w:t xml:space="preserve"> </w:t>
      </w:r>
      <w:r>
        <w:t xml:space="preserve">The Future of Artificial Intelligence in Ecosystem Modeling</w:t>
      </w:r>
      <w:r>
        <w:t xml:space="preserve">.</w:t>
      </w:r>
      <w:r>
        <w:t xml:space="preserve"> </w:t>
      </w:r>
      <w:r>
        <w:rPr>
          <w:iCs/>
          <w:i/>
        </w:rPr>
        <w:t xml:space="preserve">BioScience</w:t>
      </w:r>
      <w:r>
        <w:t xml:space="preserve"> </w:t>
      </w:r>
      <w:r>
        <w:t xml:space="preserve">76(1):57–70.</w:t>
      </w:r>
      <w:r>
        <w:t xml:space="preserve"> </w:t>
      </w:r>
      <w:hyperlink r:id="rId125">
        <w:r>
          <w:rPr>
            <w:rStyle w:val="Hyperlink"/>
          </w:rPr>
          <w:t xml:space="preserve">https://doi.org/10.1093/biosci/biaf169</w:t>
        </w:r>
      </w:hyperlink>
      <w:r>
        <w:t xml:space="preserve">.</w:t>
      </w:r>
    </w:p>
    <w:bookmarkEnd w:id="126"/>
    <w:bookmarkStart w:id="128" w:name="ref-Syme2026"/>
    <w:p>
      <w:pPr>
        <w:pStyle w:val="Bibliography"/>
      </w:pPr>
      <w:r>
        <w:t xml:space="preserve">Syme, Kristen L., Nikos Motos, and Caitlyn D. Placek. 2026. Generating Units of Cultural Analysis with Large Language Models: Methods and Validation for Scalable Cross-Cultural Research.</w:t>
      </w:r>
      <w:r>
        <w:t xml:space="preserve"> </w:t>
      </w:r>
      <w:r>
        <w:rPr>
          <w:iCs/>
          <w:i/>
        </w:rPr>
        <w:t xml:space="preserve">Royal Society Open Science</w:t>
      </w:r>
      <w:r>
        <w:t xml:space="preserve"> </w:t>
      </w:r>
      <w:r>
        <w:t xml:space="preserve">13(2):251766.</w:t>
      </w:r>
      <w:r>
        <w:t xml:space="preserve"> </w:t>
      </w:r>
      <w:hyperlink r:id="rId127">
        <w:r>
          <w:rPr>
            <w:rStyle w:val="Hyperlink"/>
          </w:rPr>
          <w:t xml:space="preserve">https://doi.org/10.1098/rsos.251766</w:t>
        </w:r>
      </w:hyperlink>
      <w:r>
        <w:t xml:space="preserve">.</w:t>
      </w:r>
    </w:p>
    <w:bookmarkEnd w:id="128"/>
    <w:bookmarkStart w:id="130" w:name="ref-Taylor2023"/>
    <w:p>
      <w:pPr>
        <w:pStyle w:val="Bibliography"/>
      </w:pPr>
      <w:r>
        <w:t xml:space="preserve">Taylor, Matthew E. 2023.</w:t>
      </w:r>
      <w:r>
        <w:t xml:space="preserve"> </w:t>
      </w:r>
      <w:hyperlink r:id="rId129">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30"/>
    <w:bookmarkStart w:id="132"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31">
        <w:r>
          <w:rPr>
            <w:rStyle w:val="Hyperlink"/>
          </w:rPr>
          <w:t xml:space="preserve">https://doi.org/10.11141/ia.67.8</w:t>
        </w:r>
      </w:hyperlink>
      <w:r>
        <w:t xml:space="preserve">.</w:t>
      </w:r>
    </w:p>
    <w:bookmarkEnd w:id="132"/>
    <w:bookmarkStart w:id="134"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33">
        <w:r>
          <w:rPr>
            <w:rStyle w:val="Hyperlink"/>
          </w:rPr>
          <w:t xml:space="preserve">https://doi.org/10.1038/s41598-023-41032-5</w:t>
        </w:r>
      </w:hyperlink>
      <w:r>
        <w:t xml:space="preserve">.</w:t>
      </w:r>
    </w:p>
    <w:bookmarkEnd w:id="134"/>
    <w:bookmarkStart w:id="136"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35">
        <w:r>
          <w:rPr>
            <w:rStyle w:val="Hyperlink"/>
          </w:rPr>
          <w:t xml:space="preserve">https://doi.org/10.21105/joss.01686</w:t>
        </w:r>
      </w:hyperlink>
      <w:r>
        <w:t xml:space="preserve">.</w:t>
      </w:r>
    </w:p>
    <w:bookmarkEnd w:id="136"/>
    <w:bookmarkStart w:id="138" w:name="ref-Wiest2024"/>
    <w:p>
      <w:pPr>
        <w:pStyle w:val="Bibliography"/>
      </w:pPr>
      <w:r>
        <w:t xml:space="preserve">Wiest, Isabella Catharina, Dyke Ferber, Jiefu Zhu, Marko van Treeck, Sonja K. Meyer, Radhika Juglan, Zunamys I. Carrero,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37">
        <w:r>
          <w:rPr>
            <w:rStyle w:val="Hyperlink"/>
          </w:rPr>
          <w:t xml:space="preserve">https://doi.org/10.1038/s41746-024-01233-2</w:t>
        </w:r>
      </w:hyperlink>
      <w:r>
        <w:t xml:space="preserve">.</w:t>
      </w:r>
    </w:p>
    <w:bookmarkEnd w:id="138"/>
    <w:bookmarkStart w:id="140" w:name="ref-Wilson2014"/>
    <w:p>
      <w:pPr>
        <w:pStyle w:val="Bibliography"/>
      </w:pPr>
      <w:r>
        <w:t xml:space="preserve">Wilson, Greg, D. A. Aruliah, C. Titus Brown, Neil P. Chue Hong, Matt Davis, Richard T. Guy, Steven H. D. Haddock, et al. 2014.</w:t>
      </w:r>
      <w:r>
        <w:t xml:space="preserve"> </w:t>
      </w:r>
      <w:r>
        <w:t xml:space="preserve">Best Practices for Scientific Computing</w:t>
      </w:r>
      <w:r>
        <w:t xml:space="preserve">.</w:t>
      </w:r>
      <w:r>
        <w:t xml:space="preserve"> </w:t>
      </w:r>
      <w:r>
        <w:rPr>
          <w:iCs/>
          <w:i/>
        </w:rPr>
        <w:t xml:space="preserve">PLOS Biology</w:t>
      </w:r>
      <w:r>
        <w:t xml:space="preserve"> </w:t>
      </w:r>
      <w:r>
        <w:t xml:space="preserve">12(1):e1001745.</w:t>
      </w:r>
      <w:r>
        <w:t xml:space="preserve"> </w:t>
      </w:r>
      <w:hyperlink r:id="rId139">
        <w:r>
          <w:rPr>
            <w:rStyle w:val="Hyperlink"/>
          </w:rPr>
          <w:t xml:space="preserve">https://doi.org/10.1371/journal.pbio.1001745</w:t>
        </w:r>
      </w:hyperlink>
      <w:r>
        <w:t xml:space="preserve">.</w:t>
      </w:r>
    </w:p>
    <w:bookmarkEnd w:id="140"/>
    <w:bookmarkStart w:id="142"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41">
        <w:r>
          <w:rPr>
            <w:rStyle w:val="Hyperlink"/>
          </w:rPr>
          <w:t xml:space="preserve">https://doi.org/10.48550/arXiv.2602.12430</w:t>
        </w:r>
      </w:hyperlink>
      <w:r>
        <w:t xml:space="preserve">.</w:t>
      </w:r>
    </w:p>
    <w:bookmarkEnd w:id="142"/>
    <w:bookmarkStart w:id="144" w:name="ref-ZamfirescuPereira2023"/>
    <w:p>
      <w:pPr>
        <w:pStyle w:val="Bibliography"/>
      </w:pPr>
      <w:r>
        <w:t xml:space="preserve">Zamfirescu-Pereira, J. D., Richmond Y. Wong, Bjoern Hartmann, and Qian Yang. 2023.</w:t>
      </w:r>
      <w:r>
        <w:t xml:space="preserve"> </w:t>
      </w:r>
      <w:hyperlink r:id="rId143">
        <w:r>
          <w:rPr>
            <w:rStyle w:val="Hyperlink"/>
          </w:rPr>
          <w:t xml:space="preserve">Why Johnny Can’t Prompt: How Non-AI Experts Try (and Fail) to Design LLM Prompts</w:t>
        </w:r>
      </w:hyperlink>
      <w:r>
        <w:t xml:space="preserve">, New York, NY, USA.</w:t>
      </w:r>
    </w:p>
    <w:bookmarkEnd w:id="144"/>
    <w:bookmarkStart w:id="146"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45">
        <w:r>
          <w:rPr>
            <w:rStyle w:val="Hyperlink"/>
          </w:rPr>
          <w:t xml:space="preserve">https://doi.org/10.1613/jair.1.11345</w:t>
        </w:r>
      </w:hyperlink>
      <w:r>
        <w:t xml:space="preserve">.</w:t>
      </w:r>
    </w:p>
    <w:bookmarkEnd w:id="146"/>
    <w:bookmarkStart w:id="148" w:name="ref-Zhang2025"/>
    <w:p>
      <w:pPr>
        <w:pStyle w:val="Bibliography"/>
      </w:pPr>
      <w:r>
        <w:t xml:space="preserve">Zhang, Yanbo, Sumeer A. Khan, Adnan Mahmud, Huck Yang, Alexander Lavin, Michael Levin, Jeremy Frey, et al. 2025.</w:t>
      </w:r>
      <w:r>
        <w:t xml:space="preserve"> </w:t>
      </w:r>
      <w:r>
        <w:t xml:space="preserve">Exploring the Role of Large Language Models in the Scientific Method: From Hypothesis to Discovery</w:t>
      </w:r>
      <w:r>
        <w:t xml:space="preserve">.</w:t>
      </w:r>
      <w:r>
        <w:t xml:space="preserve"> </w:t>
      </w:r>
      <w:r>
        <w:rPr>
          <w:iCs/>
          <w:i/>
        </w:rPr>
        <w:t xml:space="preserve">Npj Artificial Intelligence</w:t>
      </w:r>
      <w:r>
        <w:t xml:space="preserve"> </w:t>
      </w:r>
      <w:r>
        <w:t xml:space="preserve">1:14.</w:t>
      </w:r>
      <w:r>
        <w:t xml:space="preserve"> </w:t>
      </w:r>
      <w:hyperlink r:id="rId147">
        <w:r>
          <w:rPr>
            <w:rStyle w:val="Hyperlink"/>
          </w:rPr>
          <w:t xml:space="preserve">https://doi.org/10.1038/s44387-025-00019-5</w:t>
        </w:r>
      </w:hyperlink>
      <w:r>
        <w:t xml:space="preserve">.</w:t>
      </w:r>
    </w:p>
    <w:bookmarkEnd w:id="148"/>
    <w:bookmarkStart w:id="150" w:name="ref-Zheng2024"/>
    <w:p>
      <w:pPr>
        <w:pStyle w:val="Bibliography"/>
      </w:pPr>
      <w:r>
        <w:t xml:space="preserve">Zheng, Zibin, Kaiwen Ning, Yanlin Wang, Jingwen Zhang, Dewu Zheng, Mingxi Ye, and Jiachi Chen. 2024. A Survey of Large Language Models for Code: Evolution, Benchmarking, and Future Trends.</w:t>
      </w:r>
      <w:r>
        <w:t xml:space="preserve"> </w:t>
      </w:r>
      <w:r>
        <w:rPr>
          <w:iCs/>
          <w:i/>
        </w:rPr>
        <w:t xml:space="preserve">arXiv Preprint arXiv:2311.10372</w:t>
      </w:r>
      <w:r>
        <w:t xml:space="preserve">.</w:t>
      </w:r>
      <w:r>
        <w:t xml:space="preserve"> </w:t>
      </w:r>
      <w:hyperlink r:id="rId149">
        <w:r>
          <w:rPr>
            <w:rStyle w:val="Hyperlink"/>
          </w:rPr>
          <w:t xml:space="preserve">https://doi.org/10.48550/arXiv.2311.10372</w:t>
        </w:r>
      </w:hyperlink>
      <w:r>
        <w:t xml:space="preserve">.</w:t>
      </w:r>
    </w:p>
    <w:bookmarkEnd w:id="150"/>
    <w:bookmarkStart w:id="152"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51">
        <w:r>
          <w:rPr>
            <w:rStyle w:val="Hyperlink"/>
          </w:rPr>
          <w:t xml:space="preserve">https://doi.org/10.1162/coli_a_00502</w:t>
        </w:r>
      </w:hyperlink>
      <w:r>
        <w:t xml:space="preserve">.</w:t>
      </w:r>
    </w:p>
    <w:bookmarkEnd w:id="152"/>
    <w:bookmarkStart w:id="154"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53">
        <w:r>
          <w:rPr>
            <w:rStyle w:val="Hyperlink"/>
          </w:rPr>
          <w:t xml:space="preserve">https://doi.org/10.48550/arXiv.2603.15914</w:t>
        </w:r>
      </w:hyperlink>
      <w:r>
        <w:t xml:space="preserve">.</w:t>
      </w:r>
    </w:p>
    <w:bookmarkEnd w:id="154"/>
    <w:bookmarkEnd w:id="155"/>
    <w:p>
      <w:r>
        <w:br w:type="page"/>
      </w:r>
    </w:p>
    <w:bookmarkStart w:id="156" w:name="colophon"/>
    <w:p>
      <w:pPr>
        <w:pStyle w:val="Heading3"/>
      </w:pPr>
      <w:r>
        <w:t xml:space="preserve">Colophon</w:t>
      </w:r>
    </w:p>
    <w:p>
      <w:pPr>
        <w:pStyle w:val="FirstParagraph"/>
      </w:pPr>
      <w:r>
        <w:t xml:space="preserve">This report was generated on 2026-09-19 07:04:00.50144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StringTok"/>
        </w:rPr>
        <w:t xml:space="preserve">"devtools"</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4.6.1 (2026-06-24)</w:t>
      </w:r>
      <w:r>
        <w:br/>
      </w:r>
      <w:r>
        <w:rPr>
          <w:rStyle w:val="VerbatimChar"/>
        </w:rPr>
        <w:t xml:space="preserve"> os       macOS Ventura 13.3.1</w:t>
      </w:r>
      <w:r>
        <w:br/>
      </w:r>
      <w:r>
        <w:rPr>
          <w:rStyle w:val="VerbatimChar"/>
        </w:rPr>
        <w:t xml:space="preserve"> system   aarch64, darwin23</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America/Los_Angeles</w:t>
      </w:r>
      <w:r>
        <w:br/>
      </w:r>
      <w:r>
        <w:rPr>
          <w:rStyle w:val="VerbatimChar"/>
        </w:rPr>
        <w:t xml:space="preserve"> date     2026-09-19</w:t>
      </w:r>
      <w:r>
        <w:br/>
      </w:r>
      <w:r>
        <w:rPr>
          <w:rStyle w:val="VerbatimChar"/>
        </w:rPr>
        <w:t xml:space="preserve"> pandoc   3.10 @ /Applications/RStudio.app/Contents/Resources/app/quarto/bin/tools/aarch64/ (via rmarkdown)</w:t>
      </w:r>
      <w:r>
        <w:br/>
      </w:r>
      <w:r>
        <w:rPr>
          <w:rStyle w:val="VerbatimChar"/>
        </w:rPr>
        <w:t xml:space="preserve"> quarto   1.4.549 @ /usr/local/bin/quarto</w:t>
      </w:r>
      <w:r>
        <w:br/>
      </w:r>
      <w:r>
        <w:br/>
      </w:r>
      <w:r>
        <w:rPr>
          <w:rStyle w:val="VerbatimChar"/>
        </w:rPr>
        <w:t xml:space="preserve">─ Packages ───────────────────────────────────────────────────────────────────</w:t>
      </w:r>
      <w:r>
        <w:br/>
      </w:r>
      <w:r>
        <w:rPr>
          <w:rStyle w:val="VerbatimChar"/>
        </w:rPr>
        <w:t xml:space="preserve"> ! package     * version date (UTC) lib source</w:t>
      </w:r>
      <w:r>
        <w:br/>
      </w:r>
      <w:r>
        <w:rPr>
          <w:rStyle w:val="VerbatimChar"/>
        </w:rPr>
        <w:t xml:space="preserve"> P cachem        1.1.0   2024-05-16 [?] RSPM</w:t>
      </w:r>
      <w:r>
        <w:br/>
      </w:r>
      <w:r>
        <w:rPr>
          <w:rStyle w:val="VerbatimChar"/>
        </w:rPr>
        <w:t xml:space="preserve"> P cli           3.6.6   2026-04-09 [?] RSPM</w:t>
      </w:r>
      <w:r>
        <w:br/>
      </w:r>
      <w:r>
        <w:rPr>
          <w:rStyle w:val="VerbatimChar"/>
        </w:rPr>
        <w:t xml:space="preserve"> P devtools      2.5.2   2026-04-30 [?] RSPM</w:t>
      </w:r>
      <w:r>
        <w:br/>
      </w:r>
      <w:r>
        <w:rPr>
          <w:rStyle w:val="VerbatimChar"/>
        </w:rPr>
        <w:t xml:space="preserve"> P digest        0.6.39  2025-11-19 [?] RSPM</w:t>
      </w:r>
      <w:r>
        <w:br/>
      </w:r>
      <w:r>
        <w:rPr>
          <w:rStyle w:val="VerbatimChar"/>
        </w:rPr>
        <w:t xml:space="preserve"> P ellipsis      0.3.3   2026-04-04 [?] RSPM</w:t>
      </w:r>
      <w:r>
        <w:br/>
      </w:r>
      <w:r>
        <w:rPr>
          <w:rStyle w:val="VerbatimChar"/>
        </w:rPr>
        <w:t xml:space="preserve"> P evaluate      1.0.5   2025-08-27 [?] RSPM</w:t>
      </w:r>
      <w:r>
        <w:br/>
      </w:r>
      <w:r>
        <w:rPr>
          <w:rStyle w:val="VerbatimChar"/>
        </w:rPr>
        <w:t xml:space="preserve"> P fastmap       1.2.0   2024-05-15 [?] RSPM</w:t>
      </w:r>
      <w:r>
        <w:br/>
      </w:r>
      <w:r>
        <w:rPr>
          <w:rStyle w:val="VerbatimChar"/>
        </w:rPr>
        <w:t xml:space="preserve"> P fs            2.1.0   2026-04-18 [?] RSPM</w:t>
      </w:r>
      <w:r>
        <w:br/>
      </w:r>
      <w:r>
        <w:rPr>
          <w:rStyle w:val="VerbatimChar"/>
        </w:rPr>
        <w:t xml:space="preserve"> P glue          1.8.1   2026-04-17 [?] RSPM</w:t>
      </w:r>
      <w:r>
        <w:br/>
      </w:r>
      <w:r>
        <w:rPr>
          <w:rStyle w:val="VerbatimChar"/>
        </w:rPr>
        <w:t xml:space="preserve"> P here          1.0.2   2025-09-15 [?] RSPM</w:t>
      </w:r>
      <w:r>
        <w:br/>
      </w:r>
      <w:r>
        <w:rPr>
          <w:rStyle w:val="VerbatimChar"/>
        </w:rPr>
        <w:t xml:space="preserve"> P htmltools     0.5.9   2025-12-04 [?] RSPM</w:t>
      </w:r>
      <w:r>
        <w:br/>
      </w:r>
      <w:r>
        <w:rPr>
          <w:rStyle w:val="VerbatimChar"/>
        </w:rPr>
        <w:t xml:space="preserve"> P jsonlite      2.0.0   2025-03-27 [?] RSPM</w:t>
      </w:r>
      <w:r>
        <w:br/>
      </w:r>
      <w:r>
        <w:rPr>
          <w:rStyle w:val="VerbatimChar"/>
        </w:rPr>
        <w:t xml:space="preserve"> P knitr         1.52    2026-09-06 [?] RSPM</w:t>
      </w:r>
      <w:r>
        <w:br/>
      </w:r>
      <w:r>
        <w:rPr>
          <w:rStyle w:val="VerbatimChar"/>
        </w:rPr>
        <w:t xml:space="preserve"> P lifecycle     1.0.5   2026-01-08 [?] RSPM</w:t>
      </w:r>
      <w:r>
        <w:br/>
      </w:r>
      <w:r>
        <w:rPr>
          <w:rStyle w:val="VerbatimChar"/>
        </w:rPr>
        <w:t xml:space="preserve"> P magrittr      2.0.5   2026-04-04 [?] RSPM</w:t>
      </w:r>
      <w:r>
        <w:br/>
      </w:r>
      <w:r>
        <w:rPr>
          <w:rStyle w:val="VerbatimChar"/>
        </w:rPr>
        <w:t xml:space="preserve"> P memoise       2.0.1   2021-11-26 [?] RSPM</w:t>
      </w:r>
      <w:r>
        <w:br/>
      </w:r>
      <w:r>
        <w:rPr>
          <w:rStyle w:val="VerbatimChar"/>
        </w:rPr>
        <w:t xml:space="preserve"> P otel          0.2.0   2025-08-29 [?] RSPM</w:t>
      </w:r>
      <w:r>
        <w:br/>
      </w:r>
      <w:r>
        <w:rPr>
          <w:rStyle w:val="VerbatimChar"/>
        </w:rPr>
        <w:t xml:space="preserve"> P pkgbuild      1.4.8   2025-05-26 [?] RSPM</w:t>
      </w:r>
      <w:r>
        <w:br/>
      </w:r>
      <w:r>
        <w:rPr>
          <w:rStyle w:val="VerbatimChar"/>
        </w:rPr>
        <w:t xml:space="preserve"> P pkgload       1.5.3   2026-06-15 [?] RSPM</w:t>
      </w:r>
      <w:r>
        <w:br/>
      </w:r>
      <w:r>
        <w:rPr>
          <w:rStyle w:val="VerbatimChar"/>
        </w:rPr>
        <w:t xml:space="preserve"> P purrr         1.2.2   2026-04-10 [?] RSPM</w:t>
      </w:r>
      <w:r>
        <w:br/>
      </w:r>
      <w:r>
        <w:rPr>
          <w:rStyle w:val="VerbatimChar"/>
        </w:rPr>
        <w:t xml:space="preserve"> P R6            2.6.1   2025-02-15 [?] RSPM</w:t>
      </w:r>
      <w:r>
        <w:br/>
      </w:r>
      <w:r>
        <w:rPr>
          <w:rStyle w:val="VerbatimChar"/>
        </w:rPr>
        <w:t xml:space="preserve"> P rlang         1.3.0   2026-07-05 [?] RSPM</w:t>
      </w:r>
      <w:r>
        <w:br/>
      </w:r>
      <w:r>
        <w:rPr>
          <w:rStyle w:val="VerbatimChar"/>
        </w:rPr>
        <w:t xml:space="preserve"> P rmarkdown     2.32    2026-09-01 [?] CRAN (R 4.6.1)</w:t>
      </w:r>
      <w:r>
        <w:br/>
      </w:r>
      <w:r>
        <w:rPr>
          <w:rStyle w:val="VerbatimChar"/>
        </w:rPr>
        <w:t xml:space="preserve"> P rprojroot     2.1.1   2025-08-26 [?] RSPM</w:t>
      </w:r>
      <w:r>
        <w:br/>
      </w:r>
      <w:r>
        <w:rPr>
          <w:rStyle w:val="VerbatimChar"/>
        </w:rPr>
        <w:t xml:space="preserve"> P rstudioapi    0.19.0  2026-06-11 [?] RSPM</w:t>
      </w:r>
      <w:r>
        <w:br/>
      </w:r>
      <w:r>
        <w:rPr>
          <w:rStyle w:val="VerbatimChar"/>
        </w:rPr>
        <w:t xml:space="preserve"> P sessioninfo   1.2.4   2026-06-04 [?] RSPM</w:t>
      </w:r>
      <w:r>
        <w:br/>
      </w:r>
      <w:r>
        <w:rPr>
          <w:rStyle w:val="VerbatimChar"/>
        </w:rPr>
        <w:t xml:space="preserve"> P usethis       3.2.2   2026-09-10 [?] RSPM</w:t>
      </w:r>
      <w:r>
        <w:br/>
      </w:r>
      <w:r>
        <w:rPr>
          <w:rStyle w:val="VerbatimChar"/>
        </w:rPr>
        <w:t xml:space="preserve"> P vctrs         0.7.3   2026-04-11 [?] RSPM</w:t>
      </w:r>
      <w:r>
        <w:br/>
      </w:r>
      <w:r>
        <w:rPr>
          <w:rStyle w:val="VerbatimChar"/>
        </w:rPr>
        <w:t xml:space="preserve"> P xfun          0.60    2026-07-09 [?] RSPM</w:t>
      </w:r>
      <w:r>
        <w:br/>
      </w:r>
      <w:r>
        <w:rPr>
          <w:rStyle w:val="VerbatimChar"/>
        </w:rPr>
        <w:t xml:space="preserve"> P yaml          2.3.12  2025-12-10 [?] RSPM</w:t>
      </w:r>
      <w:r>
        <w:br/>
      </w:r>
      <w:r>
        <w:br/>
      </w:r>
      <w:r>
        <w:rPr>
          <w:rStyle w:val="VerbatimChar"/>
        </w:rPr>
        <w:t xml:space="preserve"> [1] /Users/bmarwick/Library/Caches/org.R-project.R/R/renv/library/agentic-ai-for-archaeology-d51787bc/macos/R-4.6/aarch64-apple-darwin23</w:t>
      </w:r>
      <w:r>
        <w:br/>
      </w:r>
      <w:r>
        <w:rPr>
          <w:rStyle w:val="VerbatimChar"/>
        </w:rPr>
        <w:t xml:space="preserve"> [2] /Library/Frameworks/R.framework/Versions/4.6/Resources/library</w:t>
      </w:r>
      <w:r>
        <w:br/>
      </w:r>
      <w:r>
        <w:br/>
      </w:r>
      <w:r>
        <w:rPr>
          <w:rStyle w:val="VerbatimChar"/>
        </w:rPr>
        <w:t xml:space="preserve"> P ── Loaded and on-disk path mismatch.</w:t>
      </w:r>
      <w:r>
        <w:br/>
      </w:r>
      <w:r>
        <w:br/>
      </w:r>
      <w:r>
        <w:rPr>
          <w:rStyle w:val="VerbatimChar"/>
        </w:rPr>
        <w:t xml:space="preserve">──────────────────────────────────────────────────────────────────────────────</w:t>
      </w:r>
    </w:p>
    <w:p>
      <w:pPr>
        <w:pStyle w:val="FirstParagraph"/>
      </w:pPr>
      <w:r>
        <w:t xml:space="preserve">The current Git commit details are:</w:t>
      </w:r>
    </w:p>
    <w:p>
      <w:pPr>
        <w:pStyle w:val="SourceCode"/>
      </w:pPr>
      <w:r>
        <w:rPr>
          <w:rStyle w:val="CommentTok"/>
        </w:rPr>
        <w:t xml:space="preserve"># what commit is this file at? </w:t>
      </w:r>
      <w:r>
        <w:br/>
      </w:r>
      <w:r>
        <w:rPr>
          <w:rStyle w:val="ControlFlowTok"/>
        </w:rPr>
        <w:t xml:space="preserve">if</w:t>
      </w:r>
      <w:r>
        <w:rPr>
          <w:rStyle w:val="NormalTok"/>
        </w:rPr>
        <w:t xml:space="preserve"> (</w:t>
      </w:r>
      <w:r>
        <w:rPr>
          <w:rStyle w:val="StringTok"/>
        </w:rPr>
        <w:t xml:space="preserve">"git2r"</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pecialCharTok"/>
        </w:rPr>
        <w:t xml:space="preserve">&amp;</w:t>
      </w:r>
      <w:r>
        <w:rPr>
          <w:rStyle w:val="NormalTok"/>
        </w:rPr>
        <w:t xml:space="preserve"> git2r</w:t>
      </w:r>
      <w:r>
        <w:rPr>
          <w:rStyle w:val="SpecialCharTok"/>
        </w:rPr>
        <w:t xml:space="preserve">::</w:t>
      </w:r>
      <w:r>
        <w:rPr>
          <w:rStyle w:val="FunctionTok"/>
        </w:rPr>
        <w:t xml:space="preserve">in_repository</w:t>
      </w:r>
      <w:r>
        <w:rPr>
          <w:rStyle w:val="NormalTok"/>
        </w:rPr>
        <w:t xml:space="preserve">(</w:t>
      </w:r>
      <w:r>
        <w:rPr>
          <w:rStyle w:val="AttributeTok"/>
        </w:rPr>
        <w:t xml:space="preserve">path =</w:t>
      </w:r>
      <w:r>
        <w:rPr>
          <w:rStyle w:val="NormalTok"/>
        </w:rPr>
        <w:t xml:space="preserve"> </w:t>
      </w:r>
      <w:r>
        <w:rPr>
          <w:rStyle w:val="StringTok"/>
        </w:rPr>
        <w:t xml:space="preserve">"."</w:t>
      </w:r>
      <w:r>
        <w:rPr>
          <w:rStyle w:val="NormalTok"/>
        </w:rPr>
        <w:t xml:space="preserve">)) git2r</w:t>
      </w:r>
      <w:r>
        <w:rPr>
          <w:rStyle w:val="SpecialCharTok"/>
        </w:rPr>
        <w:t xml:space="preserve">::</w:t>
      </w:r>
      <w:r>
        <w:rPr>
          <w:rStyle w:val="FunctionTok"/>
        </w:rPr>
        <w:t xml:space="preserve">repository</w:t>
      </w:r>
      <w:r>
        <w:rPr>
          <w:rStyle w:val="NormalTok"/>
        </w:rPr>
        <w:t xml:space="preserve">(here</w:t>
      </w:r>
      <w:r>
        <w:rPr>
          <w:rStyle w:val="SpecialCharTok"/>
        </w:rPr>
        <w:t xml:space="preserve">::</w:t>
      </w:r>
      <w:r>
        <w:rPr>
          <w:rStyle w:val="FunctionTok"/>
        </w:rPr>
        <w:t xml:space="preserve">here</w:t>
      </w:r>
      <w:r>
        <w:rPr>
          <w:rStyle w:val="NormalTok"/>
        </w:rPr>
        <w:t xml:space="preserve">())  </w:t>
      </w:r>
    </w:p>
    <w:p>
      <w:pPr>
        <w:pStyle w:val="SourceCode"/>
      </w:pPr>
      <w:r>
        <w:rPr>
          <w:rStyle w:val="VerbatimChar"/>
        </w:rPr>
        <w:t xml:space="preserve">Local:    main /Users/bmarwick/Downloads/agentic-ai-for-archaeology</w:t>
      </w:r>
      <w:r>
        <w:br/>
      </w:r>
      <w:r>
        <w:rPr>
          <w:rStyle w:val="VerbatimChar"/>
        </w:rPr>
        <w:t xml:space="preserve">Remote:   main @ origin (https://github.com/benmarwick/agenticai.git)</w:t>
      </w:r>
      <w:r>
        <w:br/>
      </w:r>
      <w:r>
        <w:rPr>
          <w:rStyle w:val="VerbatimChar"/>
        </w:rPr>
        <w:t xml:space="preserve">Head:     [c1d02e6] 2026-09-19: Add Source column with URLs to table-stack.csv</w:t>
      </w:r>
    </w:p>
    <w:bookmarkEnd w:id="156"/>
    <w:bookmarkEnd w:id="157"/>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doi.org/10.1002/smr.2723" TargetMode="External" /><Relationship Type="http://schemas.openxmlformats.org/officeDocument/2006/relationships/hyperlink" Id="rId79" Target="https://doi.org/10.1007/978-3-032-02049-9_6" TargetMode="External" /><Relationship Type="http://schemas.openxmlformats.org/officeDocument/2006/relationships/hyperlink" Id="rId107" Target="https://doi.org/10.1007/s10816-015-9272-9" TargetMode="External" /><Relationship Type="http://schemas.openxmlformats.org/officeDocument/2006/relationships/hyperlink" Id="rId67" Target="https://doi.org/10.1007/s12599-023-00834-7" TargetMode="External" /><Relationship Type="http://schemas.openxmlformats.org/officeDocument/2006/relationships/hyperlink" Id="rId77" Target="https://doi.org/10.1016/j.sftr.2025.101152" TargetMode="External" /><Relationship Type="http://schemas.openxmlformats.org/officeDocument/2006/relationships/hyperlink" Id="rId109" Target="https://doi.org/10.1038/s41586-024-07146-0" TargetMode="External" /><Relationship Type="http://schemas.openxmlformats.org/officeDocument/2006/relationships/hyperlink" Id="rId103" Target="https://doi.org/10.1038/s41586-026-10265-5" TargetMode="External" /><Relationship Type="http://schemas.openxmlformats.org/officeDocument/2006/relationships/hyperlink" Id="rId133" Target="https://doi.org/10.1038/s41598-023-41032-5" TargetMode="External" /><Relationship Type="http://schemas.openxmlformats.org/officeDocument/2006/relationships/hyperlink" Id="rId137" Target="https://doi.org/10.1038/s41746-024-01233-2" TargetMode="External" /><Relationship Type="http://schemas.openxmlformats.org/officeDocument/2006/relationships/hyperlink" Id="rId73" Target="https://doi.org/10.1038/s44185-024-00043-9" TargetMode="External" /><Relationship Type="http://schemas.openxmlformats.org/officeDocument/2006/relationships/hyperlink" Id="rId147" Target="https://doi.org/10.1038/s44387-025-00019-5" TargetMode="External" /><Relationship Type="http://schemas.openxmlformats.org/officeDocument/2006/relationships/hyperlink" Id="rId75" Target="https://doi.org/10.1057/s41599-026-08832-2" TargetMode="External" /><Relationship Type="http://schemas.openxmlformats.org/officeDocument/2006/relationships/hyperlink" Id="rId71" Target="https://doi.org/10.1073/pnas.2305016120" TargetMode="External" /><Relationship Type="http://schemas.openxmlformats.org/officeDocument/2006/relationships/hyperlink" Id="rId43" Target="https://doi.org/10.1073/pnas.2606495123" TargetMode="External" /><Relationship Type="http://schemas.openxmlformats.org/officeDocument/2006/relationships/hyperlink" Id="rId85" Target="https://doi.org/10.1080/00187259.2026.2714301" TargetMode="External" /><Relationship Type="http://schemas.openxmlformats.org/officeDocument/2006/relationships/hyperlink" Id="rId69" Target="https://doi.org/10.1080/10584609.2023.2290497" TargetMode="External" /><Relationship Type="http://schemas.openxmlformats.org/officeDocument/2006/relationships/hyperlink" Id="rId123" Target="https://doi.org/10.1080/20548923.2025.2564519" TargetMode="External" /><Relationship Type="http://schemas.openxmlformats.org/officeDocument/2006/relationships/hyperlink" Id="rId125" Target="https://doi.org/10.1093/biosci/biaf169" TargetMode="External" /><Relationship Type="http://schemas.openxmlformats.org/officeDocument/2006/relationships/hyperlink" Id="rId65" Target="https://doi.org/10.1093/jmammal/gyaf082" TargetMode="External" /><Relationship Type="http://schemas.openxmlformats.org/officeDocument/2006/relationships/hyperlink" Id="rId127" Target="https://doi.org/10.1098/rsos.251766" TargetMode="External" /><Relationship Type="http://schemas.openxmlformats.org/officeDocument/2006/relationships/hyperlink" Id="rId61" Target="https://doi.org/10.1111/2041-210X.14325" TargetMode="External" /><Relationship Type="http://schemas.openxmlformats.org/officeDocument/2006/relationships/hyperlink" Id="rId119" Target="https://doi.org/10.1111/2041-210X.14341" TargetMode="External" /><Relationship Type="http://schemas.openxmlformats.org/officeDocument/2006/relationships/hyperlink" Id="rId57" Target="https://doi.org/10.1111/2041-210X.14396" TargetMode="External" /><Relationship Type="http://schemas.openxmlformats.org/officeDocument/2006/relationships/hyperlink" Id="rId87" Target="https://doi.org/10.1111/2041-210x.14397" TargetMode="External" /><Relationship Type="http://schemas.openxmlformats.org/officeDocument/2006/relationships/hyperlink" Id="rId55" Target="https://doi.org/10.1111/2041-210x.70267" TargetMode="External" /><Relationship Type="http://schemas.openxmlformats.org/officeDocument/2006/relationships/hyperlink" Id="rId97" Target="https://doi.org/10.1111/2041-210x.70403" TargetMode="External" /><Relationship Type="http://schemas.openxmlformats.org/officeDocument/2006/relationships/hyperlink" Id="rId53" Target="https://doi.org/10.1111/faf.70079" TargetMode="External" /><Relationship Type="http://schemas.openxmlformats.org/officeDocument/2006/relationships/hyperlink" Id="rId131" Target="https://doi.org/10.11141/ia.67.8" TargetMode="External" /><Relationship Type="http://schemas.openxmlformats.org/officeDocument/2006/relationships/hyperlink" Id="rId91" Target="https://doi.org/10.11141/ia.71.15" TargetMode="External" /><Relationship Type="http://schemas.openxmlformats.org/officeDocument/2006/relationships/hyperlink" Id="rId143" Target="https://doi.org/10.1145/3544548.3581388" TargetMode="External" /><Relationship Type="http://schemas.openxmlformats.org/officeDocument/2006/relationships/hyperlink" Id="rId105" Target="https://doi.org/10.1145/3630106.3658542" TargetMode="External" /><Relationship Type="http://schemas.openxmlformats.org/officeDocument/2006/relationships/hyperlink" Id="rId81" Target="https://doi.org/10.1145/3796519" TargetMode="External" /><Relationship Type="http://schemas.openxmlformats.org/officeDocument/2006/relationships/hyperlink" Id="rId35" Target="https://doi.org/10.1146/annurev-soc-011824-104836" TargetMode="External" /><Relationship Type="http://schemas.openxmlformats.org/officeDocument/2006/relationships/hyperlink" Id="rId151" Target="https://doi.org/10.1162/coli_a_00502" TargetMode="External" /><Relationship Type="http://schemas.openxmlformats.org/officeDocument/2006/relationships/hyperlink" Id="rId33" Target="https://doi.org/10.1177/25152459251325174" TargetMode="External" /><Relationship Type="http://schemas.openxmlformats.org/officeDocument/2006/relationships/hyperlink" Id="rId117" Target="https://doi.org/10.1186/1751-0473-8-7" TargetMode="External" /><Relationship Type="http://schemas.openxmlformats.org/officeDocument/2006/relationships/hyperlink" Id="rId93" Target="https://doi.org/10.1257/jel.20231736" TargetMode="External" /><Relationship Type="http://schemas.openxmlformats.org/officeDocument/2006/relationships/hyperlink" Id="rId63" Target="https://doi.org/10.1287/orsc.2025.21838" TargetMode="External" /><Relationship Type="http://schemas.openxmlformats.org/officeDocument/2006/relationships/hyperlink" Id="rId139" Target="https://doi.org/10.1371/journal.pbio.1001745" TargetMode="External" /><Relationship Type="http://schemas.openxmlformats.org/officeDocument/2006/relationships/hyperlink" Id="rId45" Target="https://doi.org/10.1371/journal.pcbi.1004668" TargetMode="External" /><Relationship Type="http://schemas.openxmlformats.org/officeDocument/2006/relationships/hyperlink" Id="rId47" Target="https://doi.org/10.1371/journal.pcbi.1014428" TargetMode="External" /><Relationship Type="http://schemas.openxmlformats.org/officeDocument/2006/relationships/hyperlink" Id="rId83" Target="https://doi.org/10.1371/journal.pone.0317084" TargetMode="External" /><Relationship Type="http://schemas.openxmlformats.org/officeDocument/2006/relationships/hyperlink" Id="rId145" Target="https://doi.org/10.1613/jair.1.11345" TargetMode="External" /><Relationship Type="http://schemas.openxmlformats.org/officeDocument/2006/relationships/hyperlink" Id="rId135" Target="https://doi.org/10.21105/joss.01686" TargetMode="External" /><Relationship Type="http://schemas.openxmlformats.org/officeDocument/2006/relationships/hyperlink" Id="rId111" Target="https://doi.org/10.2139/ssrn.7011058" TargetMode="External" /><Relationship Type="http://schemas.openxmlformats.org/officeDocument/2006/relationships/hyperlink" Id="rId101" Target="https://doi.org/10.2196/51584" TargetMode="External" /><Relationship Type="http://schemas.openxmlformats.org/officeDocument/2006/relationships/hyperlink" Id="rId129" Target="https://doi.org/10.3233/faia230098" TargetMode="External" /><Relationship Type="http://schemas.openxmlformats.org/officeDocument/2006/relationships/hyperlink" Id="rId41" Target="https://doi.org/10.4337/9781802204131.00014" TargetMode="External" /><Relationship Type="http://schemas.openxmlformats.org/officeDocument/2006/relationships/hyperlink" Id="rId89" Target="https://doi.org/10.4337/9781802204131.00019" TargetMode="External" /><Relationship Type="http://schemas.openxmlformats.org/officeDocument/2006/relationships/hyperlink" Id="rId59" Target="https://doi.org/10.48550/arXiv.2304.05128" TargetMode="External" /><Relationship Type="http://schemas.openxmlformats.org/officeDocument/2006/relationships/hyperlink" Id="rId149" Target="https://doi.org/10.48550/arXiv.2311.10372" TargetMode="External" /><Relationship Type="http://schemas.openxmlformats.org/officeDocument/2006/relationships/hyperlink" Id="rId99" Target="https://doi.org/10.48550/arXiv.2505.06120" TargetMode="External" /><Relationship Type="http://schemas.openxmlformats.org/officeDocument/2006/relationships/hyperlink" Id="rId141" Target="https://doi.org/10.48550/arXiv.2602.12430" TargetMode="External" /><Relationship Type="http://schemas.openxmlformats.org/officeDocument/2006/relationships/hyperlink" Id="rId153" Target="https://doi.org/10.48550/arXiv.2603.15914" TargetMode="External" /><Relationship Type="http://schemas.openxmlformats.org/officeDocument/2006/relationships/hyperlink" Id="rId121" Target="https://ladal.edu.au/tutorials/llm_privacy/llm_privacy.html" TargetMode="External" /><Relationship Type="http://schemas.openxmlformats.org/officeDocument/2006/relationships/hyperlink" Id="rId115" Target="https://quarto.org/docs/get-started/hello/rstudio.html" TargetMode="External" /><Relationship Type="http://schemas.openxmlformats.org/officeDocument/2006/relationships/hyperlink" Id="rId49" Target="https://vitaexmachina.substack.com/p/running-local-large-language-models" TargetMode="External" /><Relationship Type="http://schemas.openxmlformats.org/officeDocument/2006/relationships/hyperlink" Id="rId39" Target="https://www.anthropic.com/engineering/equipping-agents-for-the-real-world-with-agent-skills" TargetMode="External" /><Relationship Type="http://schemas.openxmlformats.org/officeDocument/2006/relationships/hyperlink" Id="rId37" Target="https://www.anthropic.com/research/model-context-protocol" TargetMode="External" /><Relationship Type="http://schemas.openxmlformats.org/officeDocument/2006/relationships/hyperlink" Id="rId95" Target="https://www.nber.org/papers/w34202" TargetMode="External" /><Relationship Type="http://schemas.openxmlformats.org/officeDocument/2006/relationships/hyperlink" Id="rId51"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02/smr.2723" TargetMode="External" /><Relationship Type="http://schemas.openxmlformats.org/officeDocument/2006/relationships/hyperlink" Id="rId79" Target="https://doi.org/10.1007/978-3-032-02049-9_6" TargetMode="External" /><Relationship Type="http://schemas.openxmlformats.org/officeDocument/2006/relationships/hyperlink" Id="rId107" Target="https://doi.org/10.1007/s10816-015-9272-9" TargetMode="External" /><Relationship Type="http://schemas.openxmlformats.org/officeDocument/2006/relationships/hyperlink" Id="rId67" Target="https://doi.org/10.1007/s12599-023-00834-7" TargetMode="External" /><Relationship Type="http://schemas.openxmlformats.org/officeDocument/2006/relationships/hyperlink" Id="rId77" Target="https://doi.org/10.1016/j.sftr.2025.101152" TargetMode="External" /><Relationship Type="http://schemas.openxmlformats.org/officeDocument/2006/relationships/hyperlink" Id="rId109" Target="https://doi.org/10.1038/s41586-024-07146-0" TargetMode="External" /><Relationship Type="http://schemas.openxmlformats.org/officeDocument/2006/relationships/hyperlink" Id="rId103" Target="https://doi.org/10.1038/s41586-026-10265-5" TargetMode="External" /><Relationship Type="http://schemas.openxmlformats.org/officeDocument/2006/relationships/hyperlink" Id="rId133" Target="https://doi.org/10.1038/s41598-023-41032-5" TargetMode="External" /><Relationship Type="http://schemas.openxmlformats.org/officeDocument/2006/relationships/hyperlink" Id="rId137" Target="https://doi.org/10.1038/s41746-024-01233-2" TargetMode="External" /><Relationship Type="http://schemas.openxmlformats.org/officeDocument/2006/relationships/hyperlink" Id="rId73" Target="https://doi.org/10.1038/s44185-024-00043-9" TargetMode="External" /><Relationship Type="http://schemas.openxmlformats.org/officeDocument/2006/relationships/hyperlink" Id="rId147" Target="https://doi.org/10.1038/s44387-025-00019-5" TargetMode="External" /><Relationship Type="http://schemas.openxmlformats.org/officeDocument/2006/relationships/hyperlink" Id="rId75" Target="https://doi.org/10.1057/s41599-026-08832-2" TargetMode="External" /><Relationship Type="http://schemas.openxmlformats.org/officeDocument/2006/relationships/hyperlink" Id="rId71" Target="https://doi.org/10.1073/pnas.2305016120" TargetMode="External" /><Relationship Type="http://schemas.openxmlformats.org/officeDocument/2006/relationships/hyperlink" Id="rId43" Target="https://doi.org/10.1073/pnas.2606495123" TargetMode="External" /><Relationship Type="http://schemas.openxmlformats.org/officeDocument/2006/relationships/hyperlink" Id="rId85" Target="https://doi.org/10.1080/00187259.2026.2714301" TargetMode="External" /><Relationship Type="http://schemas.openxmlformats.org/officeDocument/2006/relationships/hyperlink" Id="rId69" Target="https://doi.org/10.1080/10584609.2023.2290497" TargetMode="External" /><Relationship Type="http://schemas.openxmlformats.org/officeDocument/2006/relationships/hyperlink" Id="rId123" Target="https://doi.org/10.1080/20548923.2025.2564519" TargetMode="External" /><Relationship Type="http://schemas.openxmlformats.org/officeDocument/2006/relationships/hyperlink" Id="rId125" Target="https://doi.org/10.1093/biosci/biaf169" TargetMode="External" /><Relationship Type="http://schemas.openxmlformats.org/officeDocument/2006/relationships/hyperlink" Id="rId65" Target="https://doi.org/10.1093/jmammal/gyaf082" TargetMode="External" /><Relationship Type="http://schemas.openxmlformats.org/officeDocument/2006/relationships/hyperlink" Id="rId127" Target="https://doi.org/10.1098/rsos.251766" TargetMode="External" /><Relationship Type="http://schemas.openxmlformats.org/officeDocument/2006/relationships/hyperlink" Id="rId61" Target="https://doi.org/10.1111/2041-210X.14325" TargetMode="External" /><Relationship Type="http://schemas.openxmlformats.org/officeDocument/2006/relationships/hyperlink" Id="rId119" Target="https://doi.org/10.1111/2041-210X.14341" TargetMode="External" /><Relationship Type="http://schemas.openxmlformats.org/officeDocument/2006/relationships/hyperlink" Id="rId57" Target="https://doi.org/10.1111/2041-210X.14396" TargetMode="External" /><Relationship Type="http://schemas.openxmlformats.org/officeDocument/2006/relationships/hyperlink" Id="rId87" Target="https://doi.org/10.1111/2041-210x.14397" TargetMode="External" /><Relationship Type="http://schemas.openxmlformats.org/officeDocument/2006/relationships/hyperlink" Id="rId55" Target="https://doi.org/10.1111/2041-210x.70267" TargetMode="External" /><Relationship Type="http://schemas.openxmlformats.org/officeDocument/2006/relationships/hyperlink" Id="rId97" Target="https://doi.org/10.1111/2041-210x.70403" TargetMode="External" /><Relationship Type="http://schemas.openxmlformats.org/officeDocument/2006/relationships/hyperlink" Id="rId53" Target="https://doi.org/10.1111/faf.70079" TargetMode="External" /><Relationship Type="http://schemas.openxmlformats.org/officeDocument/2006/relationships/hyperlink" Id="rId131" Target="https://doi.org/10.11141/ia.67.8" TargetMode="External" /><Relationship Type="http://schemas.openxmlformats.org/officeDocument/2006/relationships/hyperlink" Id="rId91" Target="https://doi.org/10.11141/ia.71.15" TargetMode="External" /><Relationship Type="http://schemas.openxmlformats.org/officeDocument/2006/relationships/hyperlink" Id="rId143" Target="https://doi.org/10.1145/3544548.3581388" TargetMode="External" /><Relationship Type="http://schemas.openxmlformats.org/officeDocument/2006/relationships/hyperlink" Id="rId105" Target="https://doi.org/10.1145/3630106.3658542" TargetMode="External" /><Relationship Type="http://schemas.openxmlformats.org/officeDocument/2006/relationships/hyperlink" Id="rId81" Target="https://doi.org/10.1145/3796519" TargetMode="External" /><Relationship Type="http://schemas.openxmlformats.org/officeDocument/2006/relationships/hyperlink" Id="rId35" Target="https://doi.org/10.1146/annurev-soc-011824-104836" TargetMode="External" /><Relationship Type="http://schemas.openxmlformats.org/officeDocument/2006/relationships/hyperlink" Id="rId151" Target="https://doi.org/10.1162/coli_a_00502" TargetMode="External" /><Relationship Type="http://schemas.openxmlformats.org/officeDocument/2006/relationships/hyperlink" Id="rId33" Target="https://doi.org/10.1177/25152459251325174" TargetMode="External" /><Relationship Type="http://schemas.openxmlformats.org/officeDocument/2006/relationships/hyperlink" Id="rId117" Target="https://doi.org/10.1186/1751-0473-8-7" TargetMode="External" /><Relationship Type="http://schemas.openxmlformats.org/officeDocument/2006/relationships/hyperlink" Id="rId93" Target="https://doi.org/10.1257/jel.20231736" TargetMode="External" /><Relationship Type="http://schemas.openxmlformats.org/officeDocument/2006/relationships/hyperlink" Id="rId63" Target="https://doi.org/10.1287/orsc.2025.21838" TargetMode="External" /><Relationship Type="http://schemas.openxmlformats.org/officeDocument/2006/relationships/hyperlink" Id="rId139" Target="https://doi.org/10.1371/journal.pbio.1001745" TargetMode="External" /><Relationship Type="http://schemas.openxmlformats.org/officeDocument/2006/relationships/hyperlink" Id="rId45" Target="https://doi.org/10.1371/journal.pcbi.1004668" TargetMode="External" /><Relationship Type="http://schemas.openxmlformats.org/officeDocument/2006/relationships/hyperlink" Id="rId47" Target="https://doi.org/10.1371/journal.pcbi.1014428" TargetMode="External" /><Relationship Type="http://schemas.openxmlformats.org/officeDocument/2006/relationships/hyperlink" Id="rId83" Target="https://doi.org/10.1371/journal.pone.0317084" TargetMode="External" /><Relationship Type="http://schemas.openxmlformats.org/officeDocument/2006/relationships/hyperlink" Id="rId145" Target="https://doi.org/10.1613/jair.1.11345" TargetMode="External" /><Relationship Type="http://schemas.openxmlformats.org/officeDocument/2006/relationships/hyperlink" Id="rId135" Target="https://doi.org/10.21105/joss.01686" TargetMode="External" /><Relationship Type="http://schemas.openxmlformats.org/officeDocument/2006/relationships/hyperlink" Id="rId111" Target="https://doi.org/10.2139/ssrn.7011058" TargetMode="External" /><Relationship Type="http://schemas.openxmlformats.org/officeDocument/2006/relationships/hyperlink" Id="rId101" Target="https://doi.org/10.2196/51584" TargetMode="External" /><Relationship Type="http://schemas.openxmlformats.org/officeDocument/2006/relationships/hyperlink" Id="rId129" Target="https://doi.org/10.3233/faia230098" TargetMode="External" /><Relationship Type="http://schemas.openxmlformats.org/officeDocument/2006/relationships/hyperlink" Id="rId41" Target="https://doi.org/10.4337/9781802204131.00014" TargetMode="External" /><Relationship Type="http://schemas.openxmlformats.org/officeDocument/2006/relationships/hyperlink" Id="rId89" Target="https://doi.org/10.4337/9781802204131.00019" TargetMode="External" /><Relationship Type="http://schemas.openxmlformats.org/officeDocument/2006/relationships/hyperlink" Id="rId59" Target="https://doi.org/10.48550/arXiv.2304.05128" TargetMode="External" /><Relationship Type="http://schemas.openxmlformats.org/officeDocument/2006/relationships/hyperlink" Id="rId149" Target="https://doi.org/10.48550/arXiv.2311.10372" TargetMode="External" /><Relationship Type="http://schemas.openxmlformats.org/officeDocument/2006/relationships/hyperlink" Id="rId99" Target="https://doi.org/10.48550/arXiv.2505.06120" TargetMode="External" /><Relationship Type="http://schemas.openxmlformats.org/officeDocument/2006/relationships/hyperlink" Id="rId141" Target="https://doi.org/10.48550/arXiv.2602.12430" TargetMode="External" /><Relationship Type="http://schemas.openxmlformats.org/officeDocument/2006/relationships/hyperlink" Id="rId153" Target="https://doi.org/10.48550/arXiv.2603.15914" TargetMode="External" /><Relationship Type="http://schemas.openxmlformats.org/officeDocument/2006/relationships/hyperlink" Id="rId121" Target="https://ladal.edu.au/tutorials/llm_privacy/llm_privacy.html" TargetMode="External" /><Relationship Type="http://schemas.openxmlformats.org/officeDocument/2006/relationships/hyperlink" Id="rId115" Target="https://quarto.org/docs/get-started/hello/rstudio.html" TargetMode="External" /><Relationship Type="http://schemas.openxmlformats.org/officeDocument/2006/relationships/hyperlink" Id="rId49" Target="https://vitaexmachina.substack.com/p/running-local-large-language-models" TargetMode="External" /><Relationship Type="http://schemas.openxmlformats.org/officeDocument/2006/relationships/hyperlink" Id="rId39" Target="https://www.anthropic.com/engineering/equipping-agents-for-the-real-world-with-agent-skills" TargetMode="External" /><Relationship Type="http://schemas.openxmlformats.org/officeDocument/2006/relationships/hyperlink" Id="rId37" Target="https://www.anthropic.com/research/model-context-protocol" TargetMode="External" /><Relationship Type="http://schemas.openxmlformats.org/officeDocument/2006/relationships/hyperlink" Id="rId95" Target="https://www.nber.org/papers/w34202" TargetMode="External" /><Relationship Type="http://schemas.openxmlformats.org/officeDocument/2006/relationships/hyperlink" Id="rId51"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 in R</dc:title>
  <dc:creator/>
  <cp:keywords/>
  <dcterms:created xsi:type="dcterms:W3CDTF">2026-09-19T14:04:02Z</dcterms:created>
  <dcterms:modified xsi:type="dcterms:W3CDTF">2026-09-19T14:04:02Z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who use generative artificial intelligence (AI) for data analysis need procedures for inspecting code, evaluating methods, and checking sources. This how-to article describes three practices for responsible agentic AI use in R. First, develop enough familiarity with research tools and standards to judge AI-generated outputs. R supports analysis, Quarto combines code and text in executable documents, and Git records changes for inspection. Second, configure an AI agent in a local harness with explicit project instructions and permissions. Third, use skills, tools, and Model Context Protocol servers to research a question, critique a researcher-written plan, execute approved analyses, and verify results. We describe the inputs, actions, and checks for each practice, including precautions for restricted archaeological data. The workflow retains the researcher’s responsibility for analytical decisions and produces code, documentation, and a report that others can inspect. We discuss setup costs, limitations of automated checking, and the distinction between reproducing a saved analysis and repeating an agent interaction.</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19,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