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p>
    <w:p>
      <w:pPr>
        <w:pStyle w:val="Date"/>
      </w:pPr>
      <w:r>
        <w:t xml:space="preserve">October</w:t>
      </w:r>
      <w:r>
        <w:t xml:space="preserve"> </w:t>
      </w:r>
      <w:r>
        <w:t xml:space="preserve">2,</w:t>
      </w:r>
      <w:r>
        <w:t xml:space="preserve"> </w:t>
      </w:r>
      <w:r>
        <w:t xml:space="preserve">2026</w:t>
      </w:r>
    </w:p>
    <w:p>
      <w:pPr>
        <w:pStyle w:val="AbstractTitle"/>
      </w:pPr>
      <w:r>
        <w:t xml:space="preserve">Abstract</w:t>
      </w:r>
    </w:p>
    <w:p>
      <w:pPr>
        <w:pStyle w:val="Abstract"/>
      </w:pPr>
      <w:r>
        <w:t xml:space="preserve">Archaeologists</w:t>
      </w:r>
      <w:r>
        <w:t xml:space="preserve"> </w:t>
      </w:r>
      <w:r>
        <w:t xml:space="preserve">increasingly</w:t>
      </w:r>
      <w:r>
        <w:t xml:space="preserve"> </w:t>
      </w:r>
      <w:r>
        <w:t xml:space="preserve">ask</w:t>
      </w:r>
      <w:r>
        <w:t xml:space="preserve"> </w:t>
      </w:r>
      <w:r>
        <w:t xml:space="preserve">computers</w:t>
      </w:r>
      <w:r>
        <w:t xml:space="preserve"> </w:t>
      </w:r>
      <w:r>
        <w:t xml:space="preserve">to</w:t>
      </w:r>
      <w:r>
        <w:t xml:space="preserve"> </w:t>
      </w:r>
      <w:r>
        <w:t xml:space="preserve">help</w:t>
      </w:r>
      <w:r>
        <w:t xml:space="preserve"> </w:t>
      </w:r>
      <w:r>
        <w:t xml:space="preserve">with</w:t>
      </w:r>
      <w:r>
        <w:t xml:space="preserve"> </w:t>
      </w:r>
      <w:r>
        <w:t xml:space="preserve">research</w:t>
      </w:r>
      <w:r>
        <w:t xml:space="preserve"> </w:t>
      </w:r>
      <w:r>
        <w:t xml:space="preserve">tasks,</w:t>
      </w:r>
      <w:r>
        <w:t xml:space="preserve"> </w:t>
      </w:r>
      <w:r>
        <w:t xml:space="preserve">from</w:t>
      </w:r>
      <w:r>
        <w:t xml:space="preserve"> </w:t>
      </w:r>
      <w:r>
        <w:t xml:space="preserve">searching</w:t>
      </w:r>
      <w:r>
        <w:t xml:space="preserve"> </w:t>
      </w:r>
      <w:r>
        <w:t xml:space="preserve">literature</w:t>
      </w:r>
      <w:r>
        <w:t xml:space="preserve"> </w:t>
      </w:r>
      <w:r>
        <w:t xml:space="preserve">to</w:t>
      </w:r>
      <w:r>
        <w:t xml:space="preserve"> </w:t>
      </w:r>
      <w:r>
        <w:t xml:space="preserve">writing</w:t>
      </w:r>
      <w:r>
        <w:t xml:space="preserve"> </w:t>
      </w:r>
      <w:r>
        <w:t xml:space="preserve">analysis</w:t>
      </w:r>
      <w:r>
        <w:t xml:space="preserve"> </w:t>
      </w:r>
      <w:r>
        <w:t xml:space="preserve">code.</w:t>
      </w:r>
      <w:r>
        <w:t xml:space="preserve"> </w:t>
      </w:r>
      <w:r>
        <w:t xml:space="preserve">Generative</w:t>
      </w:r>
      <w:r>
        <w:t xml:space="preserve"> </w:t>
      </w:r>
      <w:r>
        <w:t xml:space="preserve">artificial</w:t>
      </w:r>
      <w:r>
        <w:t xml:space="preserve"> </w:t>
      </w:r>
      <w:r>
        <w:t xml:space="preserve">intelligence</w:t>
      </w:r>
      <w:r>
        <w:t xml:space="preserve"> </w:t>
      </w:r>
      <w:r>
        <w:t xml:space="preserve">promises</w:t>
      </w:r>
      <w:r>
        <w:t xml:space="preserve"> </w:t>
      </w:r>
      <w:r>
        <w:t xml:space="preserve">to</w:t>
      </w:r>
      <w:r>
        <w:t xml:space="preserve"> </w:t>
      </w:r>
      <w:r>
        <w:t xml:space="preserve">accelerate</w:t>
      </w:r>
      <w:r>
        <w:t xml:space="preserve"> </w:t>
      </w:r>
      <w:r>
        <w:t xml:space="preserve">this</w:t>
      </w:r>
      <w:r>
        <w:t xml:space="preserve"> </w:t>
      </w:r>
      <w:r>
        <w:t xml:space="preserve">work.</w:t>
      </w:r>
      <w:r>
        <w:t xml:space="preserve"> </w:t>
      </w:r>
      <w:r>
        <w:t xml:space="preserve">These</w:t>
      </w:r>
      <w:r>
        <w:t xml:space="preserve"> </w:t>
      </w:r>
      <w:r>
        <w:t xml:space="preserve">systems</w:t>
      </w:r>
      <w:r>
        <w:t xml:space="preserve"> </w:t>
      </w:r>
      <w:r>
        <w:t xml:space="preserve">can</w:t>
      </w:r>
      <w:r>
        <w:t xml:space="preserve"> </w:t>
      </w:r>
      <w:r>
        <w:t xml:space="preserve">draft</w:t>
      </w:r>
      <w:r>
        <w:t xml:space="preserve"> </w:t>
      </w:r>
      <w:r>
        <w:t xml:space="preserve">code,</w:t>
      </w:r>
      <w:r>
        <w:t xml:space="preserve"> </w:t>
      </w:r>
      <w:r>
        <w:t xml:space="preserve">extract</w:t>
      </w:r>
      <w:r>
        <w:t xml:space="preserve"> </w:t>
      </w:r>
      <w:r>
        <w:t xml:space="preserve">data</w:t>
      </w:r>
      <w:r>
        <w:t xml:space="preserve"> </w:t>
      </w:r>
      <w:r>
        <w:t xml:space="preserve">from</w:t>
      </w:r>
      <w:r>
        <w:t xml:space="preserve"> </w:t>
      </w:r>
      <w:r>
        <w:t xml:space="preserve">publications,</w:t>
      </w:r>
      <w:r>
        <w:t xml:space="preserve"> </w:t>
      </w:r>
      <w:r>
        <w:t xml:space="preserve">and</w:t>
      </w:r>
      <w:r>
        <w:t xml:space="preserve"> </w:t>
      </w:r>
      <w:r>
        <w:t xml:space="preserve">summarize</w:t>
      </w:r>
      <w:r>
        <w:t xml:space="preserve"> </w:t>
      </w:r>
      <w:r>
        <w:t xml:space="preserve">sources</w:t>
      </w:r>
      <w:r>
        <w:t xml:space="preserve"> </w:t>
      </w:r>
      <w:r>
        <w:t xml:space="preserve">quickly.</w:t>
      </w:r>
      <w:r>
        <w:t xml:space="preserve"> </w:t>
      </w:r>
      <w:r>
        <w:t xml:space="preserve">But</w:t>
      </w:r>
      <w:r>
        <w:t xml:space="preserve"> </w:t>
      </w:r>
      <w:r>
        <w:t xml:space="preserve">they</w:t>
      </w:r>
      <w:r>
        <w:t xml:space="preserve"> </w:t>
      </w:r>
      <w:r>
        <w:t xml:space="preserve">also</w:t>
      </w:r>
      <w:r>
        <w:t xml:space="preserve"> </w:t>
      </w:r>
      <w:r>
        <w:t xml:space="preserve">produce</w:t>
      </w:r>
      <w:r>
        <w:t xml:space="preserve"> </w:t>
      </w:r>
      <w:r>
        <w:t xml:space="preserve">deceptively</w:t>
      </w:r>
      <w:r>
        <w:t xml:space="preserve"> </w:t>
      </w:r>
      <w:r>
        <w:t xml:space="preserve">fluent</w:t>
      </w:r>
      <w:r>
        <w:t xml:space="preserve"> </w:t>
      </w:r>
      <w:r>
        <w:t xml:space="preserve">errors:</w:t>
      </w:r>
      <w:r>
        <w:t xml:space="preserve"> </w:t>
      </w:r>
      <w:r>
        <w:t xml:space="preserve">invented</w:t>
      </w:r>
      <w:r>
        <w:t xml:space="preserve"> </w:t>
      </w:r>
      <w:r>
        <w:t xml:space="preserve">citations,</w:t>
      </w:r>
      <w:r>
        <w:t xml:space="preserve"> </w:t>
      </w:r>
      <w:r>
        <w:t xml:space="preserve">unsound</w:t>
      </w:r>
      <w:r>
        <w:t xml:space="preserve"> </w:t>
      </w:r>
      <w:r>
        <w:t xml:space="preserve">statistics,</w:t>
      </w:r>
      <w:r>
        <w:t xml:space="preserve"> </w:t>
      </w:r>
      <w:r>
        <w:t xml:space="preserve">and</w:t>
      </w:r>
      <w:r>
        <w:t xml:space="preserve"> </w:t>
      </w:r>
      <w:r>
        <w:t xml:space="preserve">explanations</w:t>
      </w:r>
      <w:r>
        <w:t xml:space="preserve"> </w:t>
      </w:r>
      <w:r>
        <w:t xml:space="preserve">that</w:t>
      </w:r>
      <w:r>
        <w:t xml:space="preserve"> </w:t>
      </w:r>
      <w:r>
        <w:t xml:space="preserve">fall</w:t>
      </w:r>
      <w:r>
        <w:t xml:space="preserve"> </w:t>
      </w:r>
      <w:r>
        <w:t xml:space="preserve">apart</w:t>
      </w:r>
      <w:r>
        <w:t xml:space="preserve"> </w:t>
      </w:r>
      <w:r>
        <w:t xml:space="preserve">on</w:t>
      </w:r>
      <w:r>
        <w:t xml:space="preserve"> </w:t>
      </w:r>
      <w:r>
        <w:t xml:space="preserve">inspection.</w:t>
      </w:r>
      <w:r>
        <w:t xml:space="preserve"> </w:t>
      </w:r>
      <w:r>
        <w:t xml:space="preserve">Existing</w:t>
      </w:r>
      <w:r>
        <w:t xml:space="preserve"> </w:t>
      </w:r>
      <w:r>
        <w:t xml:space="preserve">prompting</w:t>
      </w:r>
      <w:r>
        <w:t xml:space="preserve"> </w:t>
      </w:r>
      <w:r>
        <w:t xml:space="preserve">advice</w:t>
      </w:r>
      <w:r>
        <w:t xml:space="preserve"> </w:t>
      </w:r>
      <w:r>
        <w:t xml:space="preserve">and</w:t>
      </w:r>
      <w:r>
        <w:t xml:space="preserve"> </w:t>
      </w:r>
      <w:r>
        <w:t xml:space="preserve">reproducibility</w:t>
      </w:r>
      <w:r>
        <w:t xml:space="preserve"> </w:t>
      </w:r>
      <w:r>
        <w:t xml:space="preserve">checklists</w:t>
      </w:r>
      <w:r>
        <w:t xml:space="preserve"> </w:t>
      </w:r>
      <w:r>
        <w:t xml:space="preserve">do</w:t>
      </w:r>
      <w:r>
        <w:t xml:space="preserve"> </w:t>
      </w:r>
      <w:r>
        <w:t xml:space="preserve">not</w:t>
      </w:r>
      <w:r>
        <w:t xml:space="preserve"> </w:t>
      </w:r>
      <w:r>
        <w:t xml:space="preserve">say</w:t>
      </w:r>
      <w:r>
        <w:t xml:space="preserve"> </w:t>
      </w:r>
      <w:r>
        <w:t xml:space="preserve">how</w:t>
      </w:r>
      <w:r>
        <w:t xml:space="preserve"> </w:t>
      </w:r>
      <w:r>
        <w:t xml:space="preserve">to</w:t>
      </w:r>
      <w:r>
        <w:t xml:space="preserve"> </w:t>
      </w:r>
      <w:r>
        <w:t xml:space="preserve">configure</w:t>
      </w:r>
      <w:r>
        <w:t xml:space="preserve"> </w:t>
      </w:r>
      <w:r>
        <w:t xml:space="preserve">and</w:t>
      </w:r>
      <w:r>
        <w:t xml:space="preserve"> </w:t>
      </w:r>
      <w:r>
        <w:t xml:space="preserve">supervise</w:t>
      </w:r>
      <w:r>
        <w:t xml:space="preserve"> </w:t>
      </w:r>
      <w:r>
        <w:t xml:space="preserve">an</w:t>
      </w:r>
      <w:r>
        <w:t xml:space="preserve"> </w:t>
      </w:r>
      <w:r>
        <w:t xml:space="preserve">AI</w:t>
      </w:r>
      <w:r>
        <w:t xml:space="preserve"> </w:t>
      </w:r>
      <w:r>
        <w:t xml:space="preserve">agent</w:t>
      </w:r>
      <w:r>
        <w:t xml:space="preserve"> </w:t>
      </w:r>
      <w:r>
        <w:t xml:space="preserve">across</w:t>
      </w:r>
      <w:r>
        <w:t xml:space="preserve"> </w:t>
      </w:r>
      <w:r>
        <w:t xml:space="preserve">a</w:t>
      </w:r>
      <w:r>
        <w:t xml:space="preserve"> </w:t>
      </w:r>
      <w:r>
        <w:t xml:space="preserve">full</w:t>
      </w:r>
      <w:r>
        <w:t xml:space="preserve"> </w:t>
      </w:r>
      <w:r>
        <w:t xml:space="preserve">analysis.</w:t>
      </w:r>
      <w:r>
        <w:t xml:space="preserve"> </w:t>
      </w:r>
      <w:r>
        <w:t xml:space="preserve">The</w:t>
      </w:r>
      <w:r>
        <w:t xml:space="preserve"> </w:t>
      </w:r>
      <w:r>
        <w:t xml:space="preserve">practical</w:t>
      </w:r>
      <w:r>
        <w:t xml:space="preserve"> </w:t>
      </w:r>
      <w:r>
        <w:t xml:space="preserve">problem</w:t>
      </w:r>
      <w:r>
        <w:t xml:space="preserve"> </w:t>
      </w:r>
      <w:r>
        <w:t xml:space="preserve">is</w:t>
      </w:r>
      <w:r>
        <w:t xml:space="preserve"> </w:t>
      </w:r>
      <w:r>
        <w:t xml:space="preserve">how</w:t>
      </w:r>
      <w:r>
        <w:t xml:space="preserve"> </w:t>
      </w:r>
      <w:r>
        <w:t xml:space="preserve">to</w:t>
      </w:r>
      <w:r>
        <w:t xml:space="preserve"> </w:t>
      </w:r>
      <w:r>
        <w:t xml:space="preserve">keep</w:t>
      </w:r>
      <w:r>
        <w:t xml:space="preserve"> </w:t>
      </w:r>
      <w:r>
        <w:t xml:space="preserve">the</w:t>
      </w:r>
      <w:r>
        <w:t xml:space="preserve"> </w:t>
      </w:r>
      <w:r>
        <w:t xml:space="preserve">researcher</w:t>
      </w:r>
      <w:r>
        <w:t xml:space="preserve"> </w:t>
      </w:r>
      <w:r>
        <w:t xml:space="preserve">responsible</w:t>
      </w:r>
      <w:r>
        <w:t xml:space="preserve"> </w:t>
      </w:r>
      <w:r>
        <w:t xml:space="preserve">for</w:t>
      </w:r>
      <w:r>
        <w:t xml:space="preserve"> </w:t>
      </w:r>
      <w:r>
        <w:t xml:space="preserve">every</w:t>
      </w:r>
      <w:r>
        <w:t xml:space="preserve"> </w:t>
      </w:r>
      <w:r>
        <w:t xml:space="preserve">analytical</w:t>
      </w:r>
      <w:r>
        <w:t xml:space="preserve"> </w:t>
      </w:r>
      <w:r>
        <w:t xml:space="preserve">decision</w:t>
      </w:r>
      <w:r>
        <w:t xml:space="preserve"> </w:t>
      </w:r>
      <w:r>
        <w:t xml:space="preserve">while</w:t>
      </w:r>
      <w:r>
        <w:t xml:space="preserve"> </w:t>
      </w:r>
      <w:r>
        <w:t xml:space="preserve">gaining</w:t>
      </w:r>
      <w:r>
        <w:t xml:space="preserve"> </w:t>
      </w:r>
      <w:r>
        <w:t xml:space="preserve">speed.</w:t>
      </w:r>
      <w:r>
        <w:t xml:space="preserve"> </w:t>
      </w:r>
      <w:r>
        <w:t xml:space="preserve">Here</w:t>
      </w:r>
      <w:r>
        <w:t xml:space="preserve"> </w:t>
      </w:r>
      <w:r>
        <w:t xml:space="preserve">we</w:t>
      </w:r>
      <w:r>
        <w:t xml:space="preserve"> </w:t>
      </w:r>
      <w:r>
        <w:t xml:space="preserve">describe</w:t>
      </w:r>
      <w:r>
        <w:t xml:space="preserve"> </w:t>
      </w:r>
      <w:r>
        <w:t xml:space="preserve">how</w:t>
      </w:r>
      <w:r>
        <w:t xml:space="preserve"> </w:t>
      </w:r>
      <w:r>
        <w:t xml:space="preserve">to</w:t>
      </w:r>
      <w:r>
        <w:t xml:space="preserve"> </w:t>
      </w:r>
      <w:r>
        <w:t xml:space="preserve">use</w:t>
      </w:r>
      <w:r>
        <w:t xml:space="preserve"> </w:t>
      </w:r>
      <w:r>
        <w:t xml:space="preserve">a</w:t>
      </w:r>
      <w:r>
        <w:t xml:space="preserve"> </w:t>
      </w:r>
      <w:r>
        <w:t xml:space="preserve">researcher-directed</w:t>
      </w:r>
      <w:r>
        <w:t xml:space="preserve"> </w:t>
      </w:r>
      <w:r>
        <w:t xml:space="preserve">workflow</w:t>
      </w:r>
      <w:r>
        <w:t xml:space="preserve"> </w:t>
      </w:r>
      <w:r>
        <w:t xml:space="preserve">built</w:t>
      </w:r>
      <w:r>
        <w:t xml:space="preserve"> </w:t>
      </w:r>
      <w:r>
        <w:t xml:space="preserve">from</w:t>
      </w:r>
      <w:r>
        <w:t xml:space="preserve"> </w:t>
      </w:r>
      <w:r>
        <w:t xml:space="preserve">three</w:t>
      </w:r>
      <w:r>
        <w:t xml:space="preserve"> </w:t>
      </w:r>
      <w:r>
        <w:t xml:space="preserve">practices.</w:t>
      </w:r>
      <w:r>
        <w:t xml:space="preserve"> </w:t>
      </w:r>
      <w:r>
        <w:t xml:space="preserve">Researchers</w:t>
      </w:r>
      <w:r>
        <w:t xml:space="preserve"> </w:t>
      </w:r>
      <w:r>
        <w:t xml:space="preserve">learn</w:t>
      </w:r>
      <w:r>
        <w:t xml:space="preserve"> </w:t>
      </w:r>
      <w:r>
        <w:t xml:space="preserve">an</w:t>
      </w:r>
      <w:r>
        <w:t xml:space="preserve"> </w:t>
      </w:r>
      <w:r>
        <w:t xml:space="preserve">open</w:t>
      </w:r>
      <w:r>
        <w:t xml:space="preserve"> </w:t>
      </w:r>
      <w:r>
        <w:t xml:space="preserve">source</w:t>
      </w:r>
      <w:r>
        <w:t xml:space="preserve"> </w:t>
      </w:r>
      <w:r>
        <w:t xml:space="preserve">toolkit</w:t>
      </w:r>
      <w:r>
        <w:t xml:space="preserve"> </w:t>
      </w:r>
      <w:r>
        <w:t xml:space="preserve">for</w:t>
      </w:r>
      <w:r>
        <w:t xml:space="preserve"> </w:t>
      </w:r>
      <w:r>
        <w:t xml:space="preserve">reproducible</w:t>
      </w:r>
      <w:r>
        <w:t xml:space="preserve"> </w:t>
      </w:r>
      <w:r>
        <w:t xml:space="preserve">research</w:t>
      </w:r>
      <w:r>
        <w:t xml:space="preserve"> </w:t>
      </w:r>
      <w:r>
        <w:t xml:space="preserve">(e.g. R,</w:t>
      </w:r>
      <w:r>
        <w:t xml:space="preserve"> </w:t>
      </w:r>
      <w:r>
        <w:t xml:space="preserve">Quarto,</w:t>
      </w:r>
      <w:r>
        <w:t xml:space="preserve"> </w:t>
      </w:r>
      <w:r>
        <w:t xml:space="preserve">Git);</w:t>
      </w:r>
      <w:r>
        <w:t xml:space="preserve"> </w:t>
      </w:r>
      <w:r>
        <w:t xml:space="preserve">configure</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instructions</w:t>
      </w:r>
      <w:r>
        <w:t xml:space="preserve"> </w:t>
      </w:r>
      <w:r>
        <w:t xml:space="preserve">and</w:t>
      </w:r>
      <w:r>
        <w:t xml:space="preserve"> </w:t>
      </w:r>
      <w:r>
        <w:t xml:space="preserve">permissions;</w:t>
      </w:r>
      <w:r>
        <w:t xml:space="preserve"> </w:t>
      </w:r>
      <w:r>
        <w:t xml:space="preserve">and</w:t>
      </w:r>
      <w:r>
        <w:t xml:space="preserve"> </w:t>
      </w:r>
      <w:r>
        <w:t xml:space="preserve">use</w:t>
      </w:r>
      <w:r>
        <w:t xml:space="preserve"> </w:t>
      </w:r>
      <w:r>
        <w:t xml:space="preserve">skills</w:t>
      </w:r>
      <w:r>
        <w:t xml:space="preserve"> </w:t>
      </w:r>
      <w:r>
        <w:t xml:space="preserve">and</w:t>
      </w:r>
      <w:r>
        <w:t xml:space="preserve"> </w:t>
      </w:r>
      <w:r>
        <w:t xml:space="preserve">verification</w:t>
      </w:r>
      <w:r>
        <w:t xml:space="preserve"> </w:t>
      </w:r>
      <w:r>
        <w:t xml:space="preserve">tools</w:t>
      </w:r>
      <w:r>
        <w:t xml:space="preserve"> </w:t>
      </w:r>
      <w:r>
        <w:t xml:space="preserve">that</w:t>
      </w:r>
      <w:r>
        <w:t xml:space="preserve"> </w:t>
      </w:r>
      <w:r>
        <w:t xml:space="preserve">research,</w:t>
      </w:r>
      <w:r>
        <w:t xml:space="preserve"> </w:t>
      </w:r>
      <w:r>
        <w:t xml:space="preserve">plan,</w:t>
      </w:r>
      <w:r>
        <w:t xml:space="preserve"> </w:t>
      </w:r>
      <w:r>
        <w:t xml:space="preserve">execute,</w:t>
      </w:r>
      <w:r>
        <w:t xml:space="preserve"> </w:t>
      </w:r>
      <w:r>
        <w:t xml:space="preserve">and</w:t>
      </w:r>
      <w:r>
        <w:t xml:space="preserve"> </w:t>
      </w:r>
      <w:r>
        <w:t xml:space="preserve">check</w:t>
      </w:r>
      <w:r>
        <w:t xml:space="preserve"> </w:t>
      </w:r>
      <w:r>
        <w:t xml:space="preserve">each</w:t>
      </w:r>
      <w:r>
        <w:t xml:space="preserve"> </w:t>
      </w:r>
      <w:r>
        <w:t xml:space="preserve">analysis.</w:t>
      </w:r>
      <w:r>
        <w:t xml:space="preserve"> </w:t>
      </w:r>
      <w:r>
        <w:t xml:space="preserve">Unlike</w:t>
      </w:r>
      <w:r>
        <w:t xml:space="preserve"> </w:t>
      </w:r>
      <w:r>
        <w:t xml:space="preserve">chatbot</w:t>
      </w:r>
      <w:r>
        <w:t xml:space="preserve"> </w:t>
      </w:r>
      <w:r>
        <w:t xml:space="preserve">use,</w:t>
      </w:r>
      <w:r>
        <w:t xml:space="preserve"> </w:t>
      </w:r>
      <w:r>
        <w:t xml:space="preserve">every</w:t>
      </w:r>
      <w:r>
        <w:t xml:space="preserve"> </w:t>
      </w:r>
      <w:r>
        <w:t xml:space="preserve">plan,</w:t>
      </w:r>
      <w:r>
        <w:t xml:space="preserve"> </w:t>
      </w:r>
      <w:r>
        <w:t xml:space="preserve">command,</w:t>
      </w:r>
      <w:r>
        <w:t xml:space="preserve"> </w:t>
      </w:r>
      <w:r>
        <w:t xml:space="preserve">and</w:t>
      </w:r>
      <w:r>
        <w:t xml:space="preserve"> </w:t>
      </w:r>
      <w:r>
        <w:t xml:space="preserve">file</w:t>
      </w:r>
      <w:r>
        <w:t xml:space="preserve"> </w:t>
      </w:r>
      <w:r>
        <w:t xml:space="preserve">change</w:t>
      </w:r>
      <w:r>
        <w:t xml:space="preserve"> </w:t>
      </w:r>
      <w:r>
        <w:t xml:space="preserve">becomes</w:t>
      </w:r>
      <w:r>
        <w:t xml:space="preserve"> </w:t>
      </w:r>
      <w:r>
        <w:t xml:space="preserve">reviewable;</w:t>
      </w:r>
      <w:r>
        <w:t xml:space="preserve"> </w:t>
      </w:r>
      <w:r>
        <w:t xml:space="preserve">restricted</w:t>
      </w:r>
      <w:r>
        <w:t xml:space="preserve"> </w:t>
      </w:r>
      <w:r>
        <w:t xml:space="preserve">data</w:t>
      </w:r>
      <w:r>
        <w:t xml:space="preserve"> </w:t>
      </w:r>
      <w:r>
        <w:t xml:space="preserve">stay</w:t>
      </w:r>
      <w:r>
        <w:t xml:space="preserve"> </w:t>
      </w:r>
      <w:r>
        <w:t xml:space="preserve">protected</w:t>
      </w:r>
      <w:r>
        <w:t xml:space="preserve"> </w:t>
      </w:r>
      <w:r>
        <w:t xml:space="preserve">through</w:t>
      </w:r>
      <w:r>
        <w:t xml:space="preserve"> </w:t>
      </w:r>
      <w:r>
        <w:t xml:space="preserve">retention</w:t>
      </w:r>
      <w:r>
        <w:t xml:space="preserve"> </w:t>
      </w:r>
      <w:r>
        <w:t xml:space="preserve">controls,</w:t>
      </w:r>
      <w:r>
        <w:t xml:space="preserve"> </w:t>
      </w:r>
      <w:r>
        <w:t xml:space="preserve">local</w:t>
      </w:r>
      <w:r>
        <w:t xml:space="preserve"> </w:t>
      </w:r>
      <w:r>
        <w:t xml:space="preserve">models,</w:t>
      </w:r>
      <w:r>
        <w:t xml:space="preserve"> </w:t>
      </w:r>
      <w:r>
        <w:t xml:space="preserve">or</w:t>
      </w:r>
      <w:r>
        <w:t xml:space="preserve"> </w:t>
      </w:r>
      <w:r>
        <w:t xml:space="preserve">synthetic</w:t>
      </w:r>
      <w:r>
        <w:t xml:space="preserve"> </w:t>
      </w:r>
      <w:r>
        <w:t xml:space="preserve">stand-ins.</w:t>
      </w:r>
      <w:r>
        <w:t xml:space="preserve"> </w:t>
      </w:r>
      <w:r>
        <w:t xml:space="preserve">Getting</w:t>
      </w:r>
      <w:r>
        <w:t xml:space="preserve"> </w:t>
      </w:r>
      <w:r>
        <w:t xml:space="preserve">reliable</w:t>
      </w:r>
      <w:r>
        <w:t xml:space="preserve"> </w:t>
      </w:r>
      <w:r>
        <w:t xml:space="preserve">help</w:t>
      </w:r>
      <w:r>
        <w:t xml:space="preserve"> </w:t>
      </w:r>
      <w:r>
        <w:t xml:space="preserve">from</w:t>
      </w:r>
      <w:r>
        <w:t xml:space="preserve"> </w:t>
      </w:r>
      <w:r>
        <w:t xml:space="preserve">agentic</w:t>
      </w:r>
      <w:r>
        <w:t xml:space="preserve"> </w:t>
      </w:r>
      <w:r>
        <w:t xml:space="preserve">AI</w:t>
      </w:r>
      <w:r>
        <w:t xml:space="preserve"> </w:t>
      </w:r>
      <w:r>
        <w:t xml:space="preserve">has</w:t>
      </w:r>
      <w:r>
        <w:t xml:space="preserve"> </w:t>
      </w:r>
      <w:r>
        <w:t xml:space="preserve">costs</w:t>
      </w:r>
      <w:r>
        <w:t xml:space="preserve"> </w:t>
      </w:r>
      <w:r>
        <w:t xml:space="preserve">that</w:t>
      </w:r>
      <w:r>
        <w:t xml:space="preserve"> </w:t>
      </w:r>
      <w:r>
        <w:t xml:space="preserve">include</w:t>
      </w:r>
      <w:r>
        <w:t xml:space="preserve"> </w:t>
      </w:r>
      <w:r>
        <w:t xml:space="preserve">setup</w:t>
      </w:r>
      <w:r>
        <w:t xml:space="preserve"> </w:t>
      </w:r>
      <w:r>
        <w:t xml:space="preserve">time</w:t>
      </w:r>
      <w:r>
        <w:t xml:space="preserve"> </w:t>
      </w:r>
      <w:r>
        <w:t xml:space="preserve">and</w:t>
      </w:r>
      <w:r>
        <w:t xml:space="preserve"> </w:t>
      </w:r>
      <w:r>
        <w:t xml:space="preserve">expert</w:t>
      </w:r>
      <w:r>
        <w:t xml:space="preserve"> </w:t>
      </w:r>
      <w:r>
        <w:t xml:space="preserve">oversight,</w:t>
      </w:r>
      <w:r>
        <w:t xml:space="preserve"> </w:t>
      </w:r>
      <w:r>
        <w:t xml:space="preserve">but</w:t>
      </w:r>
      <w:r>
        <w:t xml:space="preserve"> </w:t>
      </w:r>
      <w:r>
        <w:t xml:space="preserve">the</w:t>
      </w:r>
      <w:r>
        <w:t xml:space="preserve"> </w:t>
      </w:r>
      <w:r>
        <w:t xml:space="preserve">result</w:t>
      </w:r>
      <w:r>
        <w:t xml:space="preserve"> </w:t>
      </w:r>
      <w:r>
        <w:t xml:space="preserve">is</w:t>
      </w:r>
      <w:r>
        <w:t xml:space="preserve"> </w:t>
      </w:r>
      <w:r>
        <w:t xml:space="preserve">analysis</w:t>
      </w:r>
      <w:r>
        <w:t xml:space="preserve"> </w:t>
      </w:r>
      <w:r>
        <w:t xml:space="preserve">others</w:t>
      </w:r>
      <w:r>
        <w:t xml:space="preserve"> </w:t>
      </w:r>
      <w:r>
        <w:t xml:space="preserve">can</w:t>
      </w:r>
      <w:r>
        <w:t xml:space="preserve"> </w:t>
      </w:r>
      <w:r>
        <w:t xml:space="preserve">inspect,</w:t>
      </w:r>
      <w:r>
        <w:t xml:space="preserve"> </w:t>
      </w:r>
      <w:r>
        <w:t xml:space="preserve">rerun,</w:t>
      </w:r>
      <w:r>
        <w:t xml:space="preserve"> </w:t>
      </w:r>
      <w:r>
        <w:t xml:space="preserve">and</w:t>
      </w:r>
      <w:r>
        <w:t xml:space="preserve"> </w:t>
      </w:r>
      <w:r>
        <w:t xml:space="preserve">trust.</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performs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That said, a study of over 600 scientists found that 47% of researchers use some form of AI daily, saving on average 7 hours per week</w:t>
      </w:r>
      <w:r>
        <w:t xml:space="preserve"> </w:t>
      </w:r>
      <w:r>
        <w:t xml:space="preserve">(Codreanu et al. 2026)</w:t>
      </w:r>
      <w:r>
        <w:t xml:space="preserve">. To support responsible and time-saving uses of AI by archaeologists, we introduce a basic agentic AI workflow using free and open source software that is suitable for many kinds of archaeological work.</w:t>
      </w:r>
    </w:p>
    <w:p>
      <w:pPr>
        <w:pStyle w:val="BodyText"/>
      </w:pPr>
      <w:r>
        <w:t xml:space="preserve">While traditional AI chatbots engage with humans in the form of turn-by-turn conversations on a website that require regular human interaction to complete a task, agents are a very different way to interact with AI (</w:t>
      </w:r>
      <w:hyperlink w:anchor="tbl-chat-vs-agentic">
        <w:r>
          <w:rPr>
            <w:rStyle w:val="Hyperlink"/>
          </w:rPr>
          <w:t xml:space="preserve">Table 1</w:t>
        </w:r>
      </w:hyperlink>
      <w:r>
        <w:t xml:space="preserve">). 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can autonomously operate directly on our computer to complete multiple steps towards a specific goal without constant human interaction. A wide variety of agentic systems have emerged recently</w:t>
      </w:r>
      <w:r>
        <w:t xml:space="preserve"> </w:t>
      </w:r>
      <w:r>
        <w:t xml:space="preserve">(Barbaste et al. 2026)</w:t>
      </w:r>
      <w:r>
        <w:t xml:space="preserve">, ranging from a single tool to an autonomous multi-agent system</w:t>
      </w:r>
      <w:r>
        <w:t xml:space="preserve"> </w:t>
      </w:r>
      <w:r>
        <w:t xml:space="preserve">(Haase and Pokutta 2026; Zimmer et al. 2026)</w:t>
      </w:r>
      <w:r>
        <w:t xml:space="preserve">. However, relatively few researchers have adopted agentic AI: in their survey of 1,260 social scientists,</w:t>
      </w:r>
      <w:r>
        <w:t xml:space="preserve"> </w:t>
      </w:r>
      <w:r>
        <w:t xml:space="preserve">Lyttelton et al. (2026)</w:t>
      </w:r>
      <w:r>
        <w:t xml:space="preserve"> </w:t>
      </w:r>
      <w:r>
        <w:t xml:space="preserve">found only 20% use agents. The true figure is probably much lower as this sample was taken from researchers recruited in exchange for access to a commercial AI product. Our guide focuses on how archaeologists can use agentic AI so that the agent works only within a single project under your direction at every stage. We are not describing end-to-end fully automated AI pipelines that generate ideas, run experiments and write manuscripts with limited human intervention</w:t>
      </w:r>
      <w:r>
        <w:t xml:space="preserve"> </w:t>
      </w:r>
      <w:r>
        <w:t xml:space="preserve">(e.g. Lu et al. 2026)</w:t>
      </w:r>
      <w:r>
        <w:t xml:space="preserve">. Instead, we describe how to set up an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chat-vs-agentic"/>
          <w:p>
            <w:pPr>
              <w:jc w:val="left"/>
            </w:pPr>
            <w:pPr>
              <w:jc w:val="start"/>
              <w:spacing w:before="200"/>
              <w:pStyle w:val="ImageCaption"/>
            </w:pPr>
            <w:r>
              <w:t xml:space="preserve">Table 1: Comparison of web-based chat and agentic AI</w:t>
            </w:r>
            <w:r>
              <w:t xml:space="preserve"> </w:t>
            </w:r>
            <w:r>
              <w:t xml:space="preserve">(Boiko et al. 2023; Bran et al. 2024; Rafiee and Woo 2025; Wang et al. 2024)</w:t>
            </w:r>
          </w:p>
          <w:tbl>
            <w:tblPr>
              <w:tblStyle w:val="Table"/>
              <w:tblW w:type="pct" w:w="5000"/>
              <w:tblLook w:firstRow="1" w:lastRow="0" w:firstColumn="0" w:lastColumn="0" w:noHBand="0" w:noVBand="0" w:val="0020"/>
              <w:jc w:val="start"/>
              <w:tblLayout w:type="fixed"/>
            </w:tblPr>
            <w:tblGrid>
              <w:gridCol w:w="1742"/>
              <w:gridCol w:w="3088"/>
              <w:gridCol w:w="3088"/>
            </w:tblGrid>
            <w:tr>
              <w:trPr>
                <w:tblHeader w:val="true"/>
              </w:trPr>
              <w:tc>
                <w:tcPr/>
                <w:p>
                  <w:pPr>
                    <w:pStyle w:val="Compact"/>
                    <w:jc w:val="left"/>
                    <w:jc w:val="left"/>
                  </w:pPr>
                  <w:r>
                    <w:t xml:space="preserve">Dimension</w:t>
                  </w:r>
                </w:p>
              </w:tc>
              <w:tc>
                <w:tcPr/>
                <w:p>
                  <w:pPr>
                    <w:pStyle w:val="Compact"/>
                    <w:jc w:val="left"/>
                    <w:jc w:val="left"/>
                  </w:pPr>
                  <w:r>
                    <w:t xml:space="preserve">Web-Based Chat</w:t>
                  </w:r>
                </w:p>
              </w:tc>
              <w:tc>
                <w:tcPr/>
                <w:p>
                  <w:pPr>
                    <w:pStyle w:val="Compact"/>
                    <w:jc w:val="left"/>
                    <w:jc w:val="left"/>
                  </w:pPr>
                  <w:r>
                    <w:t xml:space="preserve">Agentic AI</w:t>
                  </w:r>
                </w:p>
              </w:tc>
            </w:tr>
            <w:tr>
              <w:tc>
                <w:tcPr/>
                <w:p>
                  <w:pPr>
                    <w:pStyle w:val="Compact"/>
                    <w:jc w:val="left"/>
                    <w:jc w:val="left"/>
                  </w:pPr>
                  <w:r>
                    <w:t xml:space="preserve">Objective</w:t>
                  </w:r>
                </w:p>
              </w:tc>
              <w:tc>
                <w:tcPr/>
                <w:p>
                  <w:pPr>
                    <w:pStyle w:val="Compact"/>
                    <w:jc w:val="left"/>
                    <w:jc w:val="left"/>
                  </w:pPr>
                  <w:r>
                    <w:t xml:space="preserve">Produces a relevant text response to the current prompt</w:t>
                  </w:r>
                </w:p>
              </w:tc>
              <w:tc>
                <w:tcPr/>
                <w:p>
                  <w:pPr>
                    <w:pStyle w:val="Compact"/>
                    <w:jc w:val="left"/>
                    <w:jc w:val="left"/>
                  </w:pPr>
                  <w:r>
                    <w:t xml:space="preserve">Completes an external goal across many steps</w:t>
                  </w:r>
                </w:p>
              </w:tc>
            </w:tr>
            <w:tr>
              <w:tc>
                <w:tcPr/>
                <w:p>
                  <w:pPr>
                    <w:pStyle w:val="Compact"/>
                    <w:jc w:val="left"/>
                    <w:jc w:val="left"/>
                  </w:pPr>
                  <w:r>
                    <w:t xml:space="preserve">Interaction pattern</w:t>
                  </w:r>
                </w:p>
              </w:tc>
              <w:tc>
                <w:tcPr/>
                <w:p>
                  <w:pPr>
                    <w:pStyle w:val="Compact"/>
                    <w:jc w:val="left"/>
                    <w:jc w:val="left"/>
                  </w:pPr>
                  <w:r>
                    <w:t xml:space="preserve">Turn-based question and answer in a browser session</w:t>
                  </w:r>
                </w:p>
              </w:tc>
              <w:tc>
                <w:tcPr/>
                <w:p>
                  <w:pPr>
                    <w:pStyle w:val="Compact"/>
                    <w:jc w:val="left"/>
                    <w:jc w:val="left"/>
                  </w:pPr>
                  <w:r>
                    <w:t xml:space="preserve">Perceive-plan-act-observe loop until a stopping condition</w:t>
                  </w:r>
                </w:p>
              </w:tc>
            </w:tr>
            <w:tr>
              <w:tc>
                <w:tcPr/>
                <w:p>
                  <w:pPr>
                    <w:pStyle w:val="Compact"/>
                    <w:jc w:val="left"/>
                    <w:jc w:val="left"/>
                  </w:pPr>
                  <w:r>
                    <w:t xml:space="preserve">Initiative</w:t>
                  </w:r>
                </w:p>
              </w:tc>
              <w:tc>
                <w:tcPr/>
                <w:p>
                  <w:pPr>
                    <w:pStyle w:val="Compact"/>
                    <w:jc w:val="left"/>
                    <w:jc w:val="left"/>
                  </w:pPr>
                  <w:r>
                    <w:t xml:space="preserve">Reactive; waits for the user</w:t>
                  </w:r>
                </w:p>
              </w:tc>
              <w:tc>
                <w:tcPr/>
                <w:p>
                  <w:pPr>
                    <w:pStyle w:val="Compact"/>
                    <w:jc w:val="left"/>
                    <w:jc w:val="left"/>
                  </w:pPr>
                  <w:r>
                    <w:t xml:space="preserve">Proactive; decomposes goals and starts sub-tasks</w:t>
                  </w:r>
                </w:p>
              </w:tc>
            </w:tr>
            <w:tr>
              <w:tc>
                <w:tcPr/>
                <w:p>
                  <w:pPr>
                    <w:pStyle w:val="Compact"/>
                    <w:jc w:val="left"/>
                    <w:jc w:val="left"/>
                  </w:pPr>
                  <w:r>
                    <w:t xml:space="preserve">Tool and environment action</w:t>
                  </w:r>
                </w:p>
              </w:tc>
              <w:tc>
                <w:tcPr/>
                <w:p>
                  <w:pPr>
                    <w:pStyle w:val="Compact"/>
                    <w:jc w:val="left"/>
                    <w:jc w:val="left"/>
                  </w:pPr>
                  <w:r>
                    <w:t xml:space="preserve">Text only by default; browsing or files when added</w:t>
                  </w:r>
                </w:p>
              </w:tc>
              <w:tc>
                <w:tcPr/>
                <w:p>
                  <w:pPr>
                    <w:pStyle w:val="Compact"/>
                    <w:jc w:val="left"/>
                    <w:jc w:val="left"/>
                  </w:pPr>
                  <w:r>
                    <w:t xml:space="preserve">Native tool calls plus APIs code execution and instrument control</w:t>
                  </w:r>
                </w:p>
              </w:tc>
            </w:tr>
            <w:tr>
              <w:tc>
                <w:tcPr/>
                <w:p>
                  <w:pPr>
                    <w:pStyle w:val="Compact"/>
                    <w:jc w:val="left"/>
                    <w:jc w:val="left"/>
                  </w:pPr>
                  <w:r>
                    <w:t xml:space="preserve">Planning</w:t>
                  </w:r>
                </w:p>
              </w:tc>
              <w:tc>
                <w:tcPr/>
                <w:p>
                  <w:pPr>
                    <w:pStyle w:val="Compact"/>
                    <w:jc w:val="left"/>
                    <w:jc w:val="left"/>
                  </w:pPr>
                  <w:r>
                    <w:t xml:space="preserve">Implicit single-response reasoning</w:t>
                  </w:r>
                </w:p>
              </w:tc>
              <w:tc>
                <w:tcPr/>
                <w:p>
                  <w:pPr>
                    <w:pStyle w:val="Compact"/>
                    <w:jc w:val="left"/>
                    <w:jc w:val="left"/>
                  </w:pPr>
                  <w:r>
                    <w:t xml:space="preserve">Explicit task decomposition reflection and re-planning</w:t>
                  </w:r>
                </w:p>
              </w:tc>
            </w:tr>
            <w:tr>
              <w:tc>
                <w:tcPr/>
                <w:p>
                  <w:pPr>
                    <w:pStyle w:val="Compact"/>
                    <w:jc w:val="left"/>
                    <w:jc w:val="left"/>
                  </w:pPr>
                  <w:r>
                    <w:t xml:space="preserve">Memory and state</w:t>
                  </w:r>
                </w:p>
              </w:tc>
              <w:tc>
                <w:tcPr/>
                <w:p>
                  <w:pPr>
                    <w:pStyle w:val="Compact"/>
                    <w:jc w:val="left"/>
                    <w:jc w:val="left"/>
                  </w:pPr>
                  <w:r>
                    <w:t xml:space="preserve">Short dialogue context with limited persistence</w:t>
                  </w:r>
                </w:p>
              </w:tc>
              <w:tc>
                <w:tcPr/>
                <w:p>
                  <w:pPr>
                    <w:pStyle w:val="Compact"/>
                    <w:jc w:val="left"/>
                    <w:jc w:val="left"/>
                  </w:pPr>
                  <w:r>
                    <w:t xml:space="preserve">Long-term memory stored plans and persistent agent state</w:t>
                  </w:r>
                </w:p>
              </w:tc>
            </w:tr>
            <w:tr>
              <w:tc>
                <w:tcPr/>
                <w:p>
                  <w:pPr>
                    <w:pStyle w:val="Compact"/>
                    <w:jc w:val="left"/>
                    <w:jc w:val="left"/>
                  </w:pPr>
                  <w:r>
                    <w:t xml:space="preserve">Architecture</w:t>
                  </w:r>
                </w:p>
              </w:tc>
              <w:tc>
                <w:tcPr/>
                <w:p>
                  <w:pPr>
                    <w:pStyle w:val="Compact"/>
                    <w:jc w:val="left"/>
                    <w:jc w:val="left"/>
                  </w:pPr>
                  <w:r>
                    <w:t xml:space="preserve">Language model plus dialogue interface and safety filters</w:t>
                  </w:r>
                </w:p>
              </w:tc>
              <w:tc>
                <w:tcPr/>
                <w:p>
                  <w:pPr>
                    <w:pStyle w:val="Compact"/>
                    <w:jc w:val="left"/>
                    <w:jc w:val="left"/>
                  </w:pPr>
                  <w:r>
                    <w:t xml:space="preserve">Language model plus planner memory tool interfaces and orchestration</w:t>
                  </w:r>
                </w:p>
              </w:tc>
            </w:tr>
            <w:tr>
              <w:tc>
                <w:tcPr/>
                <w:p>
                  <w:pPr>
                    <w:pStyle w:val="Compact"/>
                    <w:jc w:val="left"/>
                    <w:jc w:val="left"/>
                  </w:pPr>
                  <w:r>
                    <w:t xml:space="preserve">Task duration</w:t>
                  </w:r>
                </w:p>
              </w:tc>
              <w:tc>
                <w:tcPr/>
                <w:p>
                  <w:pPr>
                    <w:pStyle w:val="Compact"/>
                    <w:jc w:val="left"/>
                    <w:jc w:val="left"/>
                  </w:pPr>
                  <w:r>
                    <w:t xml:space="preserve">Seconds to minutes per answer</w:t>
                  </w:r>
                </w:p>
              </w:tc>
              <w:tc>
                <w:tcPr/>
                <w:p>
                  <w:pPr>
                    <w:pStyle w:val="Compact"/>
                    <w:jc w:val="left"/>
                    <w:jc w:val="left"/>
                  </w:pPr>
                  <w:r>
                    <w:t xml:space="preserve">Minutes to hours or days of autonomous operation</w:t>
                  </w:r>
                </w:p>
              </w:tc>
            </w:tr>
            <w:tr>
              <w:tc>
                <w:tcPr/>
                <w:p>
                  <w:pPr>
                    <w:pStyle w:val="Compact"/>
                    <w:jc w:val="left"/>
                    <w:jc w:val="left"/>
                  </w:pPr>
                  <w:r>
                    <w:t xml:space="preserve">Evaluation</w:t>
                  </w:r>
                </w:p>
              </w:tc>
              <w:tc>
                <w:tcPr/>
                <w:p>
                  <w:pPr>
                    <w:pStyle w:val="Compact"/>
                    <w:jc w:val="left"/>
                    <w:jc w:val="left"/>
                  </w:pPr>
                  <w:r>
                    <w:t xml:space="preserve">Response quality factuality and helpfulness</w:t>
                  </w:r>
                </w:p>
              </w:tc>
              <w:tc>
                <w:tcPr/>
                <w:p>
                  <w:pPr>
                    <w:pStyle w:val="Compact"/>
                    <w:jc w:val="left"/>
                    <w:jc w:val="left"/>
                  </w:pPr>
                  <w:r>
                    <w:t xml:space="preserve">Task completion correct tool sequences and side effects</w:t>
                  </w:r>
                </w:p>
              </w:tc>
            </w:tr>
            <w:tr>
              <w:tc>
                <w:tcPr/>
                <w:p>
                  <w:pPr>
                    <w:pStyle w:val="Compact"/>
                    <w:jc w:val="left"/>
                    <w:jc w:val="left"/>
                  </w:pPr>
                  <w:r>
                    <w:t xml:space="preserve">Risk profile</w:t>
                  </w:r>
                </w:p>
              </w:tc>
              <w:tc>
                <w:tcPr/>
                <w:p>
                  <w:pPr>
                    <w:pStyle w:val="Compact"/>
                    <w:jc w:val="left"/>
                    <w:jc w:val="left"/>
                  </w:pPr>
                  <w:r>
                    <w:t xml:space="preserve">Misinformation bias and over-reliance on fluent text</w:t>
                  </w:r>
                </w:p>
              </w:tc>
              <w:tc>
                <w:tcPr/>
                <w:p>
                  <w:pPr>
                    <w:pStyle w:val="Compact"/>
                    <w:jc w:val="left"/>
                    <w:jc w:val="left"/>
                  </w:pPr>
                  <w:r>
                    <w:t xml:space="preserve">All chat risks plus incorrect actions runaway loops and unsafe tool use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validation rather than decision-maker</w:t>
      </w:r>
      <w:r>
        <w:t xml:space="preserve"> </w:t>
      </w:r>
      <w:r>
        <w:t xml:space="preserve">(Taylor 2023)</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evaluates the work, and can stop or redirect the agent.</w:t>
      </w:r>
    </w:p>
    <w:p>
      <w:pPr>
        <w:pStyle w:val="BodyText"/>
      </w:pPr>
      <w:r>
        <w:t xml:space="preserve">The high-level researcher control associated with the human at the helm approach is necessary to honor our responsibilities toward the communities involved in our work and affected by it. AI-generated perspectives cannot replace community participation</w:t>
      </w:r>
      <w:r>
        <w:t xml:space="preserve"> </w:t>
      </w:r>
      <w:r>
        <w:t xml:space="preserve">(Cootsona et al. 2026)</w:t>
      </w:r>
      <w:r>
        <w:t xml:space="preserve">. Where archaeological work requires community consultation or consent, our approval of an agent’s actions does not replace those obligations.</w:t>
      </w:r>
      <w:r>
        <w:t xml:space="preserve"> </w:t>
      </w:r>
      <w:r>
        <w:t xml:space="preserve">Cootsona et al. (2026)</w:t>
      </w:r>
      <w:r>
        <w:t xml:space="preserve"> </w:t>
      </w:r>
      <w:r>
        <w:t xml:space="preserve">describe a comprehensive operational model of community engagement in an archaeological project that uses AI. Recent guidance on archaeological AI ethics and heritage management provides additional reasons to make those responsibilities explicit by keeping you as the researcher at the helm of your project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left"/>
            </w:pPr>
            <w:pPr>
              <w:jc w:val="start"/>
              <w:spacing w:before="200"/>
              <w:pStyle w:val="ImageCaption"/>
            </w:pPr>
            <w:r>
              <w:t xml:space="preserve">Table 2: Human in the loop (HITL) versus human at the helm (HATH) approaches to working with AI across several dimensions important to the research process.</w:t>
            </w:r>
            <w:r>
              <w:t xml:space="preserve"> </w:t>
            </w:r>
            <w:r>
              <w:t xml:space="preserve">(Beck and Burri 2024; Hao et al. 2025; Jonker et al. 2024; Monakhov 2026; Taylor 2023)</w:t>
            </w:r>
            <w:r>
              <w:t xml:space="preserve">.</w:t>
            </w:r>
          </w:p>
          <w:tbl>
            <w:tblPr>
              <w:tblStyle w:val="Table"/>
              <w:tblW w:type="pct" w:w="5000"/>
              <w:tblLook w:firstRow="1" w:lastRow="0" w:firstColumn="0" w:lastColumn="0" w:noHBand="0" w:noVBand="0" w:val="0020"/>
              <w:jc w:val="start"/>
              <w:tblLayout w:type="fixed"/>
            </w:tblPr>
            <w:tblGrid>
              <w:gridCol w:w="1742"/>
              <w:gridCol w:w="3088"/>
              <w:gridCol w:w="3088"/>
            </w:tblGrid>
            <w:tr>
              <w:trPr>
                <w:tblHeader w:val="true"/>
              </w:trPr>
              <w:tc>
                <w:tcPr/>
                <w:p>
                  <w:pPr>
                    <w:pStyle w:val="Compact"/>
                    <w:jc w:val="left"/>
                    <w:jc w:val="left"/>
                  </w:pPr>
                  <w:r>
                    <w:t xml:space="preserve">Dimension</w:t>
                  </w:r>
                </w:p>
              </w:tc>
              <w:tc>
                <w:tcPr/>
                <w:p>
                  <w:pPr>
                    <w:pStyle w:val="Compact"/>
                    <w:jc w:val="left"/>
                    <w:jc w:val="left"/>
                  </w:pPr>
                  <w:r>
                    <w:t xml:space="preserve">Human in the Loop</w:t>
                  </w:r>
                </w:p>
              </w:tc>
              <w:tc>
                <w:tcPr/>
                <w:p>
                  <w:pPr>
                    <w:pStyle w:val="Compact"/>
                    <w:jc w:val="left"/>
                    <w:jc w:val="left"/>
                  </w:pPr>
                  <w:r>
                    <w:t xml:space="preserve">Human at the Helm</w:t>
                  </w:r>
                </w:p>
              </w:tc>
            </w:tr>
            <w:tr>
              <w:tc>
                <w:tcPr/>
                <w:p>
                  <w:pPr>
                    <w:pStyle w:val="Compact"/>
                    <w:jc w:val="left"/>
                    <w:jc w:val="left"/>
                  </w:pPr>
                  <w:r>
                    <w:t xml:space="preserve">Locus of authority</w:t>
                  </w:r>
                </w:p>
              </w:tc>
              <w:tc>
                <w:tcPr/>
                <w:p>
                  <w:pPr>
                    <w:pStyle w:val="Compact"/>
                    <w:jc w:val="left"/>
                    <w:jc w:val="left"/>
                  </w:pPr>
                  <w:r>
                    <w:t xml:space="preserve">AI drives the workflow; the human approves at checkpoints</w:t>
                  </w:r>
                </w:p>
              </w:tc>
              <w:tc>
                <w:tcPr/>
                <w:p>
                  <w:pPr>
                    <w:pStyle w:val="Compact"/>
                    <w:jc w:val="left"/>
                    <w:jc w:val="left"/>
                  </w:pPr>
                  <w:r>
                    <w:t xml:space="preserve">Human directs the workflow; AI executes under direction</w:t>
                  </w:r>
                </w:p>
              </w:tc>
            </w:tr>
            <w:tr>
              <w:tc>
                <w:tcPr/>
                <w:p>
                  <w:pPr>
                    <w:pStyle w:val="Compact"/>
                    <w:jc w:val="left"/>
                    <w:jc w:val="left"/>
                  </w:pPr>
                  <w:r>
                    <w:t xml:space="preserve">Human role</w:t>
                  </w:r>
                </w:p>
              </w:tc>
              <w:tc>
                <w:tcPr/>
                <w:p>
                  <w:pPr>
                    <w:pStyle w:val="Compact"/>
                    <w:jc w:val="left"/>
                    <w:jc w:val="left"/>
                  </w:pPr>
                  <w:r>
                    <w:t xml:space="preserve">Intermittent reviewer, validator, or corrector</w:t>
                  </w:r>
                </w:p>
              </w:tc>
              <w:tc>
                <w:tcPr/>
                <w:p>
                  <w:pPr>
                    <w:pStyle w:val="Compact"/>
                    <w:jc w:val="left"/>
                    <w:jc w:val="left"/>
                  </w:pPr>
                  <w:r>
                    <w:t xml:space="preserve">Continuous director and final decision-maker</w:t>
                  </w:r>
                </w:p>
              </w:tc>
            </w:tr>
            <w:tr>
              <w:tc>
                <w:tcPr/>
                <w:p>
                  <w:pPr>
                    <w:pStyle w:val="Compact"/>
                    <w:jc w:val="left"/>
                    <w:jc w:val="left"/>
                  </w:pPr>
                  <w:r>
                    <w:t xml:space="preserve">When humans act</w:t>
                  </w:r>
                </w:p>
              </w:tc>
              <w:tc>
                <w:tcPr/>
                <w:p>
                  <w:pPr>
                    <w:pStyle w:val="Compact"/>
                    <w:jc w:val="left"/>
                    <w:jc w:val="left"/>
                  </w:pPr>
                  <w:r>
                    <w:t xml:space="preserve">At predefined intervention points (approval gates, error correction)</w:t>
                  </w:r>
                </w:p>
              </w:tc>
              <w:tc>
                <w:tcPr/>
                <w:p>
                  <w:pPr>
                    <w:pStyle w:val="Compact"/>
                    <w:jc w:val="left"/>
                    <w:jc w:val="left"/>
                  </w:pPr>
                  <w:r>
                    <w:t xml:space="preserve">Throughout the process, including goal definition and result interpretation</w:t>
                  </w:r>
                </w:p>
              </w:tc>
            </w:tr>
            <w:tr>
              <w:tc>
                <w:tcPr/>
                <w:p>
                  <w:pPr>
                    <w:pStyle w:val="Compact"/>
                    <w:jc w:val="left"/>
                    <w:jc w:val="left"/>
                  </w:pPr>
                  <w:r>
                    <w:t xml:space="preserve">Control logic</w:t>
                  </w:r>
                </w:p>
              </w:tc>
              <w:tc>
                <w:tcPr/>
                <w:p>
                  <w:pPr>
                    <w:pStyle w:val="Compact"/>
                    <w:jc w:val="left"/>
                    <w:jc w:val="left"/>
                  </w:pPr>
                  <w:r>
                    <w:t xml:space="preserve">Oversight of individual AI outputs (exception handling)</w:t>
                  </w:r>
                </w:p>
              </w:tc>
              <w:tc>
                <w:tcPr/>
                <w:p>
                  <w:pPr>
                    <w:pStyle w:val="Compact"/>
                    <w:jc w:val="left"/>
                    <w:jc w:val="left"/>
                  </w:pPr>
                  <w:r>
                    <w:t xml:space="preserve">Steering the entire trajectory of the research task</w:t>
                  </w:r>
                </w:p>
              </w:tc>
            </w:tr>
            <w:tr>
              <w:tc>
                <w:tcPr/>
                <w:p>
                  <w:pPr>
                    <w:pStyle w:val="Compact"/>
                    <w:jc w:val="left"/>
                    <w:jc w:val="left"/>
                  </w:pPr>
                  <w:r>
                    <w:t xml:space="preserve">Accountability</w:t>
                  </w:r>
                </w:p>
              </w:tc>
              <w:tc>
                <w:tcPr/>
                <w:p>
                  <w:pPr>
                    <w:pStyle w:val="Compact"/>
                    <w:jc w:val="left"/>
                    <w:jc w:val="left"/>
                  </w:pPr>
                  <w:r>
                    <w:t xml:space="preserve">Distributed between system and operator; often ambiguous in practice</w:t>
                  </w:r>
                </w:p>
              </w:tc>
              <w:tc>
                <w:tcPr/>
                <w:p>
                  <w:pPr>
                    <w:pStyle w:val="Compact"/>
                    <w:jc w:val="left"/>
                    <w:jc w:val="left"/>
                  </w:pPr>
                  <w:r>
                    <w:t xml:space="preserve">Retained by the researcher from start to finish</w:t>
                  </w:r>
                </w:p>
              </w:tc>
            </w:tr>
            <w:tr>
              <w:tc>
                <w:tcPr/>
                <w:p>
                  <w:pPr>
                    <w:pStyle w:val="Compact"/>
                    <w:jc w:val="left"/>
                    <w:jc w:val="left"/>
                  </w:pPr>
                  <w:r>
                    <w:t xml:space="preserve">Epistemic stance</w:t>
                  </w:r>
                </w:p>
              </w:tc>
              <w:tc>
                <w:tcPr/>
                <w:p>
                  <w:pPr>
                    <w:pStyle w:val="Compact"/>
                    <w:jc w:val="left"/>
                    <w:jc w:val="left"/>
                  </w:pPr>
                  <w:r>
                    <w:t xml:space="preserve">Machine output is assumed usable until flagged</w:t>
                  </w:r>
                </w:p>
              </w:tc>
              <w:tc>
                <w:tcPr/>
                <w:p>
                  <w:pPr>
                    <w:pStyle w:val="Compact"/>
                    <w:jc w:val="left"/>
                    <w:jc w:val="left"/>
                  </w:pPr>
                  <w:r>
                    <w:t xml:space="preserve">Machine output is provisional until the researcher has understood and endorsed it</w:t>
                  </w:r>
                </w:p>
              </w:tc>
            </w:tr>
            <w:tr>
              <w:tc>
                <w:tcPr/>
                <w:p>
                  <w:pPr>
                    <w:pStyle w:val="Compact"/>
                    <w:jc w:val="left"/>
                    <w:jc w:val="left"/>
                  </w:pPr>
                  <w:r>
                    <w:t xml:space="preserve">Relation to research integrity</w:t>
                  </w:r>
                </w:p>
              </w:tc>
              <w:tc>
                <w:tcPr/>
                <w:p>
                  <w:pPr>
                    <w:pStyle w:val="Compact"/>
                    <w:jc w:val="left"/>
                    <w:jc w:val="left"/>
                  </w:pPr>
                  <w:r>
                    <w:t xml:space="preserve">Can automate reasoning while the human only reacts</w:t>
                  </w:r>
                </w:p>
              </w:tc>
              <w:tc>
                <w:tcPr/>
                <w:p>
                  <w:pPr>
                    <w:pStyle w:val="Compact"/>
                    <w:jc w:val="left"/>
                    <w:jc w:val="left"/>
                  </w:pPr>
                  <w:r>
                    <w:t xml:space="preserve">Preserves human agency; the researcher owns the reasoning and the result</w:t>
                  </w:r>
                </w:p>
              </w:tc>
            </w:tr>
            <w:tr>
              <w:tc>
                <w:tcPr/>
                <w:p>
                  <w:pPr>
                    <w:pStyle w:val="Compact"/>
                    <w:jc w:val="left"/>
                    <w:jc w:val="left"/>
                  </w:pPr>
                  <w:r>
                    <w:t xml:space="preserve">Scientific framing</w:t>
                  </w:r>
                </w:p>
              </w:tc>
              <w:tc>
                <w:tcPr/>
                <w:p>
                  <w:pPr>
                    <w:pStyle w:val="Compact"/>
                    <w:jc w:val="left"/>
                    <w:jc w:val="left"/>
                  </w:pPr>
                  <w:r>
                    <w:t xml:space="preserve">HITL is a system-design pattern common in machine learning</w:t>
                  </w:r>
                </w:p>
              </w:tc>
              <w:tc>
                <w:tcPr/>
                <w:p>
                  <w:pPr>
                    <w:pStyle w:val="Compact"/>
                    <w:jc w:val="left"/>
                    <w:jc w:val="left"/>
                  </w:pPr>
                  <w:r>
                    <w:t xml:space="preserve">Extends meaningful human control to research contexts</w:t>
                  </w:r>
                </w:p>
              </w:tc>
            </w:tr>
            <w:tr>
              <w:tc>
                <w:tcPr/>
                <w:p>
                  <w:pPr>
                    <w:pStyle w:val="Compact"/>
                    <w:jc w:val="left"/>
                    <w:jc w:val="left"/>
                  </w:pPr>
                  <w:r>
                    <w:t xml:space="preserve">Regulatory echo</w:t>
                  </w:r>
                </w:p>
              </w:tc>
              <w:tc>
                <w:tcPr/>
                <w:p>
                  <w:pPr>
                    <w:pStyle w:val="Compact"/>
                    <w:jc w:val="left"/>
                    <w:jc w:val="left"/>
                  </w:pPr>
                  <w:r>
                    <w:t xml:space="preserve">Absent in law; legal discourse requires oversight, not mere presence in a loop</w:t>
                  </w:r>
                </w:p>
              </w:tc>
              <w:tc>
                <w:tcPr/>
                <w:p>
                  <w:pPr>
                    <w:pStyle w:val="Compact"/>
                    <w:jc w:val="left"/>
                    <w:jc w:val="left"/>
                  </w:pPr>
                  <w:r>
                    <w:t xml:space="preserve">Aligns with human oversight and control requirements in AI regulation</w:t>
                  </w:r>
                </w:p>
              </w:tc>
            </w:tr>
            <w:tr>
              <w:tc>
                <w:tcPr/>
                <w:p>
                  <w:pPr>
                    <w:pStyle w:val="Compact"/>
                    <w:jc w:val="left"/>
                    <w:jc w:val="left"/>
                  </w:pPr>
                  <w:r>
                    <w:t xml:space="preserve">Risk profile</w:t>
                  </w:r>
                </w:p>
              </w:tc>
              <w:tc>
                <w:tcPr/>
                <w:p>
                  <w:pPr>
                    <w:pStyle w:val="Compact"/>
                    <w:jc w:val="left"/>
                    <w:jc w:val="left"/>
                  </w:pPr>
                  <w:r>
                    <w:t xml:space="preserve">Risk of automation bias: the human rubber-stamps machine output</w:t>
                  </w:r>
                </w:p>
              </w:tc>
              <w:tc>
                <w:tcPr/>
                <w:p>
                  <w:pPr>
                    <w:pStyle w:val="Compact"/>
                    <w:jc w:val="left"/>
                    <w:jc w:val="left"/>
                  </w:pPr>
                  <w:r>
                    <w:t xml:space="preserve">Risk reduced by continuous human direction, though the human must stay engaged</w:t>
                  </w:r>
                </w:p>
              </w:tc>
            </w:tr>
            <w:tr>
              <w:tc>
                <w:tcPr/>
                <w:p>
                  <w:pPr>
                    <w:pStyle w:val="Compact"/>
                    <w:jc w:val="left"/>
                    <w:jc w:val="left"/>
                  </w:pPr>
                  <w:r>
                    <w:t xml:space="preserve">Definition of collaboration</w:t>
                  </w:r>
                </w:p>
              </w:tc>
              <w:tc>
                <w:tcPr/>
                <w:p>
                  <w:pPr>
                    <w:pStyle w:val="Compact"/>
                    <w:jc w:val="left"/>
                    <w:jc w:val="left"/>
                  </w:pPr>
                  <w:r>
                    <w:t xml:space="preserve">Human and AI as separable stages in a pipeline</w:t>
                  </w:r>
                </w:p>
              </w:tc>
              <w:tc>
                <w:tcPr/>
                <w:p>
                  <w:pPr>
                    <w:pStyle w:val="Compact"/>
                    <w:jc w:val="left"/>
                    <w:jc w:val="left"/>
                  </w:pPr>
                  <w:r>
                    <w:t xml:space="preserve">Human and AI as a joint sensemaking process; humans add value AI cannot</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your project files under researcher-defined permissions. Third, use tools, skills, and Model Context Protocol (MCP) servers to research, plan, execute, and verify data analyses. These practices will be most useful to archaeologists who already analyze data with an open source scientific scripting language (e.g. R or Python), whether in academia, government, or private practice, and are looking to reduce some of the friction and repetition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analyze and visualize data with a scripting language such as R or Python before involving an agent in an analysis; computational literacy must be a core methodological competence for data-intensive researchers</w:t>
      </w:r>
      <w:r>
        <w:t xml:space="preserve"> </w:t>
      </w:r>
      <w:r>
        <w:t xml:space="preserve">(Cooper et al. 2024)</w:t>
      </w:r>
      <w:r>
        <w:t xml:space="preserve">. You need to be able to inspect agent-generated code and explain its relationship to your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and thinking critically about generated code remains essential despite the expanding availability of AI assistance</w:t>
      </w:r>
      <w:r>
        <w:t xml:space="preserve"> </w:t>
      </w:r>
      <w:r>
        <w:t xml:space="preserve">(Abramson et al. 2026; Campbell et al. 2024; Nejjar et al. 2025)</w:t>
      </w:r>
      <w:r>
        <w:t xml:space="preserve">.</w:t>
      </w:r>
    </w:p>
    <w:p>
      <w:pPr>
        <w:pStyle w:val="BodyText"/>
      </w:pPr>
      <w:r>
        <w:t xml:space="preserve">We recommend choosing a small set of reputable tools widely used for reproducible research</w:t>
      </w:r>
      <w:r>
        <w:t xml:space="preserve"> </w:t>
      </w:r>
      <w:r>
        <w:t xml:space="preserve">(Marwick 2017)</w:t>
      </w:r>
      <w:r>
        <w:t xml:space="preserve">, and learning how they work together. For R users that set includes the tidyverse set of packages for data preparation and visualization</w:t>
      </w:r>
      <w:r>
        <w:t xml:space="preserve"> </w:t>
      </w:r>
      <w:r>
        <w:t xml:space="preserve">(Wickham et al. 2019)</w:t>
      </w:r>
      <w:r>
        <w:t xml:space="preserve">. The Quarto document format is ideal for writing your report, this combines prose and executable code in a document written as a plain-text file. Quarto is an extension of the Markdown document format, which LLMs read and write very efficiently and accurately, much more so than Word documents and PDFs. We recommend using converters, such as Markitdown or Docling, to turn DOCX and PDF files into markdown so agents can more efficiently read them. Documents that you want your agent to read and edit should be in Markdown format to improve the agent’s efficiency and minimize their resource consumption.</w:t>
      </w:r>
    </w:p>
    <w:p>
      <w:pPr>
        <w:pStyle w:val="BodyText"/>
      </w:pPr>
      <w:r>
        <w:t xml:space="preserve">Git is free and open source software that records successive versions of a project’s text, code, and data files, so you can inspect every change and recover earlier work</w:t>
      </w:r>
      <w:r>
        <w:t xml:space="preserve"> </w:t>
      </w:r>
      <w:r>
        <w:t xml:space="preserve">(Blischak et al. 2016)</w:t>
      </w:r>
      <w:r>
        <w:t xml:space="preserve">. Agents can handle routine Git operations efficiently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output and edits are traceable as Git commits (a saved snapshot of your project’s files at a specific point in time) and human-readable as Git diffs (plain text records of changes of your files from one commit to another). This is an efficient system for linking reported results back to the executable analyses that generated them; the agent transparently records every machine-generated change in plain text for you to review before accepting or rejecting it.</w:t>
      </w:r>
    </w:p>
    <w:bookmarkEnd w:id="23"/>
    <w:bookmarkStart w:id="30" w:name="sec-harness"/>
    <w:p>
      <w:pPr>
        <w:pStyle w:val="Heading1"/>
      </w:pPr>
      <w:r>
        <w:t xml:space="preserve">Step 2: Configure an Agent Harness for Your Project</w:t>
      </w:r>
    </w:p>
    <w:p>
      <w:pPr>
        <w:pStyle w:val="FirstParagraph"/>
      </w:pPr>
      <w:r>
        <w:t xml:space="preserve">When you use the tools described above, it is relatively simple to configure an AI agent so that it can efficiently see all the files in your project and edit them directly. The key tool here is a local harness. This is software you install on your computer that turns a LLM into an agent. The LLM by itself can only generate text, and the harness connects that model to tools, such as reading and editing project files, running shell and R commands, calling MCP servers, and managing the exchange between the model, the tools, and you. The harness enforces permissions, manages context, runs the model-tool loop, and presents the interface (</w:t>
      </w:r>
      <w:hyperlink w:anchor="tbl-harness">
        <w:r>
          <w:rPr>
            <w:rStyle w:val="Hyperlink"/>
          </w:rPr>
          <w:t xml:space="preserve">Table 3</w:t>
        </w:r>
      </w:hyperlink>
      <w:r>
        <w:t xml:space="preserve">). At the time of writing widely used harnesses include Claude Code</w:t>
      </w:r>
      <w:r>
        <w:t xml:space="preserve"> </w:t>
      </w:r>
      <w:r>
        <w:t xml:space="preserve">(Liu et al. 2026)</w:t>
      </w:r>
      <w:r>
        <w:t xml:space="preserve">, GitHub Copilot, OpenAI Codex and OpenCode. We recommend the OpenCode terminal user interface (running in the terminal pane of an integrated development environment such as RStudio, Positron or VS Code) because it is free, open source, and not tied to any model vendor (</w:t>
      </w:r>
      <w:hyperlink w:anchor="fig-agent-in-ide">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left"/>
            </w:pPr>
            <w:pPr>
              <w:jc w:val="start"/>
              <w:spacing w:before="200"/>
              <w:pStyle w:val="ImageCaption"/>
            </w:pPr>
            <w:r>
              <w:t xml:space="preserve">Table 3: Key parts of a typical agent harness and what they do.</w:t>
            </w:r>
          </w:p>
          <w:tbl>
            <w:tblPr>
              <w:tblStyle w:val="Table"/>
              <w:tblW w:type="pct" w:w="5000"/>
              <w:tblLook w:firstRow="1" w:lastRow="0" w:firstColumn="0" w:lastColumn="0" w:noHBand="0" w:noVBand="0" w:val="0020"/>
              <w:jc w:val="start"/>
              <w:tblLayout w:type="fixed"/>
            </w:tblPr>
            <w:tblGrid>
              <w:gridCol w:w="1742"/>
              <w:gridCol w:w="2376"/>
              <w:gridCol w:w="3801"/>
            </w:tblGrid>
            <w:tr>
              <w:trPr>
                <w:tblHeader w:val="true"/>
              </w:trPr>
              <w:tc>
                <w:tcPr/>
                <w:p>
                  <w:pPr>
                    <w:pStyle w:val="Compact"/>
                    <w:jc w:val="left"/>
                    <w:jc w:val="left"/>
                  </w:pPr>
                  <w:r>
                    <w:t xml:space="preserve">Component</w:t>
                  </w:r>
                </w:p>
              </w:tc>
              <w:tc>
                <w:tcPr/>
                <w:p>
                  <w:pPr>
                    <w:pStyle w:val="Compact"/>
                    <w:jc w:val="left"/>
                    <w:jc w:val="left"/>
                  </w:pPr>
                  <w:r>
                    <w:t xml:space="preserve">Job</w:t>
                  </w:r>
                </w:p>
              </w:tc>
              <w:tc>
                <w:tcPr/>
                <w:p>
                  <w:pPr>
                    <w:pStyle w:val="Compact"/>
                    <w:jc w:val="left"/>
                    <w:jc w:val="left"/>
                  </w:pPr>
                  <w:r>
                    <w:t xml:space="preserve">Example</w:t>
                  </w:r>
                </w:p>
              </w:tc>
            </w:tr>
            <w:tr>
              <w:tc>
                <w:tcPr/>
                <w:p>
                  <w:pPr>
                    <w:pStyle w:val="Compact"/>
                    <w:jc w:val="left"/>
                    <w:jc w:val="left"/>
                  </w:pPr>
                  <w:r>
                    <w:t xml:space="preserve">Permissions</w:t>
                  </w:r>
                </w:p>
              </w:tc>
              <w:tc>
                <w:tcPr/>
                <w:p>
                  <w:pPr>
                    <w:pStyle w:val="Compact"/>
                    <w:jc w:val="left"/>
                    <w:jc w:val="left"/>
                  </w:pPr>
                  <w:r>
                    <w:t xml:space="preserve">Decide which actions run automatically and which need your approval</w:t>
                  </w:r>
                </w:p>
              </w:tc>
              <w:tc>
                <w:tcPr/>
                <w:p>
                  <w:pPr>
                    <w:pStyle w:val="Compact"/>
                    <w:jc w:val="left"/>
                    <w:jc w:val="left"/>
                  </w:pPr>
                  <w:r>
                    <w:t xml:space="preserve">Block edits to restricted files</w:t>
                  </w:r>
                </w:p>
              </w:tc>
            </w:tr>
            <w:tr>
              <w:tc>
                <w:tcPr/>
                <w:p>
                  <w:pPr>
                    <w:pStyle w:val="Compact"/>
                    <w:jc w:val="left"/>
                    <w:jc w:val="left"/>
                  </w:pPr>
                  <w:r>
                    <w:t xml:space="preserve">Context</w:t>
                  </w:r>
                </w:p>
              </w:tc>
              <w:tc>
                <w:tcPr/>
                <w:p>
                  <w:pPr>
                    <w:pStyle w:val="Compact"/>
                    <w:jc w:val="left"/>
                    <w:jc w:val="left"/>
                  </w:pPr>
                  <w:r>
                    <w:t xml:space="preserve">Assemble the content your model sees each turn</w:t>
                  </w:r>
                </w:p>
              </w:tc>
              <w:tc>
                <w:tcPr/>
                <w:p>
                  <w:pPr>
                    <w:pStyle w:val="Compact"/>
                    <w:jc w:val="left"/>
                    <w:jc w:val="left"/>
                  </w:pPr>
                  <w:r>
                    <w:t xml:space="preserve">AGENTS.md, conversation history, file contents, tool outputs</w:t>
                  </w:r>
                </w:p>
              </w:tc>
            </w:tr>
            <w:tr>
              <w:tc>
                <w:tcPr/>
                <w:p>
                  <w:pPr>
                    <w:pStyle w:val="Compact"/>
                    <w:jc w:val="left"/>
                    <w:jc w:val="left"/>
                  </w:pPr>
                  <w:r>
                    <w:t xml:space="preserve">Loop</w:t>
                  </w:r>
                </w:p>
              </w:tc>
              <w:tc>
                <w:tcPr/>
                <w:p>
                  <w:pPr>
                    <w:pStyle w:val="Compact"/>
                    <w:jc w:val="left"/>
                    <w:jc w:val="left"/>
                  </w:pPr>
                  <w:r>
                    <w:t xml:space="preserve">Send your prompt to the model, run its tool calls and feed results back until the task finishes or you stop it</w:t>
                  </w:r>
                </w:p>
              </w:tc>
              <w:tc>
                <w:tcPr/>
                <w:p>
                  <w:pPr>
                    <w:pStyle w:val="Compact"/>
                    <w:jc w:val="left"/>
                    <w:jc w:val="left"/>
                  </w:pPr>
                  <w:r>
                    <w:t xml:space="preserve">Plan, then the model acts, then checks its work, then repeats or moves to the next step in the plan</w:t>
                  </w:r>
                </w:p>
              </w:tc>
            </w:tr>
            <w:tr>
              <w:tc>
                <w:tcPr/>
                <w:p>
                  <w:pPr>
                    <w:pStyle w:val="Compact"/>
                    <w:jc w:val="left"/>
                    <w:jc w:val="left"/>
                  </w:pPr>
                  <w:r>
                    <w:t xml:space="preserve">Interface</w:t>
                  </w:r>
                </w:p>
              </w:tc>
              <w:tc>
                <w:tcPr/>
                <w:p>
                  <w:pPr>
                    <w:pStyle w:val="Compact"/>
                    <w:jc w:val="left"/>
                    <w:jc w:val="left"/>
                  </w:pPr>
                  <w:r>
                    <w:t xml:space="preserve">Show where you type prompts, watch the agent work, and read its output</w:t>
                  </w:r>
                </w:p>
              </w:tc>
              <w:tc>
                <w:tcPr/>
                <w:p>
                  <w:pPr>
                    <w:pStyle w:val="Compact"/>
                    <w:jc w:val="left"/>
                    <w:jc w:val="left"/>
                  </w:pPr>
                  <w:r>
                    <w:t xml:space="preserve">Terminal pane in RStudio or VS Code, so you can view the agent side-by-side with your documents</w:t>
                  </w:r>
                </w:p>
              </w:tc>
            </w:tr>
          </w:tbl>
          <w:bookmarkEnd w:id="2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 w:name="fig-agent-in-ide"/>
          <w:p>
            <w:pPr>
              <w:pStyle w:val="Compact"/>
              <w:jc w:val="center"/>
            </w:pPr>
            <w:r>
              <w:drawing>
                <wp:inline>
                  <wp:extent cx="5943600" cy="2757340"/>
                  <wp:effectExtent b="0" l="0" r="0" t="0"/>
                  <wp:docPr descr="" title="" id="26" name="Picture"/>
                  <a:graphic>
                    <a:graphicData uri="http://schemas.openxmlformats.org/drawingml/2006/picture">
                      <pic:pic>
                        <pic:nvPicPr>
                          <pic:cNvPr descr="../figures/fig-agent-in-ide.png" id="27" name="Picture"/>
                          <pic:cNvPicPr>
                            <a:picLocks noChangeArrowheads="1" noChangeAspect="1"/>
                          </pic:cNvPicPr>
                        </pic:nvPicPr>
                        <pic:blipFill>
                          <a:blip r:embed="rId25"/>
                          <a:stretch>
                            <a:fillRect/>
                          </a:stretch>
                        </pic:blipFill>
                        <pic:spPr bwMode="auto">
                          <a:xfrm>
                            <a:off x="0" y="0"/>
                            <a:ext cx="5943600" cy="27573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illustration of a typical human-at-the-helm data analysis environment that includes agentic AI. The entire frame is encapsulated in an Integrated Development Environment, such as RStudio, Positron, or VS Code. On the left side is a Quarto document where we can see headings (</w:t>
            </w:r>
            <w:r>
              <w:t xml:space="preserve">‘</w:t>
            </w:r>
            <w:r>
              <w:t xml:space="preserve">Exploring the data</w:t>
            </w:r>
            <w:r>
              <w:t xml:space="preserve">’</w:t>
            </w:r>
            <w:r>
              <w:t xml:space="preserve">,</w:t>
            </w:r>
            <w:r>
              <w:t xml:space="preserve"> </w:t>
            </w:r>
            <w:r>
              <w:t xml:space="preserve">‘</w:t>
            </w:r>
            <w:r>
              <w:t xml:space="preserve">Results</w:t>
            </w:r>
            <w:r>
              <w:t xml:space="preserve">’</w:t>
            </w:r>
            <w:r>
              <w:t xml:space="preserve">), lines of narrative text, an R code block, and a data visualization. The AI agent is active in the R code block. The human researcher is active in the narrative text. On the right side is the AI agent’s harness, for example, OpenCode. We can see there are three agents active, agent 1 is operating in plan mode (so it cannot modify any file). Its scope of activities is limited to the current project’s working directory (which includes a project-level AGENTS.md file and a git repository for tracking changes). The agent has replied with some text and is now presenting a set of options to the researcher to choose from. At the bottom of the harness is the box to type prompts to the model, and below that text that indicates what model is currently in use, and how much the model has been used in the current session.</w:t>
            </w:r>
          </w:p>
          <w:bookmarkEnd w:id="28"/>
        </w:tc>
      </w:tr>
    </w:tbl>
    <w:p>
      <w:pPr>
        <w:pStyle w:val="BodyText"/>
      </w:pPr>
      <w:r>
        <w:t xml:space="preserve">Store preferences and working habits you reuse across projects in a global AGENTS.md file.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often provide multiple working modes, for example,</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Multiple rounds of planning are necessary for a high quality plan</w:t>
      </w:r>
      <w:r>
        <w:t xml:space="preserve"> </w:t>
      </w:r>
      <w:r>
        <w:t xml:space="preserve">(Bertran et al. 2026)</w:t>
      </w:r>
      <w:r>
        <w:t xml:space="preserve">, giving you a chance to steer and challenge the model, request justification for decisions it proposes, and invite the model to criticize your ideas, in preparation for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Then when you resume your work, start a new conversation by directing the model to read your plan saved in the markdown file, rather than rely on its memory. This avoids the problems of models performing increasingly poorly across long meandering threads and failing to recover after a wrong turn</w:t>
      </w:r>
      <w:r>
        <w:t xml:space="preserve"> </w:t>
      </w:r>
      <w:r>
        <w:t xml:space="preserve">(Laban et al. 2025)</w:t>
      </w:r>
      <w:r>
        <w:t xml:space="preserve">.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an LLM can benefit from using a state-of-the-art, reasoning-enabled frontier model. Larger models execute substantially more steps before failing than smaller models do, even where the smaller models are near-perfect on any single step, so small per-step accuracy gains compound into large gains in the length of a task the model can complete</w:t>
      </w:r>
      <w:r>
        <w:t xml:space="preserve"> </w:t>
      </w:r>
      <w:r>
        <w:t xml:space="preserve">(Sinha et al. 2026)</w:t>
      </w:r>
      <w:r>
        <w:t xml:space="preserve">. Because larger models are slower, more expensive and more resource intensive, we recommend switching to a smaller model once the plan is fixed and the remaining steps are well-defined</w:t>
      </w:r>
      <w:r>
        <w:t xml:space="preserve"> </w:t>
      </w:r>
      <w:r>
        <w:t xml:space="preserve">(Chen and Varoquaux 2026)</w:t>
      </w:r>
      <w:r>
        <w:t xml:space="preserve">.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 and ignore instructions</w:t>
      </w:r>
      <w:r>
        <w:t xml:space="preserve"> </w:t>
      </w:r>
      <w:r>
        <w:t xml:space="preserve">(Brown, Aitken, et al. 2026)</w:t>
      </w:r>
      <w:r>
        <w:t xml:space="preserve">, so it is essential to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summarizes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9" w:name="tbl-privacy"/>
          <w:p>
            <w:pPr>
              <w:jc w:val="left"/>
            </w:pPr>
            <w:pPr>
              <w:jc w:val="start"/>
              <w:spacing w:before="200"/>
              <w:pStyle w:val="ImageCaption"/>
            </w:pPr>
            <w:r>
              <w:t xml:space="preserve">Table 4: Options for minimizing risks of working with restricted data and agentic AI.</w:t>
            </w:r>
          </w:p>
          <w:tbl>
            <w:tblPr>
              <w:tblStyle w:val="Table"/>
              <w:tblW w:type="pct" w:w="5000"/>
              <w:tblLook w:firstRow="1" w:lastRow="0" w:firstColumn="0" w:lastColumn="0" w:noHBand="0" w:noVBand="0" w:val="0020"/>
              <w:jc w:val="start"/>
              <w:tblLayout w:type="fixed"/>
            </w:tblPr>
            <w:tblGrid>
              <w:gridCol w:w="1584"/>
              <w:gridCol w:w="3564"/>
              <w:gridCol w:w="2772"/>
            </w:tblGrid>
            <w:tr>
              <w:trPr>
                <w:tblHeader w:val="true"/>
              </w:trPr>
              <w:tc>
                <w:tcPr/>
                <w:p>
                  <w:pPr>
                    <w:pStyle w:val="Compact"/>
                    <w:jc w:val="left"/>
                    <w:jc w:val="left"/>
                  </w:pPr>
                  <w:r>
                    <w:t xml:space="preserve">Option</w:t>
                  </w:r>
                </w:p>
              </w:tc>
              <w:tc>
                <w:tcPr/>
                <w:p>
                  <w:pPr>
                    <w:pStyle w:val="Compact"/>
                    <w:jc w:val="left"/>
                    <w:jc w:val="left"/>
                  </w:pPr>
                  <w:r>
                    <w:t xml:space="preserve">Action</w:t>
                  </w:r>
                </w:p>
              </w:tc>
              <w:tc>
                <w:tcPr/>
                <w:p>
                  <w:pPr>
                    <w:pStyle w:val="Compact"/>
                    <w:jc w:val="left"/>
                    <w:jc w:val="left"/>
                  </w:pPr>
                  <w:r>
                    <w:t xml:space="preserve">Limitation</w:t>
                  </w:r>
                </w:p>
              </w:tc>
            </w:tr>
            <w:tr>
              <w:tc>
                <w:tcPr/>
                <w:p>
                  <w:pPr>
                    <w:pStyle w:val="Compact"/>
                    <w:jc w:val="left"/>
                    <w:jc w:val="left"/>
                  </w:pPr>
                  <w:r>
                    <w:t xml:space="preserve">Zero Data Retention (ZDR)</w:t>
                  </w:r>
                </w:p>
              </w:tc>
              <w:tc>
                <w:tcPr/>
                <w:p>
                  <w:pPr>
                    <w:pStyle w:val="Compact"/>
                    <w:jc w:val="left"/>
                    <w:jc w:val="left"/>
                  </w:pPr>
                  <w:r>
                    <w:t xml:space="preserve">Use a provider that deletes request data immediately after processing</w:t>
                  </w:r>
                </w:p>
              </w:tc>
              <w:tc>
                <w:tcPr/>
                <w:p>
                  <w:pPr>
                    <w:pStyle w:val="Compact"/>
                    <w:jc w:val="left"/>
                    <w:jc w:val="left"/>
                  </w:pPr>
                  <w:r>
                    <w:t xml:space="preserve">Contractual promise only; check terms before sending sensitive data</w:t>
                  </w:r>
                </w:p>
              </w:tc>
            </w:tr>
            <w:tr>
              <w:tc>
                <w:tcPr/>
                <w:p>
                  <w:pPr>
                    <w:pStyle w:val="Compact"/>
                    <w:jc w:val="left"/>
                    <w:jc w:val="left"/>
                  </w:pPr>
                  <w:r>
                    <w:t xml:space="preserve">Outside-folder storage</w:t>
                  </w:r>
                </w:p>
              </w:tc>
              <w:tc>
                <w:tcPr/>
                <w:p>
                  <w:pPr>
                    <w:pStyle w:val="Compact"/>
                    <w:jc w:val="left"/>
                    <w:jc w:val="left"/>
                  </w:pPr>
                  <w:r>
                    <w:t xml:space="preserve">Keep restricted files in a directory outside the project folder so the agent cannot open them by accident</w:t>
                  </w:r>
                  <w:r>
                    <w:t xml:space="preserve"> </w:t>
                  </w:r>
                  <w:r>
                    <w:t xml:space="preserve">(Brown 2026)</w:t>
                  </w:r>
                </w:p>
              </w:tc>
              <w:tc>
                <w:tcPr/>
                <w:p>
                  <w:pPr>
                    <w:pStyle w:val="Compact"/>
                    <w:jc w:val="left"/>
                    <w:jc w:val="left"/>
                  </w:pPr>
                  <w:r>
                    <w:t xml:space="preserve">You must move files yourself and manage what the agent can see</w:t>
                  </w:r>
                </w:p>
              </w:tc>
            </w:tr>
            <w:tr>
              <w:tc>
                <w:tcPr/>
                <w:p>
                  <w:pPr>
                    <w:pStyle w:val="Compact"/>
                    <w:jc w:val="left"/>
                    <w:jc w:val="left"/>
                  </w:pPr>
                  <w:r>
                    <w:t xml:space="preserve">Local LLM</w:t>
                  </w:r>
                </w:p>
              </w:tc>
              <w:tc>
                <w:tcPr/>
                <w:p>
                  <w:pPr>
                    <w:pStyle w:val="Compact"/>
                    <w:jc w:val="left"/>
                    <w:jc w:val="left"/>
                  </w:pPr>
                  <w:r>
                    <w:t xml:space="preserve">Run the model on your computer so no data leave it</w:t>
                  </w:r>
                  <w:r>
                    <w:t xml:space="preserve"> </w:t>
                  </w:r>
                  <w:r>
                    <w:t xml:space="preserve">(Abramson et al. 2026; Wiest et al. 2024)</w:t>
                  </w:r>
                </w:p>
              </w:tc>
              <w:tc>
                <w:tcPr/>
                <w:p>
                  <w:pPr>
                    <w:pStyle w:val="Compact"/>
                    <w:jc w:val="left"/>
                    <w:jc w:val="left"/>
                  </w:pPr>
                  <w:r>
                    <w:t xml:space="preserve">Matching hosted-model quality needs expensive high-performance hardware</w:t>
                  </w:r>
                  <w:r>
                    <w:t xml:space="preserve"> </w:t>
                  </w:r>
                  <w:r>
                    <w:t xml:space="preserve">(Brown, Spillias, et al. 2026)</w:t>
                  </w:r>
                </w:p>
              </w:tc>
            </w:tr>
            <w:tr>
              <w:tc>
                <w:tcPr/>
                <w:p>
                  <w:pPr>
                    <w:pStyle w:val="Compact"/>
                    <w:jc w:val="left"/>
                    <w:jc w:val="left"/>
                  </w:pPr>
                  <w:r>
                    <w:t xml:space="preserve">Synthetic proxy data</w:t>
                  </w:r>
                </w:p>
              </w:tc>
              <w:tc>
                <w:tcPr/>
                <w:p>
                  <w:pPr>
                    <w:pStyle w:val="Compact"/>
                    <w:jc w:val="left"/>
                    <w:jc w:val="left"/>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left"/>
                  </w:pPr>
                  <w:r>
                    <w:t xml:space="preserve">The proxy must match the variable types, distributions, and format of the real columns, or the code will not transfer</w:t>
                  </w:r>
                </w:p>
              </w:tc>
            </w:tr>
          </w:tbl>
          <w:bookmarkEnd w:id="29"/>
          <w:p/>
        </w:tc>
      </w:tr>
    </w:tbl>
    <w:bookmarkEnd w:id="30"/>
    <w:bookmarkStart w:id="36" w:name="sec-analysis"/>
    <w:p>
      <w:pPr>
        <w:pStyle w:val="Heading1"/>
      </w:pPr>
      <w:r>
        <w:t xml:space="preserve">Step 3: Use Tools, Skills, and Model Context Protocols to Research, Plan, Execute, and Verify</w:t>
      </w:r>
    </w:p>
    <w:p>
      <w:pPr>
        <w:pStyle w:val="FirstParagraph"/>
      </w:pPr>
      <w:r>
        <w:t xml:space="preserve">With the harness configured, working with an AI to generate plans and analyze data is more efficient by using tools, skills and Model Context Protocols (MCPs) to do common research tasks such as search for and verify references, write and run code, organize and manage files, and simulate peer review. A tool performs a single computer action and returns a result, such as reading, editing and renaming a file, or running R code. A skill is a simple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file’s contents are sent to the model as part of the prompt. For example, we have a skill file for tidyverse conventions in R. When we ask for R code, the harness loads that file into the context and sends it to the model along with the rest of the prompt, and the output follows those instructions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MCP servers and skills we currently use and recommend for archaeological work. These are open formats so you can work with your agent to write new skills and MCP servers to meet the needs of your specific projects.</w:t>
      </w:r>
    </w:p>
    <w:tbl>
      <w:tblPr>
        <w:tblStyle w:val="Table"/>
        <w:tblW w:type="pct" w:w="5000"/>
        <w:tblLook w:firstRow="0" w:lastRow="0" w:firstColumn="0" w:lastColumn="0" w:noHBand="0" w:noVBand="0" w:val="0000"/>
        <w:jc w:val="start"/>
        <w:tblLayout w:type="fixed"/>
      </w:tblPr>
      <w:tblGrid>
        <w:gridCol w:w="7920"/>
      </w:tblGrid>
      <w:tr>
        <w:tc>
          <w:tcPr/>
          <w:bookmarkStart w:id="31" w:name="tbl-stack"/>
          <w:p>
            <w:pPr>
              <w:jc w:val="left"/>
            </w:pPr>
            <w:pPr>
              <w:jc w:val="start"/>
              <w:spacing w:before="200"/>
              <w:pStyle w:val="ImageCaption"/>
            </w:pPr>
            <w:r>
              <w:t xml:space="preserve">Table 5: Instructions, MCP servers and skills installed in our OpenCode configuration that we have found useful for assistance with routine research tasks. The source column refers to repositories on github.com and publications. Readers can copy-paste this table into their AI agent and ask it to install the skills and MCP servers for global availability across their projects. This list is a snapshot of a fast-moving field: some of these projects may disappear, and better ones may soon replace them. Ask your AI agent to search for the current state-of-the-art skills and MCP servers for your specific purpose. The access date for all repositories in this table was 1 Oct 2026.</w:t>
            </w:r>
          </w:p>
          <w:tbl>
            <w:tblPr>
              <w:tblStyle w:val="Table"/>
              <w:tblW w:type="pct" w:w="5000"/>
              <w:tblLook w:firstRow="1" w:lastRow="0" w:firstColumn="0" w:lastColumn="0" w:noHBand="0" w:noVBand="0" w:val="0020"/>
              <w:jc w:val="start"/>
              <w:tblLayout w:type="fixed"/>
            </w:tblPr>
            <w:tblGrid>
              <w:gridCol w:w="633"/>
              <w:gridCol w:w="1584"/>
              <w:gridCol w:w="3484"/>
              <w:gridCol w:w="1267"/>
              <w:gridCol w:w="950"/>
            </w:tblGrid>
            <w:tr>
              <w:trPr>
                <w:tblHeader w:val="true"/>
              </w:trPr>
              <w:tc>
                <w:tcPr/>
                <w:p>
                  <w:pPr>
                    <w:pStyle w:val="Compact"/>
                    <w:jc w:val="left"/>
                    <w:jc w:val="left"/>
                  </w:pPr>
                  <w:r>
                    <w:t xml:space="preserve">Type</w:t>
                  </w:r>
                </w:p>
              </w:tc>
              <w:tc>
                <w:tcPr/>
                <w:p>
                  <w:pPr>
                    <w:pStyle w:val="Compact"/>
                    <w:jc w:val="left"/>
                    <w:jc w:val="left"/>
                  </w:pPr>
                  <w:r>
                    <w:t xml:space="preserve">Name</w:t>
                  </w:r>
                </w:p>
              </w:tc>
              <w:tc>
                <w:tcPr/>
                <w:p>
                  <w:pPr>
                    <w:pStyle w:val="Compact"/>
                    <w:jc w:val="left"/>
                    <w:jc w:val="left"/>
                  </w:pPr>
                  <w:r>
                    <w:t xml:space="preserve">Purpose</w:t>
                  </w:r>
                </w:p>
              </w:tc>
              <w:tc>
                <w:tcPr/>
                <w:p>
                  <w:pPr>
                    <w:pStyle w:val="Compact"/>
                    <w:jc w:val="left"/>
                    <w:jc w:val="left"/>
                  </w:pPr>
                  <w:r>
                    <w:t xml:space="preserve">Source</w:t>
                  </w:r>
                </w:p>
              </w:tc>
              <w:tc>
                <w:tcPr/>
                <w:p>
                  <w:pPr>
                    <w:pStyle w:val="Compact"/>
                    <w:jc w:val="left"/>
                    <w:jc w:val="left"/>
                  </w:pPr>
                  <w:r>
                    <w:t xml:space="preserve">License</w:t>
                  </w:r>
                </w:p>
              </w:tc>
            </w:tr>
            <w:tr>
              <w:tc>
                <w:tcPr/>
                <w:p>
                  <w:pPr>
                    <w:pStyle w:val="Compact"/>
                    <w:jc w:val="left"/>
                    <w:jc w:val="left"/>
                  </w:pPr>
                  <w:r>
                    <w:t xml:space="preserve">Instructions</w:t>
                  </w:r>
                </w:p>
              </w:tc>
              <w:tc>
                <w:tcPr/>
                <w:p>
                  <w:pPr>
                    <w:pStyle w:val="Compact"/>
                    <w:jc w:val="left"/>
                    <w:jc w:val="left"/>
                  </w:pPr>
                  <w:r>
                    <w:t xml:space="preserve">global AGENTS.md</w:t>
                  </w:r>
                </w:p>
              </w:tc>
              <w:tc>
                <w:tcPr/>
                <w:p>
                  <w:pPr>
                    <w:pStyle w:val="Compact"/>
                    <w:jc w:val="left"/>
                    <w:jc w:val="left"/>
                  </w:pPr>
                  <w:r>
                    <w:t xml:space="preserve">Global preferences and working habits applied across all projects</w:t>
                  </w:r>
                </w:p>
              </w:tc>
              <w:tc>
                <w:tcPr/>
                <w:p>
                  <w:pPr>
                    <w:pStyle w:val="Compact"/>
                    <w:jc w:val="left"/>
                    <w:jc w:val="left"/>
                  </w:pPr>
                  <w:r>
                    <w:t xml:space="preserve">local</w:t>
                  </w:r>
                </w:p>
              </w:tc>
              <w:tc>
                <w:tcPr/>
                <w:p>
                  <w:pPr>
                    <w:pStyle w:val="Compact"/>
                    <w:jc w:val="left"/>
                    <w:jc w:val="left"/>
                  </w:pPr>
                  <w:r>
                    <w:t xml:space="preserve">MIT</w:t>
                  </w:r>
                </w:p>
              </w:tc>
            </w:tr>
            <w:tr>
              <w:tc>
                <w:tcPr/>
                <w:p>
                  <w:pPr>
                    <w:pStyle w:val="Compact"/>
                    <w:jc w:val="left"/>
                    <w:jc w:val="left"/>
                  </w:pPr>
                  <w:r>
                    <w:t xml:space="preserve">Instructions</w:t>
                  </w:r>
                </w:p>
              </w:tc>
              <w:tc>
                <w:tcPr/>
                <w:p>
                  <w:pPr>
                    <w:pStyle w:val="Compact"/>
                    <w:jc w:val="left"/>
                    <w:jc w:val="left"/>
                  </w:pPr>
                  <w:r>
                    <w:t xml:space="preserve">project-specific AGENTS.md</w:t>
                  </w:r>
                </w:p>
              </w:tc>
              <w:tc>
                <w:tcPr/>
                <w:p>
                  <w:pPr>
                    <w:pStyle w:val="Compact"/>
                    <w:jc w:val="left"/>
                    <w:jc w:val="left"/>
                  </w:pPr>
                  <w:r>
                    <w:t xml:space="preserve">Specific custom project context and instructions auto-loaded at the start of each session</w:t>
                  </w:r>
                </w:p>
              </w:tc>
              <w:tc>
                <w:tcPr/>
                <w:p>
                  <w:pPr>
                    <w:pStyle w:val="Compact"/>
                    <w:jc w:val="left"/>
                    <w:jc w:val="left"/>
                  </w:pPr>
                  <w:r>
                    <w:t xml:space="preserve">local</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deep-research</w:t>
                  </w:r>
                </w:p>
              </w:tc>
              <w:tc>
                <w:tcPr/>
                <w:p>
                  <w:pPr>
                    <w:pStyle w:val="Compact"/>
                    <w:jc w:val="left"/>
                    <w:jc w:val="left"/>
                  </w:pPr>
                  <w:r>
                    <w:t xml:space="preserve">Agent team for literature search verification synthesis and systematic review</w:t>
                  </w:r>
                </w:p>
              </w:tc>
              <w:tc>
                <w:tcPr/>
                <w:p>
                  <w:pPr>
                    <w:pStyle w:val="Compact"/>
                    <w:jc w:val="left"/>
                    <w:jc w:val="left"/>
                  </w:pPr>
                  <w:r>
                    <w:t xml:space="preserve">pafozz/hermes-deep-research</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r-style-guide</w:t>
                  </w:r>
                </w:p>
              </w:tc>
              <w:tc>
                <w:tcPr/>
                <w:p>
                  <w:pPr>
                    <w:pStyle w:val="Compact"/>
                    <w:jc w:val="left"/>
                    <w:jc w:val="left"/>
                  </w:pPr>
                  <w:r>
                    <w:t xml:space="preserve">Conventions for writing R, e.g. naming, spacing, layout, function design</w:t>
                  </w:r>
                </w:p>
              </w:tc>
              <w:tc>
                <w:tcPr/>
                <w:p>
                  <w:pPr>
                    <w:pStyle w:val="Compact"/>
                    <w:jc w:val="left"/>
                    <w:jc w:val="left"/>
                  </w:pPr>
                  <w:r>
                    <w:t xml:space="preserve">ab604/claude-code-r-skills</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tidyverse-patterns</w:t>
                  </w:r>
                </w:p>
              </w:tc>
              <w:tc>
                <w:tcPr/>
                <w:p>
                  <w:pPr>
                    <w:pStyle w:val="Compact"/>
                    <w:jc w:val="left"/>
                    <w:jc w:val="left"/>
                  </w:pPr>
                  <w:r>
                    <w:t xml:space="preserve">Conventions for using tidyverse packages, e.g. modern pipes, joins, grouping, string handling</w:t>
                  </w:r>
                </w:p>
              </w:tc>
              <w:tc>
                <w:tcPr/>
                <w:p>
                  <w:pPr>
                    <w:pStyle w:val="Compact"/>
                    <w:jc w:val="left"/>
                    <w:jc w:val="left"/>
                  </w:pPr>
                  <w:r>
                    <w:t xml:space="preserve">ab604/claude-code-r-skills</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quarto-authoring</w:t>
                  </w:r>
                </w:p>
              </w:tc>
              <w:tc>
                <w:tcPr/>
                <w:p>
                  <w:pPr>
                    <w:pStyle w:val="Compact"/>
                    <w:jc w:val="left"/>
                    <w:jc w:val="left"/>
                  </w:pPr>
                  <w:r>
                    <w:t xml:space="preserve">Authoring with Quarto documents, e.g. cross-references, citations, and extensions</w:t>
                  </w:r>
                </w:p>
              </w:tc>
              <w:tc>
                <w:tcPr/>
                <w:p>
                  <w:pPr>
                    <w:pStyle w:val="Compact"/>
                    <w:jc w:val="left"/>
                    <w:jc w:val="left"/>
                  </w:pPr>
                  <w:r>
                    <w:t xml:space="preserve">posit-dev/skills</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zotero-cli</w:t>
                  </w:r>
                </w:p>
              </w:tc>
              <w:tc>
                <w:tcPr/>
                <w:p>
                  <w:pPr>
                    <w:pStyle w:val="Compact"/>
                    <w:jc w:val="left"/>
                    <w:jc w:val="left"/>
                  </w:pPr>
                  <w:r>
                    <w:t xml:space="preserve">Searches, reads, and annotates the author’s Zotero library from the shell</w:t>
                  </w:r>
                </w:p>
              </w:tc>
              <w:tc>
                <w:tcPr/>
                <w:p>
                  <w:pPr>
                    <w:pStyle w:val="Compact"/>
                    <w:jc w:val="left"/>
                    <w:jc w:val="left"/>
                  </w:pPr>
                  <w:r>
                    <w:t xml:space="preserve">Agents365-ai/zotero-cli-ai</w:t>
                  </w:r>
                </w:p>
              </w:tc>
              <w:tc>
                <w:tcPr/>
                <w:p>
                  <w:pPr>
                    <w:pStyle w:val="Compact"/>
                    <w:jc w:val="left"/>
                    <w:jc w:val="left"/>
                  </w:pPr>
                  <w:r>
                    <w:t xml:space="preserve">AGPL-3.0</w:t>
                  </w:r>
                </w:p>
              </w:tc>
            </w:tr>
            <w:tr>
              <w:tc>
                <w:tcPr/>
                <w:p>
                  <w:pPr>
                    <w:pStyle w:val="Compact"/>
                    <w:jc w:val="left"/>
                    <w:jc w:val="left"/>
                  </w:pPr>
                  <w:r>
                    <w:t xml:space="preserve">Skill</w:t>
                  </w:r>
                </w:p>
              </w:tc>
              <w:tc>
                <w:tcPr/>
                <w:p>
                  <w:pPr>
                    <w:pStyle w:val="Compact"/>
                    <w:jc w:val="left"/>
                    <w:jc w:val="left"/>
                  </w:pPr>
                  <w:r>
                    <w:t xml:space="preserve">paperdoctor</w:t>
                  </w:r>
                </w:p>
              </w:tc>
              <w:tc>
                <w:tcPr/>
                <w:p>
                  <w:pPr>
                    <w:pStyle w:val="Compact"/>
                    <w:jc w:val="left"/>
                    <w:jc w:val="left"/>
                  </w:pPr>
                  <w:r>
                    <w:t xml:space="preserve">Suite of skills that reviews a manuscript in progress by checking its claims, code, math, references and visual layout, then renders every finding into one interactive HTML report</w:t>
                  </w:r>
                </w:p>
              </w:tc>
              <w:tc>
                <w:tcPr/>
                <w:p>
                  <w:pPr>
                    <w:pStyle w:val="Compact"/>
                    <w:jc w:val="left"/>
                    <w:jc w:val="left"/>
                  </w:pPr>
                  <w:r>
                    <w:t xml:space="preserve">QinghongLin/paperdoctor,</w:t>
                  </w:r>
                  <w:r>
                    <w:t xml:space="preserve"> </w:t>
                  </w:r>
                  <w:r>
                    <w:t xml:space="preserve">Lin et al. (2026)</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open-scholar-skill</w:t>
                  </w:r>
                </w:p>
              </w:tc>
              <w:tc>
                <w:tcPr/>
                <w:p>
                  <w:pPr>
                    <w:pStyle w:val="Compact"/>
                    <w:jc w:val="left"/>
                    <w:jc w:val="left"/>
                  </w:pPr>
                  <w:r>
                    <w:t xml:space="preserve">Suite of skills for assisting with social science research through a pipeline of verification gates, e.g. idea generation, theory exploration, study design, analysis, ethics, etc</w:t>
                  </w:r>
                </w:p>
              </w:tc>
              <w:tc>
                <w:tcPr/>
                <w:p>
                  <w:pPr>
                    <w:pStyle w:val="Compact"/>
                    <w:jc w:val="left"/>
                    <w:jc w:val="left"/>
                  </w:pPr>
                  <w:r>
                    <w:t xml:space="preserve">joshzyj/open-scholar-skill,</w:t>
                  </w:r>
                  <w:r>
                    <w:t xml:space="preserve"> </w:t>
                  </w:r>
                  <w:r>
                    <w:t xml:space="preserve">Zhang (2026)</w:t>
                  </w:r>
                </w:p>
              </w:tc>
              <w:tc>
                <w:tcPr/>
                <w:p>
                  <w:pPr>
                    <w:pStyle w:val="Compact"/>
                    <w:jc w:val="left"/>
                    <w:jc w:val="left"/>
                  </w:pPr>
                  <w:r>
                    <w:t xml:space="preserve">Custom License for non-commercial, academic use,</w:t>
                  </w:r>
                </w:p>
              </w:tc>
            </w:tr>
            <w:tr>
              <w:tc>
                <w:tcPr/>
                <w:p>
                  <w:pPr>
                    <w:pStyle w:val="Compact"/>
                    <w:jc w:val="left"/>
                    <w:jc w:val="left"/>
                  </w:pPr>
                  <w:r>
                    <w:t xml:space="preserve">Skill</w:t>
                  </w:r>
                </w:p>
              </w:tc>
              <w:tc>
                <w:tcPr/>
                <w:p>
                  <w:pPr>
                    <w:pStyle w:val="Compact"/>
                    <w:jc w:val="left"/>
                    <w:jc w:val="left"/>
                  </w:pPr>
                  <w:r>
                    <w:t xml:space="preserve">manuscript-writing-review</w:t>
                  </w:r>
                </w:p>
              </w:tc>
              <w:tc>
                <w:tcPr/>
                <w:p>
                  <w:pPr>
                    <w:pStyle w:val="Compact"/>
                    <w:jc w:val="left"/>
                    <w:jc w:val="left"/>
                  </w:pPr>
                  <w:r>
                    <w:t xml:space="preserve">Reviews a scientific or engineering manuscript for writing quality, e.g. clutter, passive voice, sentence architecture, keyword consistency, and numerical or citation errors</w:t>
                  </w:r>
                </w:p>
              </w:tc>
              <w:tc>
                <w:tcPr/>
                <w:p>
                  <w:pPr>
                    <w:pStyle w:val="Compact"/>
                    <w:jc w:val="left"/>
                    <w:jc w:val="left"/>
                  </w:pPr>
                  <w:r>
                    <w:t xml:space="preserve">labarba/sciwrite</w:t>
                  </w:r>
                </w:p>
              </w:tc>
              <w:tc>
                <w:tcPr/>
                <w:p>
                  <w:pPr>
                    <w:pStyle w:val="Compact"/>
                    <w:jc w:val="left"/>
                    <w:jc w:val="left"/>
                  </w:pPr>
                  <w:r>
                    <w:t xml:space="preserve">CC-BY-4.0</w:t>
                  </w:r>
                </w:p>
              </w:tc>
            </w:tr>
            <w:tr>
              <w:tc>
                <w:tcPr/>
                <w:p>
                  <w:pPr>
                    <w:pStyle w:val="Compact"/>
                    <w:jc w:val="left"/>
                    <w:jc w:val="left"/>
                  </w:pPr>
                  <w:r>
                    <w:t xml:space="preserve">MCP</w:t>
                  </w:r>
                </w:p>
              </w:tc>
              <w:tc>
                <w:tcPr/>
                <w:p>
                  <w:pPr>
                    <w:pStyle w:val="Compact"/>
                    <w:jc w:val="left"/>
                    <w:jc w:val="left"/>
                  </w:pPr>
                  <w:r>
                    <w:t xml:space="preserve">r-mcptools</w:t>
                  </w:r>
                </w:p>
              </w:tc>
              <w:tc>
                <w:tcPr/>
                <w:p>
                  <w:pPr>
                    <w:pStyle w:val="Compact"/>
                    <w:jc w:val="left"/>
                    <w:jc w:val="left"/>
                  </w:pPr>
                  <w:r>
                    <w:t xml:space="preserve">Exposes a running R session so the agent can execute code and read results</w:t>
                  </w:r>
                </w:p>
              </w:tc>
              <w:tc>
                <w:tcPr/>
                <w:p>
                  <w:pPr>
                    <w:pStyle w:val="Compact"/>
                    <w:jc w:val="left"/>
                    <w:jc w:val="left"/>
                  </w:pPr>
                  <w:r>
                    <w:t xml:space="preserve">posit-dev/mcptools</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refcheck</w:t>
                  </w:r>
                </w:p>
              </w:tc>
              <w:tc>
                <w:tcPr/>
                <w:p>
                  <w:pPr>
                    <w:pStyle w:val="Compact"/>
                    <w:jc w:val="left"/>
                    <w:jc w:val="left"/>
                  </w:pPr>
                  <w:r>
                    <w:t xml:space="preserve">Searches publication databases and returns verified references with BibTeX</w:t>
                  </w:r>
                </w:p>
              </w:tc>
              <w:tc>
                <w:tcPr/>
                <w:p>
                  <w:pPr>
                    <w:pStyle w:val="Compact"/>
                    <w:jc w:val="left"/>
                    <w:jc w:val="left"/>
                  </w:pPr>
                  <w:r>
                    <w:t xml:space="preserve">benchoi93/refcheck</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scholar_mcp</w:t>
                  </w:r>
                </w:p>
              </w:tc>
              <w:tc>
                <w:tcPr/>
                <w:p>
                  <w:pPr>
                    <w:pStyle w:val="Compact"/>
                    <w:jc w:val="left"/>
                    <w:jc w:val="left"/>
                  </w:pPr>
                  <w:r>
                    <w:t xml:space="preserve">Searches Google Scholar and other sources by keywords and then reads inside papers</w:t>
                  </w:r>
                </w:p>
              </w:tc>
              <w:tc>
                <w:tcPr/>
                <w:p>
                  <w:pPr>
                    <w:pStyle w:val="Compact"/>
                    <w:jc w:val="left"/>
                    <w:jc w:val="left"/>
                  </w:pPr>
                  <w:r>
                    <w:t xml:space="preserve">Liyux3/scholar-mcp</w:t>
                  </w:r>
                </w:p>
              </w:tc>
              <w:tc>
                <w:tcPr/>
                <w:p>
                  <w:pPr>
                    <w:pStyle w:val="Compact"/>
                    <w:jc w:val="left"/>
                    <w:jc w:val="left"/>
                  </w:pPr>
                  <w:r>
                    <w:t xml:space="preserve">Apache-2.0</w:t>
                  </w:r>
                </w:p>
              </w:tc>
            </w:tr>
            <w:tr>
              <w:tc>
                <w:tcPr/>
                <w:p>
                  <w:pPr>
                    <w:pStyle w:val="Compact"/>
                    <w:jc w:val="left"/>
                    <w:jc w:val="left"/>
                  </w:pPr>
                  <w:r>
                    <w:t xml:space="preserve">MCP</w:t>
                  </w:r>
                </w:p>
              </w:tc>
              <w:tc>
                <w:tcPr/>
                <w:p>
                  <w:pPr>
                    <w:pStyle w:val="Compact"/>
                    <w:jc w:val="left"/>
                    <w:jc w:val="left"/>
                  </w:pPr>
                  <w:r>
                    <w:t xml:space="preserve">markitdown</w:t>
                  </w:r>
                </w:p>
              </w:tc>
              <w:tc>
                <w:tcPr/>
                <w:p>
                  <w:pPr>
                    <w:pStyle w:val="Compact"/>
                    <w:jc w:val="left"/>
                    <w:jc w:val="left"/>
                  </w:pPr>
                  <w:r>
                    <w:t xml:space="preserve">Converts DOCX files, PDFs and web pages to markdown the agent can read</w:t>
                  </w:r>
                </w:p>
              </w:tc>
              <w:tc>
                <w:tcPr/>
                <w:p>
                  <w:pPr>
                    <w:pStyle w:val="Compact"/>
                    <w:jc w:val="left"/>
                    <w:jc w:val="left"/>
                  </w:pPr>
                  <w:r>
                    <w:t xml:space="preserve">microsoft/markitdown</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open-scholar-peer</w:t>
                  </w:r>
                </w:p>
              </w:tc>
              <w:tc>
                <w:tcPr/>
                <w:p>
                  <w:pPr>
                    <w:pStyle w:val="Compact"/>
                    <w:jc w:val="left"/>
                    <w:jc w:val="left"/>
                  </w:pPr>
                  <w:r>
                    <w:t xml:space="preserve">An open source implementation of ScholarPeer: A Context-Aware Multi-Agent Framework for Automated Peer Review</w:t>
                  </w:r>
                </w:p>
              </w:tc>
              <w:tc>
                <w:tcPr/>
                <w:p>
                  <w:pPr>
                    <w:pStyle w:val="Compact"/>
                    <w:jc w:val="left"/>
                    <w:jc w:val="left"/>
                  </w:pPr>
                  <w:r>
                    <w:t xml:space="preserve">amirkiarafiei/open-scholar-peer,</w:t>
                  </w:r>
                  <w:r>
                    <w:t xml:space="preserve"> </w:t>
                  </w:r>
                  <w:r>
                    <w:t xml:space="preserve">Goyal et al. (2026)</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playwright</w:t>
                  </w:r>
                </w:p>
              </w:tc>
              <w:tc>
                <w:tcPr/>
                <w:p>
                  <w:pPr>
                    <w:pStyle w:val="Compact"/>
                    <w:jc w:val="left"/>
                    <w:jc w:val="left"/>
                  </w:pPr>
                  <w:r>
                    <w:t xml:space="preserve">Provides browser automation capabilities for LLMs, allowing AI agents to interact with web pages</w:t>
                  </w:r>
                </w:p>
              </w:tc>
              <w:tc>
                <w:tcPr/>
                <w:p>
                  <w:pPr>
                    <w:pStyle w:val="Compact"/>
                    <w:jc w:val="left"/>
                    <w:jc w:val="left"/>
                  </w:pPr>
                  <w:r>
                    <w:t xml:space="preserve">microsoft/playwright-mcp</w:t>
                  </w:r>
                </w:p>
              </w:tc>
              <w:tc>
                <w:tcPr/>
                <w:p>
                  <w:pPr>
                    <w:pStyle w:val="Compact"/>
                    <w:jc w:val="left"/>
                    <w:jc w:val="left"/>
                  </w:pPr>
                  <w:r>
                    <w:t xml:space="preserve">Apache-2.0</w:t>
                  </w:r>
                </w:p>
              </w:tc>
            </w:tr>
          </w:tbl>
          <w:bookmarkEnd w:id="31"/>
          <w:p/>
        </w:tc>
      </w:tr>
    </w:tbl>
    <w:p>
      <w:pPr>
        <w:pStyle w:val="BodyText"/>
      </w:pPr>
      <w:r>
        <w:t xml:space="preserve">As an example of how these additions work, consider what happens if we give our agent the command</w:t>
      </w:r>
      <w:r>
        <w:t xml:space="preserve"> </w:t>
      </w:r>
      <w:r>
        <w:t xml:space="preserve">“</w:t>
      </w:r>
      <w:r>
        <w:t xml:space="preserve">deeply research the debates about the peopling of the Americas</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 multiple agents for search, verification, and synthesis. Retrieval</w:t>
      </w:r>
      <w:r>
        <w:t xml:space="preserve"> </w:t>
      </w:r>
      <w:r>
        <w:rPr>
          <w:iCs/>
          <w:i/>
        </w:rPr>
        <w:t xml:space="preserve">tools</w:t>
      </w:r>
      <w:r>
        <w:t xml:space="preserve"> </w:t>
      </w:r>
      <w:r>
        <w:t xml:space="preserve">fetch scholarly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into your project-level bibtex file or to your Zotero library for reuse across multiple projects. Skills guide the agent but cannot force compliance, so you need to review the completeness and accuracy of results before incorporating them into your work.</w:t>
      </w:r>
    </w:p>
    <w:p>
      <w:pPr>
        <w:pStyle w:val="BodyText"/>
      </w:pPr>
      <w:r>
        <w:t xml:space="preserve">Skill files can assist with automated manuscript review to prepare your work for human review. For example,</w:t>
      </w:r>
      <w:r>
        <w:t xml:space="preserve"> </w:t>
      </w:r>
      <w:r>
        <w:t xml:space="preserve">Lin et al. (2026)</w:t>
      </w:r>
      <w:r>
        <w:t xml:space="preserve"> </w:t>
      </w:r>
      <w:r>
        <w:t xml:space="preserve">describe PaperDoctor, an agent framework that checks a draft’s claims against its code, prior work, references and visual layout, returns each finding with a pointer to the supporting evidence and a suggested revision. In their evaluation it reached 71% agreement with human advisers across 30 in-progress papers, so you should expect to disagree with some findings and check each one before revising. We recommend multiple iterations with literature search, verification, and manuscript review skills and MCP servers, adjusting the prompt each time to steer the model to focus on different areas of your project.</w:t>
      </w:r>
    </w:p>
    <w:p>
      <w:pPr>
        <w:pStyle w:val="BodyText"/>
      </w:pPr>
      <w:r>
        <w:t xml:space="preserve">Aided by tools, skills and MCP servers, you can direct AI agents to very efficiently and accurately extract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(Moorthy et al. 2026)</w:t>
      </w:r>
      <w:r>
        <w:t xml:space="preserve">, though no single model dominates all extraction tasks, so you should test several model-prompt pairings. Before using machine-coded variables, you should define them in detail, compare an AI-collected sample against human coding, and document errors.</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For example, to plan and write code for a stone artifact analysis with an AI agent, we recommend the following:</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This might include the geographic location of the assemblage, associated radiocarbon ages, lithic typology, etc.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 the model with your goals.</w:t>
      </w:r>
    </w:p>
    <w:p>
      <w:pPr>
        <w:numPr>
          <w:ilvl w:val="0"/>
          <w:numId w:val="1001"/>
        </w:numPr>
        <w:pStyle w:val="Compact"/>
      </w:pPr>
      <w:r>
        <w:t xml:space="preserve">Include the dataset in the prompt, or a narrative summary of the data, or a synthetic version generated by a local LLM. For a stone artifact assemblage this could simply be mentioning the raw data file in your prompt, e.g. </w:t>
      </w:r>
      <w:r>
        <w:t xml:space="preserve">‘</w:t>
      </w:r>
      <w:r>
        <w:t xml:space="preserve">Look at my data in</w:t>
      </w:r>
      <w:r>
        <w:t xml:space="preserve"> </w:t>
      </w:r>
      <w:r>
        <w:rPr>
          <w:rStyle w:val="VerbatimChar"/>
        </w:rPr>
        <w:t xml:space="preserve">@analysis/data/stone-artifact-data.csv</w:t>
      </w:r>
      <w:r>
        <w:t xml:space="preserve">’</w:t>
      </w:r>
      <w:r>
        <w:t xml:space="preserve">, that directs the agent to read the data file. Include a data dictionary that defines the variables, for example, maximum length, technological length, maximum dimension, etc. Including your data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the names of widely used R packages relevant to your work, DOIs to exemplary studies similar to what you want to do, or technical methodological literature that describes relevant methods and best practices in detail</w:t>
      </w:r>
      <w:r>
        <w:t xml:space="preserve"> </w:t>
      </w:r>
      <w:r>
        <w:t xml:space="preserve">(Brown and Spillias 2026)</w:t>
      </w:r>
      <w:r>
        <w:t xml:space="preserve">. For a stone artifact analysis we would request the agent use to the FactoMineR and factoextra R packages for the multivariate analyses and follow the guidance in</w:t>
      </w:r>
      <w:r>
        <w:t xml:space="preserve"> </w:t>
      </w:r>
      <w:r>
        <w:t xml:space="preserve">Greenacre et al. (2022)</w:t>
      </w:r>
      <w:r>
        <w:t xml:space="preserve">. Use the agent’s tools to retrieve the literature specific to your analysis.</w:t>
      </w:r>
    </w:p>
    <w:p>
      <w:pPr>
        <w:numPr>
          <w:ilvl w:val="0"/>
          <w:numId w:val="1001"/>
        </w:numPr>
        <w:pStyle w:val="Compact"/>
      </w:pPr>
      <w:r>
        <w:t xml:space="preserve">Include instructions for the model to evaluate its code for correctness and completeness before stopping. This sets the agent to work in a loop: generate code -&gt; run it -&gt; test it -&gt; fix any errors -&gt; repeat until your evaluation criteria have been satisfied. Specifying evaluation criteria and instructing the model to debug itself improves the accuracy of output</w:t>
      </w:r>
      <w:r>
        <w:t xml:space="preserve"> </w:t>
      </w:r>
      <w:r>
        <w:t xml:space="preserve">(Chen et al. 2023)</w:t>
      </w:r>
      <w:r>
        <w:t xml:space="preserve">.</w:t>
      </w:r>
    </w:p>
    <w:p>
      <w:pPr>
        <w:pStyle w:val="FirstParagraph"/>
      </w:pPr>
      <w:r>
        <w:t xml:space="preserve">Tools that execute code can expose errors for inspection, but even automated correction still needs expert review.</w:t>
      </w:r>
      <w:r>
        <w:t xml:space="preserve"> </w:t>
      </w:r>
      <w:r>
        <w:t xml:space="preserve">Brown, Aitken, et al. (2026)</w:t>
      </w:r>
      <w:r>
        <w:t xml:space="preserve"> </w:t>
      </w:r>
      <w:r>
        <w:t xml:space="preserve">tested agentic workflows for ecological and fisheries modeling and found variable accuracy and failures to follow instructions. When code fails, check whether the proposed correction preserves the method you planned to use. Do not accept a different analysis simply because it runs. Agents also change methods without flagging it, for example,</w:t>
      </w:r>
      <w:r>
        <w:t xml:space="preserve"> </w:t>
      </w:r>
      <w:r>
        <w:t xml:space="preserve">Brown, Aitken, et al. (2026)</w:t>
      </w:r>
      <w:r>
        <w:t xml:space="preserve"> </w:t>
      </w:r>
      <w:r>
        <w:t xml:space="preserve">found that one agent swapped a requested bootstrap interval for a t-distribution interval, so it is necessary for you to read the code generated by the agent, not just its summary.</w:t>
      </w:r>
    </w:p>
    <w:tbl>
      <w:tblPr>
        <w:tblStyle w:val="Table"/>
        <w:tblW w:type="pct" w:w="5000"/>
        <w:tblLook w:firstRow="0" w:lastRow="0" w:firstColumn="0" w:lastColumn="0" w:noHBand="0" w:noVBand="0" w:val="0000"/>
        <w:jc w:val="start"/>
        <w:tblLayout w:type="fixed"/>
      </w:tblPr>
      <w:tblGrid>
        <w:gridCol w:w="7920"/>
      </w:tblGrid>
      <w:tr>
        <w:tc>
          <w:tcPr/>
          <w:bookmarkStart w:id="35" w:name="fig-workflow"/>
          <w:p>
            <w:pPr>
              <w:pStyle w:val="Compact"/>
              <w:jc w:val="center"/>
            </w:pPr>
            <w:r>
              <w:drawing>
                <wp:inline>
                  <wp:extent cx="5943600" cy="3566160"/>
                  <wp:effectExtent b="0" l="0" r="0" t="0"/>
                  <wp:docPr descr="" title="" id="33" name="Picture"/>
                  <a:graphic>
                    <a:graphicData uri="http://schemas.openxmlformats.org/drawingml/2006/picture">
                      <pic:pic>
                        <pic:nvPicPr>
                          <pic:cNvPr descr="../figures/fig-workflow.png" id="34" name="Picture"/>
                          <pic:cNvPicPr>
                            <a:picLocks noChangeArrowheads="1" noChangeAspect="1"/>
                          </pic:cNvPicPr>
                        </pic:nvPicPr>
                        <pic:blipFill>
                          <a:blip r:embed="rId32"/>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researcher-directed agentic workflow. Research, plan, execute, and verify proceed left to right, with the researcher directing at every stage and the agent acting underneath, invoking tools, skills and MCP servers in multi-step, long-running tasks to achieve the goals set by the researchers. The research and planning steps may involve several rounds of iteration and refinement, as indicated by the bi-directional arrows between the researcher and the agent for those steps. Execution and verification are critical decision points for the researcher. Rejecting the agent’s work includes looping back to update the plan to steer the agent into alignment with you. Each stage writes to a record that is inspectable by you and others: Git commits, updates to plan.md, the Quarto report, and the verified bibliography.</w:t>
            </w:r>
          </w:p>
          <w:bookmarkEnd w:id="35"/>
        </w:tc>
      </w:tr>
    </w:tbl>
    <w:bookmarkEnd w:id="36"/>
    <w:bookmarkStart w:id="37" w:name="discussion-and-conclusion"/>
    <w:p>
      <w:pPr>
        <w:pStyle w:val="Heading1"/>
      </w:pPr>
      <w:r>
        <w:t xml:space="preserve">Discussion and Conclusion</w:t>
      </w:r>
    </w:p>
    <w:p>
      <w:pPr>
        <w:pStyle w:val="FirstParagraph"/>
      </w:pPr>
      <w:r>
        <w:t xml:space="preserve">The three practices described here assign distinct responsibilities to you as the researcher. Familiarity with R, Quarto, and Git supports efficient and transparent interaction with AI agents, supporting your inspection of calculations, reports, and changes. Harness configuration allows you to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w:t>
      </w:r>
      <w:r>
        <w:t xml:space="preserve">. Our practices draw on norms emerging from the broad adoption of AI in science, and the broad consensus across diverse research communities that AI should be used appropriately and transparently as a tool that requires expert humans to judge, verify, and take responsibility for the outputs</w:t>
      </w:r>
      <w:r>
        <w:t xml:space="preserve"> </w:t>
      </w:r>
      <w:r>
        <w:t xml:space="preserve">(Codreanu et al. 2026; National Academies of Sciences, Engineering, and Medicine 2026; The Royal Society 2024)</w:t>
      </w:r>
      <w:r>
        <w:t xml:space="preserve">.</w:t>
      </w:r>
    </w:p>
    <w:p>
      <w:pPr>
        <w:pStyle w:val="BodyText"/>
      </w:pPr>
      <w:r>
        <w:t xml:space="preserve">The paper’s specific contribution is an auditable, researcher-directed workflow for AI-assisted archaeological data analysis (</w:t>
      </w:r>
      <w:hyperlink w:anchor="fig-workflow">
        <w:r>
          <w:rPr>
            <w:rStyle w:val="Hyperlink"/>
          </w:rPr>
          <w:t xml:space="preserve">Figure 2</w:t>
        </w:r>
      </w:hyperlink>
      <w:r>
        <w:t xml:space="preserve">). It links archaeological competence, project-level permissions, and checkable agent actions in a project so that the plan, code, source records, and rendered report remain available for review. The advance in this paper comes from the integration of recently developed agentic AI technologies into a three-practice structure for responsible archaeological analysis. Our three practices address a key issue surrounding the adoption of LLMs by archaeologists, namely the integration of AI tools into existing workflows</w:t>
      </w:r>
      <w:r>
        <w:t xml:space="preserve"> </w:t>
      </w:r>
      <w:r>
        <w:t xml:space="preserve">(Cardarelli and Ragno 2026)</w:t>
      </w:r>
      <w:r>
        <w:t xml:space="preserve">.</w:t>
      </w:r>
    </w:p>
    <w:p>
      <w:pPr>
        <w:pStyle w:val="BodyText"/>
      </w:pPr>
      <w:r>
        <w:t xml:space="preserve">Although agentic AI has potential to make research work more efficient, it has some limitations and failure points. It can fail to follow instructions, and its scientific reasoning can be flawed</w:t>
      </w:r>
      <w:r>
        <w:t xml:space="preserve"> </w:t>
      </w:r>
      <w:r>
        <w:t xml:space="preserve">(Brown, Aitken, et al. 2026)</w:t>
      </w:r>
      <w:r>
        <w:t xml:space="preserve">. Furthermore, there is some setup time required to install and configure agentic software, and working with restricted archaeological data requires local-only, non-remote configurations that require some expertise. Unskilled use of AI can result in it generating plans for analyses that are statistically invalid or have low statistical power</w:t>
      </w:r>
      <w:r>
        <w:t xml:space="preserve"> </w:t>
      </w:r>
      <w:r>
        <w:t xml:space="preserve">(Campbell et al. 2024)</w:t>
      </w:r>
      <w:r>
        <w:t xml:space="preserve">. A key implication here is that we need to teach basic AI literacy in undergraduate curricula in archaeology, alongside statistical literacy and research design</w:t>
      </w:r>
      <w:r>
        <w:t xml:space="preserve"> </w:t>
      </w:r>
      <w:r>
        <w:t xml:space="preserve">(Cardarelli and Ragno 2026)</w:t>
      </w:r>
      <w:r>
        <w:t xml:space="preserve">. This will ensure that future archaeologists are well-equipped to responsibly and effectively use AI in their professional work.</w:t>
      </w:r>
    </w:p>
    <w:p>
      <w:pPr>
        <w:pStyle w:val="BodyText"/>
      </w:pPr>
      <w:r>
        <w:t xml:space="preserve">The adoption of agentic AI into archaeological research processes may change more than just the speed of work. Recent social science scholarship increasingly treats generative AI as a sociotechnical and epistemic force that is reconfiguring research design, evidence production and evaluation, methodologies, authorship, and researcher reflexivity</w:t>
      </w:r>
      <w:r>
        <w:t xml:space="preserve"> </w:t>
      </w:r>
      <w:r>
        <w:t xml:space="preserve">(Abramson et al. 2026; Grossmann et al. 2023; Longkumer 2025)</w:t>
      </w:r>
      <w:r>
        <w:t xml:space="preserve">.</w:t>
      </w:r>
      <w:r>
        <w:t xml:space="preserve"> </w:t>
      </w:r>
      <w:r>
        <w:t xml:space="preserve">Piper (2026)</w:t>
      </w:r>
      <w:r>
        <w:t xml:space="preserve"> </w:t>
      </w:r>
      <w:r>
        <w:t xml:space="preserve">argues that AI is</w:t>
      </w:r>
      <w:r>
        <w:t xml:space="preserve"> </w:t>
      </w:r>
      <w:r>
        <w:t xml:space="preserve">“</w:t>
      </w:r>
      <w:r>
        <w:t xml:space="preserve">better understood as a methodological environment that changes the conditions under which research questions are formed, constructs are operationalized, evidence is evaluated, and theories are revised.</w:t>
      </w:r>
      <w:r>
        <w:t xml:space="preserve">”</w:t>
      </w:r>
      <w:r>
        <w:t xml:space="preserve"> </w:t>
      </w:r>
      <w:r>
        <w:t xml:space="preserve">For archaeology specifically,</w:t>
      </w:r>
      <w:r>
        <w:t xml:space="preserve"> </w:t>
      </w:r>
      <w:r>
        <w:t xml:space="preserve">Altaweel and Forte (2026)</w:t>
      </w:r>
      <w:r>
        <w:t xml:space="preserve"> </w:t>
      </w:r>
      <w:r>
        <w:t xml:space="preserve">propose that we</w:t>
      </w:r>
      <w:r>
        <w:t xml:space="preserve"> </w:t>
      </w:r>
      <w:r>
        <w:t xml:space="preserve">“</w:t>
      </w:r>
      <w:r>
        <w:t xml:space="preserve">position AI as a theory-generating and theory-testing instrument… not as a technician of truth, but as a co-creator of interpretive possibility</w:t>
      </w:r>
      <w:r>
        <w:t xml:space="preserve">”</w:t>
      </w:r>
      <w:r>
        <w:t xml:space="preserve">. This potentially expansive role for AI makes it more urgent to prepare our students to manage the epistemic risks of heightened vulnerability to illusions of explanatory depth, exploratory breadth, and objectivity that come with using AI</w:t>
      </w:r>
      <w:r>
        <w:t xml:space="preserve"> </w:t>
      </w:r>
      <w:r>
        <w:t xml:space="preserve">(Messeri and Crockett 2024)</w:t>
      </w:r>
      <w:r>
        <w:t xml:space="preserve">.</w:t>
      </w:r>
    </w:p>
    <w:p>
      <w:pPr>
        <w:pStyle w:val="BodyText"/>
      </w:pPr>
      <w:r>
        <w:t xml:space="preserve">By streamlining routine tasks, AI enables us to scale up analytic exploration</w:t>
      </w:r>
      <w:r>
        <w:t xml:space="preserve"> </w:t>
      </w:r>
      <w:r>
        <w:t xml:space="preserve">(Miao et al. 2026)</w:t>
      </w:r>
      <w:r>
        <w:t xml:space="preserve">, and reduces the technical and cognitive burdens of testing whether our substantive claims remain stable across different combinations of assumptions, models, covariates, and parameter settings</w:t>
      </w:r>
      <w:r>
        <w:t xml:space="preserve"> </w:t>
      </w:r>
      <w:r>
        <w:t xml:space="preserve">(Kim et al. 2026; Piper 2026)</w:t>
      </w:r>
      <w:r>
        <w:t xml:space="preserve">. Working with AI, we can implement sensitivity, robustness, and power tests that have been too resource-intensive and impractical in the past. This can help us in the search for claims that robustly persist across different measurement choices, and reduce our vulnerability to selective reporting and cherry-picking</w:t>
      </w:r>
      <w:r>
        <w:t xml:space="preserve"> </w:t>
      </w:r>
      <w:r>
        <w:t xml:space="preserve">(Bertran et al. 2026)</w:t>
      </w:r>
      <w:r>
        <w:t xml:space="preserve">. The workflow presented here points toward a future of more credible and defensible research in which archaeologists combine open source software, tools, skills, and MCP servers to turn AI from an opaque oracle into an auditable research assistant, while protecting data sovereignty and keeping plans, code, sources, and final decisions under researcher control.</w:t>
      </w:r>
    </w:p>
    <w:bookmarkEnd w:id="37"/>
    <w:bookmarkStart w:id="38" w:name="acknowledgments"/>
    <w:p>
      <w:pPr>
        <w:pStyle w:val="Heading1"/>
      </w:pPr>
      <w:r>
        <w:t xml:space="preserve">Acknowledgments</w:t>
      </w:r>
    </w:p>
    <w:p>
      <w:pPr>
        <w:pStyle w:val="FirstParagraph"/>
      </w:pPr>
      <w:r>
        <w:t xml:space="preserve">The author used OpenCode (https://opencode.ai/), an open-source AI harness, and OpenRouter (https://openrouter.ai/) a commercial model provider. AI models used included Nemotron 3 Ultra (NVIDIA), Muse Spark 1.3 (Meta), Qwen3.8 (Alibaba), GLM-5.3 Flash (Zhipu), and MiMo-V2.5 (Xiaomi). Qwen3.8, GLM-5.3 Flash, and MiMo-V2.5 have openly available weights under permissive licenses; Nemotron 3 Ultra was available as an open-weight model under the OpenMDW License Agreement, version 1.1; and Muse Spark 1.3 was a proprietary, closed-weight model accessed through an API. All models were available through OpenRouter at no cost at the time of writing, July-Sept 2026. AI was used to assist with searching for literature, planning, drafting and editing the manuscript and figures, and reference checking. All AI-generated suggestions were reviewed and revised by the author. No permits were required to prepare this manuscript.</w:t>
      </w:r>
    </w:p>
    <w:bookmarkEnd w:id="38"/>
    <w:bookmarkStart w:id="39"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9"/>
    <w:bookmarkStart w:id="40" w:name="data-availability-statement"/>
    <w:p>
      <w:pPr>
        <w:pStyle w:val="Heading1"/>
      </w:pPr>
      <w:r>
        <w:t xml:space="preserve">Data Availability Statement</w:t>
      </w:r>
    </w:p>
    <w:p>
      <w:pPr>
        <w:pStyle w:val="FirstParagraph"/>
      </w:pPr>
      <w:r>
        <w:t xml:space="preserve">No original data were used.</w:t>
      </w:r>
    </w:p>
    <w:bookmarkEnd w:id="40"/>
    <w:bookmarkStart w:id="41" w:name="competing-interests"/>
    <w:p>
      <w:pPr>
        <w:pStyle w:val="Heading1"/>
      </w:pPr>
      <w:r>
        <w:t xml:space="preserve">Competing Interests</w:t>
      </w:r>
    </w:p>
    <w:p>
      <w:pPr>
        <w:pStyle w:val="FirstParagraph"/>
      </w:pPr>
      <w:r>
        <w:t xml:space="preserve">The author declares none.</w:t>
      </w:r>
    </w:p>
    <w:bookmarkEnd w:id="41"/>
    <w:bookmarkStart w:id="191" w:name="references-cited"/>
    <w:p>
      <w:pPr>
        <w:pStyle w:val="Heading1"/>
      </w:pPr>
      <w:r>
        <w:t xml:space="preserve">References Cited</w:t>
      </w:r>
    </w:p>
    <w:bookmarkStart w:id="190" w:name="refs"/>
    <w:bookmarkStart w:id="43"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2">
        <w:r>
          <w:rPr>
            <w:rStyle w:val="Hyperlink"/>
          </w:rPr>
          <w:t xml:space="preserve">https://doi.org/10.1146/annurev-soc-011824-104836</w:t>
        </w:r>
      </w:hyperlink>
      <w:r>
        <w:t xml:space="preserve">.</w:t>
      </w:r>
    </w:p>
    <w:bookmarkEnd w:id="43"/>
    <w:bookmarkStart w:id="45" w:name="ref-AltaweelForte2026"/>
    <w:p>
      <w:pPr>
        <w:pStyle w:val="Bibliography"/>
      </w:pPr>
      <w:r>
        <w:t xml:space="preserve">Altaweel, Mark, and Maurizio Forte. 2026. Archeological Theory and</w:t>
      </w:r>
      <w:r>
        <w:t xml:space="preserve"> </w:t>
      </w:r>
      <w:r>
        <w:t xml:space="preserve">AI</w:t>
      </w:r>
      <w:r>
        <w:t xml:space="preserve">: The Potential Past Through Agentic Systems.</w:t>
      </w:r>
      <w:r>
        <w:t xml:space="preserve"> </w:t>
      </w:r>
      <w:r>
        <w:rPr>
          <w:iCs/>
          <w:i/>
        </w:rPr>
        <w:t xml:space="preserve">AI &amp; Society</w:t>
      </w:r>
      <w:r>
        <w:t xml:space="preserve">.</w:t>
      </w:r>
      <w:r>
        <w:t xml:space="preserve"> </w:t>
      </w:r>
      <w:hyperlink r:id="rId44">
        <w:r>
          <w:rPr>
            <w:rStyle w:val="Hyperlink"/>
          </w:rPr>
          <w:t xml:space="preserve">https://doi.org/10.1007/s00146-026-03287-0</w:t>
        </w:r>
      </w:hyperlink>
      <w:r>
        <w:t xml:space="preserve">.</w:t>
      </w:r>
    </w:p>
    <w:bookmarkEnd w:id="45"/>
    <w:bookmarkStart w:id="47" w:name="ref-barbaste2026"/>
    <w:p>
      <w:pPr>
        <w:pStyle w:val="Bibliography"/>
      </w:pPr>
      <w:r>
        <w:t xml:space="preserve">Barbaste, Paul, Tristan Darrigol, Germain Vu, and Tom Wiltberger. 2026. Harness Engineering: Anatomy, Architecture, and Evolution of Coding Agents –</w:t>
      </w:r>
      <w:r>
        <w:t xml:space="preserve"> </w:t>
      </w:r>
      <w:r>
        <w:t xml:space="preserve">A</w:t>
      </w:r>
      <w:r>
        <w:t xml:space="preserve"> </w:t>
      </w:r>
      <w:r>
        <w:t xml:space="preserve">Source-Code Study of Eleven Systems.</w:t>
      </w:r>
      <w:r>
        <w:t xml:space="preserve"> </w:t>
      </w:r>
      <w:hyperlink r:id="rId46">
        <w:r>
          <w:rPr>
            <w:rStyle w:val="Hyperlink"/>
          </w:rPr>
          <w:t xml:space="preserve">https://doi.org/10.48550/arXiv.2609.00006</w:t>
        </w:r>
      </w:hyperlink>
      <w:r>
        <w:t xml:space="preserve">.</w:t>
      </w:r>
    </w:p>
    <w:bookmarkEnd w:id="47"/>
    <w:bookmarkStart w:id="49" w:name="ref-BeckBurri2024"/>
    <w:p>
      <w:pPr>
        <w:pStyle w:val="Bibliography"/>
      </w:pPr>
      <w:r>
        <w:t xml:space="preserve">Beck, Juliane, and Thomas Burri. 2024. From</w:t>
      </w:r>
      <w:r>
        <w:t xml:space="preserve"> </w:t>
      </w:r>
      <w:r>
        <w:t xml:space="preserve">“Human Control”</w:t>
      </w:r>
      <w:r>
        <w:t xml:space="preserve"> </w:t>
      </w:r>
      <w:r>
        <w:t xml:space="preserve">in International Law to</w:t>
      </w:r>
      <w:r>
        <w:t xml:space="preserve"> </w:t>
      </w:r>
      <w:r>
        <w:t xml:space="preserve">“Human Oversight”</w:t>
      </w:r>
      <w:r>
        <w:t xml:space="preserve"> </w:t>
      </w:r>
      <w:r>
        <w:t xml:space="preserve">in the New</w:t>
      </w:r>
      <w:r>
        <w:t xml:space="preserve"> </w:t>
      </w:r>
      <w:r>
        <w:t xml:space="preserve">EU</w:t>
      </w:r>
      <w:r>
        <w:t xml:space="preserve"> </w:t>
      </w:r>
      <w:r>
        <w:t xml:space="preserve">Act on Artificial Intelligence. In</w:t>
      </w:r>
      <w:r>
        <w:t xml:space="preserve"> </w:t>
      </w:r>
      <w:r>
        <w:rPr>
          <w:iCs/>
          <w:i/>
        </w:rPr>
        <w:t xml:space="preserve">Research Handbook on Meaningful Human Control of Artificial Intelligence Systems</w:t>
      </w:r>
      <w:r>
        <w:t xml:space="preserve">, pp. 104–130. Edward Elgar Publishing, Cheltenham, UK.</w:t>
      </w:r>
      <w:r>
        <w:t xml:space="preserve"> </w:t>
      </w:r>
      <w:hyperlink r:id="rId48">
        <w:r>
          <w:rPr>
            <w:rStyle w:val="Hyperlink"/>
          </w:rPr>
          <w:t xml:space="preserve">https://doi.org/10.4337/9781802204131.00014</w:t>
        </w:r>
      </w:hyperlink>
      <w:r>
        <w:t xml:space="preserve">.</w:t>
      </w:r>
    </w:p>
    <w:bookmarkEnd w:id="49"/>
    <w:bookmarkStart w:id="51"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50">
        <w:r>
          <w:rPr>
            <w:rStyle w:val="Hyperlink"/>
          </w:rPr>
          <w:t xml:space="preserve">https://doi.org/10.1073/pnas.2606495123</w:t>
        </w:r>
      </w:hyperlink>
      <w:r>
        <w:t xml:space="preserve">.</w:t>
      </w:r>
    </w:p>
    <w:bookmarkEnd w:id="51"/>
    <w:bookmarkStart w:id="53" w:name="ref-Bischoff2026LargeLanguageModels"/>
    <w:p>
      <w:pPr>
        <w:pStyle w:val="Bibliography"/>
      </w:pPr>
      <w:r>
        <w:t xml:space="preserve">Bischoff, Robert J. 2026. Large Language Models in Archaeological Practice: Efficacy, Ethics, Risks, and Governance.</w:t>
      </w:r>
      <w:r>
        <w:t xml:space="preserve"> </w:t>
      </w:r>
      <w:hyperlink r:id="rId52">
        <w:r>
          <w:rPr>
            <w:rStyle w:val="Hyperlink"/>
          </w:rPr>
          <w:t xml:space="preserve">https://doi.org/10.31235/osf.io/azs6r_v1</w:t>
        </w:r>
      </w:hyperlink>
      <w:r>
        <w:t xml:space="preserve">.</w:t>
      </w:r>
    </w:p>
    <w:bookmarkEnd w:id="53"/>
    <w:bookmarkStart w:id="55" w:name="ref-BlischakDavenportWilson2016"/>
    <w:p>
      <w:pPr>
        <w:pStyle w:val="Bibliography"/>
      </w:pPr>
      <w:r>
        <w:t xml:space="preserve">Blischak, John D., Emily R. Davenport, and Greg Wilson. 2016. A Quick Introduction to Version Control with</w:t>
      </w:r>
      <w:r>
        <w:t xml:space="preserve"> </w:t>
      </w:r>
      <w:r>
        <w:t xml:space="preserve">Git</w:t>
      </w:r>
      <w:r>
        <w:t xml:space="preserve"> </w:t>
      </w:r>
      <w:r>
        <w:t xml:space="preserve">and</w:t>
      </w:r>
      <w:r>
        <w:t xml:space="preserve"> </w:t>
      </w:r>
      <w:r>
        <w:t xml:space="preserve">GitHub</w:t>
      </w:r>
      <w:r>
        <w:t xml:space="preserve">.</w:t>
      </w:r>
      <w:r>
        <w:t xml:space="preserve"> </w:t>
      </w:r>
      <w:r>
        <w:rPr>
          <w:iCs/>
          <w:i/>
        </w:rPr>
        <w:t xml:space="preserve">PLOS Computational Biology</w:t>
      </w:r>
      <w:r>
        <w:t xml:space="preserve"> </w:t>
      </w:r>
      <w:r>
        <w:t xml:space="preserve">12(1):e1004668.</w:t>
      </w:r>
      <w:r>
        <w:t xml:space="preserve"> </w:t>
      </w:r>
      <w:hyperlink r:id="rId54">
        <w:r>
          <w:rPr>
            <w:rStyle w:val="Hyperlink"/>
          </w:rPr>
          <w:t xml:space="preserve">https://doi.org/10.1371/journal.pcbi.1004668</w:t>
        </w:r>
      </w:hyperlink>
      <w:r>
        <w:t xml:space="preserve">.</w:t>
      </w:r>
    </w:p>
    <w:bookmarkEnd w:id="55"/>
    <w:bookmarkStart w:id="57" w:name="ref-Boiko2023"/>
    <w:p>
      <w:pPr>
        <w:pStyle w:val="Bibliography"/>
      </w:pPr>
      <w:r>
        <w:t xml:space="preserve">Boiko, Daniil A., Robert MacKnight, Ben Kline, and Gabe Gomes. 2023.</w:t>
      </w:r>
      <w:r>
        <w:t xml:space="preserve"> </w:t>
      </w:r>
      <w:r>
        <w:t xml:space="preserve">Autonomous Chemical Research With Large Language Models</w:t>
      </w:r>
      <w:r>
        <w:t xml:space="preserve">.</w:t>
      </w:r>
      <w:r>
        <w:t xml:space="preserve"> </w:t>
      </w:r>
      <w:r>
        <w:rPr>
          <w:iCs/>
          <w:i/>
        </w:rPr>
        <w:t xml:space="preserve">Nature</w:t>
      </w:r>
      <w:r>
        <w:t xml:space="preserve"> </w:t>
      </w:r>
      <w:r>
        <w:t xml:space="preserve">624(7992):570–578.</w:t>
      </w:r>
      <w:r>
        <w:t xml:space="preserve"> </w:t>
      </w:r>
      <w:hyperlink r:id="rId56">
        <w:r>
          <w:rPr>
            <w:rStyle w:val="Hyperlink"/>
          </w:rPr>
          <w:t xml:space="preserve">https://doi.org/10.1038/s41586-023-06792-0</w:t>
        </w:r>
      </w:hyperlink>
      <w:r>
        <w:t xml:space="preserve">.</w:t>
      </w:r>
    </w:p>
    <w:bookmarkEnd w:id="57"/>
    <w:bookmarkStart w:id="59" w:name="ref-MBran2024"/>
    <w:p>
      <w:pPr>
        <w:pStyle w:val="Bibliography"/>
      </w:pPr>
      <w:r>
        <w:t xml:space="preserve">Bran, Andres, Sam Cox, Oliver Schilter, et al. 2024.</w:t>
      </w:r>
      <w:r>
        <w:t xml:space="preserve"> </w:t>
      </w:r>
      <w:r>
        <w:t xml:space="preserve">Augmenting Large Language Models With Chemistry Tools</w:t>
      </w:r>
      <w:r>
        <w:t xml:space="preserve">.</w:t>
      </w:r>
      <w:r>
        <w:t xml:space="preserve"> </w:t>
      </w:r>
      <w:r>
        <w:rPr>
          <w:iCs/>
          <w:i/>
        </w:rPr>
        <w:t xml:space="preserve">Nature Machine Intelligence</w:t>
      </w:r>
      <w:r>
        <w:t xml:space="preserve"> </w:t>
      </w:r>
      <w:r>
        <w:t xml:space="preserve">6(5):525–535.</w:t>
      </w:r>
      <w:r>
        <w:t xml:space="preserve"> </w:t>
      </w:r>
      <w:hyperlink r:id="rId58">
        <w:r>
          <w:rPr>
            <w:rStyle w:val="Hyperlink"/>
          </w:rPr>
          <w:t xml:space="preserve">https://doi.org/10.1038/s42256-024-00832-8</w:t>
        </w:r>
      </w:hyperlink>
      <w:r>
        <w:t xml:space="preserve">.</w:t>
      </w:r>
    </w:p>
    <w:bookmarkEnd w:id="59"/>
    <w:bookmarkStart w:id="61" w:name="ref-Bridgeford2026"/>
    <w:p>
      <w:pPr>
        <w:pStyle w:val="Bibliography"/>
      </w:pPr>
      <w:r>
        <w:t xml:space="preserve">Bridgeford, Eric W., Iain Campbell, Zijao Chen, et al. 2026. Twelve Quick Tips for AI-Assisted Coding in Science.</w:t>
      </w:r>
      <w:r>
        <w:t xml:space="preserve"> </w:t>
      </w:r>
      <w:r>
        <w:rPr>
          <w:iCs/>
          <w:i/>
        </w:rPr>
        <w:t xml:space="preserve">PLOS Computational Biology</w:t>
      </w:r>
      <w:r>
        <w:t xml:space="preserve"> </w:t>
      </w:r>
      <w:r>
        <w:t xml:space="preserve">22(7):e1014428.</w:t>
      </w:r>
      <w:r>
        <w:t xml:space="preserve"> </w:t>
      </w:r>
      <w:hyperlink r:id="rId60">
        <w:r>
          <w:rPr>
            <w:rStyle w:val="Hyperlink"/>
          </w:rPr>
          <w:t xml:space="preserve">https://doi.org/10.1371/journal.pcbi.1014428</w:t>
        </w:r>
      </w:hyperlink>
      <w:r>
        <w:t xml:space="preserve">.</w:t>
      </w:r>
    </w:p>
    <w:bookmarkEnd w:id="61"/>
    <w:bookmarkStart w:id="63"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62">
        <w:r>
          <w:rPr>
            <w:rStyle w:val="Hyperlink"/>
          </w:rPr>
          <w:t xml:space="preserve">https://www.seascapemodels.org/AI-assistants-for-scientific-coding/</w:t>
        </w:r>
      </w:hyperlink>
      <w:r>
        <w:t xml:space="preserve">, accessed September 18, 2026.</w:t>
      </w:r>
    </w:p>
    <w:bookmarkEnd w:id="63"/>
    <w:bookmarkStart w:id="65"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64">
        <w:r>
          <w:rPr>
            <w:rStyle w:val="Hyperlink"/>
          </w:rPr>
          <w:t xml:space="preserve">https://doi.org/10.1111/faf.70079</w:t>
        </w:r>
      </w:hyperlink>
      <w:r>
        <w:t xml:space="preserve">.</w:t>
      </w:r>
    </w:p>
    <w:bookmarkEnd w:id="65"/>
    <w:bookmarkStart w:id="67"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66">
        <w:r>
          <w:rPr>
            <w:rStyle w:val="Hyperlink"/>
          </w:rPr>
          <w:t xml:space="preserve">https://doi.org/10.1111/2041-210x.70267</w:t>
        </w:r>
      </w:hyperlink>
      <w:r>
        <w:t xml:space="preserve">.</w:t>
      </w:r>
    </w:p>
    <w:bookmarkEnd w:id="67"/>
    <w:bookmarkStart w:id="69" w:name="ref-Brown2026local"/>
    <w:p>
      <w:pPr>
        <w:pStyle w:val="Bibliography"/>
      </w:pPr>
      <w:r>
        <w:t xml:space="preserve">Brown, Christopher J.,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68">
        <w:r>
          <w:rPr>
            <w:rStyle w:val="Hyperlink"/>
          </w:rPr>
          <w:t xml:space="preserve">https://vitaexmachina.substack.com/p/running-local-large-language-models</w:t>
        </w:r>
      </w:hyperlink>
      <w:r>
        <w:t xml:space="preserve">, accessed September 18, 2026.</w:t>
      </w:r>
    </w:p>
    <w:bookmarkEnd w:id="69"/>
    <w:bookmarkStart w:id="71" w:name="ref-Campbell2024"/>
    <w:p>
      <w:pPr>
        <w:pStyle w:val="Bibliography"/>
      </w:pPr>
      <w:r>
        <w:t xml:space="preserve">Campbell, Heather, Thomas Bluck, Ella Curry, et al.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70">
        <w:r>
          <w:rPr>
            <w:rStyle w:val="Hyperlink"/>
          </w:rPr>
          <w:t xml:space="preserve">https://doi.org/10.1111/2041-210X.14396</w:t>
        </w:r>
      </w:hyperlink>
      <w:r>
        <w:t xml:space="preserve">.</w:t>
      </w:r>
    </w:p>
    <w:bookmarkEnd w:id="71"/>
    <w:bookmarkStart w:id="73" w:name="ref-CardarelliRagno2026"/>
    <w:p>
      <w:pPr>
        <w:pStyle w:val="Bibliography"/>
      </w:pPr>
      <w:r>
        <w:t xml:space="preserve">Cardarelli, Lorenzo, and Roberto Ragno. 2026. (Whose Defaults?) Is Artificial Intelligence Reorienting Archaeological Methods?</w:t>
      </w:r>
      <w:r>
        <w:t xml:space="preserve"> </w:t>
      </w:r>
      <w:hyperlink r:id="rId72">
        <w:r>
          <w:rPr>
            <w:rStyle w:val="Hyperlink"/>
          </w:rPr>
          <w:t xml:space="preserve">https://doi.org/10.48550/arXiv.2609.11198</w:t>
        </w:r>
      </w:hyperlink>
      <w:r>
        <w:t xml:space="preserve">.</w:t>
      </w:r>
    </w:p>
    <w:bookmarkEnd w:id="73"/>
    <w:bookmarkStart w:id="75" w:name="ref-ChenVaroquaux2026"/>
    <w:p>
      <w:pPr>
        <w:pStyle w:val="Bibliography"/>
      </w:pPr>
      <w:r>
        <w:t xml:space="preserve">Chen, Lihu, and Gaël Varoquaux. 2026. What Is the Role of Small Models in the</w:t>
      </w:r>
      <w:r>
        <w:t xml:space="preserve"> </w:t>
      </w:r>
      <w:r>
        <w:t xml:space="preserve">LLM</w:t>
      </w:r>
      <w:r>
        <w:t xml:space="preserve"> </w:t>
      </w:r>
      <w:r>
        <w:t xml:space="preserve">Era: A Survey.</w:t>
      </w:r>
      <w:r>
        <w:t xml:space="preserve"> </w:t>
      </w:r>
      <w:r>
        <w:rPr>
          <w:iCs/>
          <w:i/>
        </w:rPr>
        <w:t xml:space="preserve">Computational Linguistics</w:t>
      </w:r>
      <w:r>
        <w:t xml:space="preserve">:1–42.</w:t>
      </w:r>
      <w:r>
        <w:t xml:space="preserve"> </w:t>
      </w:r>
      <w:hyperlink r:id="rId74">
        <w:r>
          <w:rPr>
            <w:rStyle w:val="Hyperlink"/>
          </w:rPr>
          <w:t xml:space="preserve">https://doi.org/10.1162/coli.a.652</w:t>
        </w:r>
      </w:hyperlink>
      <w:r>
        <w:t xml:space="preserve">.</w:t>
      </w:r>
    </w:p>
    <w:bookmarkEnd w:id="75"/>
    <w:bookmarkStart w:id="77"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76">
        <w:r>
          <w:rPr>
            <w:rStyle w:val="Hyperlink"/>
          </w:rPr>
          <w:t xml:space="preserve">https://doi.org/10.48550/arXiv.2304.05128</w:t>
        </w:r>
      </w:hyperlink>
      <w:r>
        <w:t xml:space="preserve">.</w:t>
      </w:r>
    </w:p>
    <w:bookmarkEnd w:id="77"/>
    <w:bookmarkStart w:id="79" w:name="ref-Codreanu2026"/>
    <w:p>
      <w:pPr>
        <w:pStyle w:val="Bibliography"/>
      </w:pPr>
      <w:r>
        <w:t xml:space="preserve">Codreanu, Mihai, Alex Imas, Juan Mateos-Garcia, et al. 2026.</w:t>
      </w:r>
      <w:r>
        <w:t xml:space="preserve"> </w:t>
      </w:r>
      <w:r>
        <w:t xml:space="preserve">AI</w:t>
      </w:r>
      <w:r>
        <w:t xml:space="preserve"> </w:t>
      </w:r>
      <w:r>
        <w:t xml:space="preserve">in</w:t>
      </w:r>
      <w:r>
        <w:t xml:space="preserve"> </w:t>
      </w:r>
      <w:r>
        <w:t xml:space="preserve">Science:</w:t>
      </w:r>
      <w:r>
        <w:t xml:space="preserve"> </w:t>
      </w:r>
      <w:r>
        <w:t xml:space="preserve">Early</w:t>
      </w:r>
      <w:r>
        <w:t xml:space="preserve"> </w:t>
      </w:r>
      <w:r>
        <w:t xml:space="preserve">Insights</w:t>
      </w:r>
      <w:r>
        <w:t xml:space="preserve">.</w:t>
      </w:r>
      <w:r>
        <w:t xml:space="preserve"> </w:t>
      </w:r>
      <w:hyperlink r:id="rId78">
        <w:r>
          <w:rPr>
            <w:rStyle w:val="Hyperlink"/>
          </w:rPr>
          <w:t xml:space="preserve">https://doi.org/10.2139/ssrn.7465898</w:t>
        </w:r>
      </w:hyperlink>
      <w:r>
        <w:t xml:space="preserve">, accessed September 16, 2026.</w:t>
      </w:r>
    </w:p>
    <w:bookmarkEnd w:id="79"/>
    <w:bookmarkStart w:id="81"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80">
        <w:r>
          <w:rPr>
            <w:rStyle w:val="Hyperlink"/>
          </w:rPr>
          <w:t xml:space="preserve">https://doi.org/10.1111/2041-210X.14325</w:t>
        </w:r>
      </w:hyperlink>
      <w:r>
        <w:t xml:space="preserve">.</w:t>
      </w:r>
    </w:p>
    <w:bookmarkEnd w:id="81"/>
    <w:bookmarkStart w:id="83" w:name="ref-CootsonaCastilloSunseri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82">
        <w:r>
          <w:rPr>
            <w:rStyle w:val="Hyperlink"/>
          </w:rPr>
          <w:t xml:space="preserve">https://doi.org/10.1017/aap.2026.10173</w:t>
        </w:r>
      </w:hyperlink>
      <w:r>
        <w:t xml:space="preserve">.</w:t>
      </w:r>
    </w:p>
    <w:bookmarkEnd w:id="83"/>
    <w:bookmarkStart w:id="85" w:name="ref-DellAcqua2026"/>
    <w:p>
      <w:pPr>
        <w:pStyle w:val="Bibliography"/>
      </w:pPr>
      <w:r>
        <w:t xml:space="preserve">Dell’Acqua, Fabrizio, Edward McFowland, Ethan Mollick, et al.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84">
        <w:r>
          <w:rPr>
            <w:rStyle w:val="Hyperlink"/>
          </w:rPr>
          <w:t xml:space="preserve">https://doi.org/10.1287/orsc.2025.21838</w:t>
        </w:r>
      </w:hyperlink>
      <w:r>
        <w:t xml:space="preserve">.</w:t>
      </w:r>
    </w:p>
    <w:bookmarkEnd w:id="85"/>
    <w:bookmarkStart w:id="87"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86">
        <w:r>
          <w:rPr>
            <w:rStyle w:val="Hyperlink"/>
          </w:rPr>
          <w:t xml:space="preserve">https://doi.org/10.1093/jmammal/gyaf082</w:t>
        </w:r>
      </w:hyperlink>
      <w:r>
        <w:t xml:space="preserve">.</w:t>
      </w:r>
    </w:p>
    <w:bookmarkEnd w:id="87"/>
    <w:bookmarkStart w:id="89"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88">
        <w:r>
          <w:rPr>
            <w:rStyle w:val="Hyperlink"/>
          </w:rPr>
          <w:t xml:space="preserve">https://doi.org/10.1007/s12599-023-00834-7</w:t>
        </w:r>
      </w:hyperlink>
      <w:r>
        <w:t xml:space="preserve">.</w:t>
      </w:r>
    </w:p>
    <w:bookmarkEnd w:id="89"/>
    <w:bookmarkStart w:id="91"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90">
        <w:r>
          <w:rPr>
            <w:rStyle w:val="Hyperlink"/>
          </w:rPr>
          <w:t xml:space="preserve">https://doi.org/10.1016/j.culher.2024.11.020</w:t>
        </w:r>
      </w:hyperlink>
      <w:r>
        <w:t xml:space="preserve">.</w:t>
      </w:r>
    </w:p>
    <w:bookmarkEnd w:id="91"/>
    <w:bookmarkStart w:id="93"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92">
        <w:r>
          <w:rPr>
            <w:rStyle w:val="Hyperlink"/>
          </w:rPr>
          <w:t xml:space="preserve">https://doi.org/10.1080/10584609.2023.2290497</w:t>
        </w:r>
      </w:hyperlink>
      <w:r>
        <w:t xml:space="preserve">.</w:t>
      </w:r>
    </w:p>
    <w:bookmarkEnd w:id="93"/>
    <w:bookmarkStart w:id="95"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94">
        <w:r>
          <w:rPr>
            <w:rStyle w:val="Hyperlink"/>
          </w:rPr>
          <w:t xml:space="preserve">https://doi.org/10.1038/s44185-024-00043-9</w:t>
        </w:r>
      </w:hyperlink>
      <w:r>
        <w:t xml:space="preserve">.</w:t>
      </w:r>
    </w:p>
    <w:bookmarkEnd w:id="95"/>
    <w:bookmarkStart w:id="97" w:name="ref-Goyal2026"/>
    <w:p>
      <w:pPr>
        <w:pStyle w:val="Bibliography"/>
      </w:pPr>
      <w:r>
        <w:t xml:space="preserve">Goyal, Palash, Mihir Parmar, Yiwen Song, et al. 2026.</w:t>
      </w:r>
      <w:r>
        <w:t xml:space="preserve"> </w:t>
      </w:r>
      <w:r>
        <w:t xml:space="preserve">ScholarPeer</w:t>
      </w:r>
      <w:r>
        <w:t xml:space="preserve">: A Context-Aware Multi-Agent Framework for Automated Peer Review.</w:t>
      </w:r>
      <w:r>
        <w:t xml:space="preserve"> </w:t>
      </w:r>
      <w:hyperlink r:id="rId96">
        <w:r>
          <w:rPr>
            <w:rStyle w:val="Hyperlink"/>
          </w:rPr>
          <w:t xml:space="preserve">https://doi.org/10.48550/arXiv.2601.22638</w:t>
        </w:r>
      </w:hyperlink>
      <w:r>
        <w:t xml:space="preserve">.</w:t>
      </w:r>
    </w:p>
    <w:bookmarkEnd w:id="97"/>
    <w:bookmarkStart w:id="99" w:name="ref-Greenacre2022Principal"/>
    <w:p>
      <w:pPr>
        <w:pStyle w:val="Bibliography"/>
      </w:pPr>
      <w:r>
        <w:t xml:space="preserve">Greenacre, Michael, Patrick J. F. Groenen, Trevor Hastie, et al. 2022. Principal Component Analysis.</w:t>
      </w:r>
      <w:r>
        <w:t xml:space="preserve"> </w:t>
      </w:r>
      <w:r>
        <w:rPr>
          <w:iCs/>
          <w:i/>
        </w:rPr>
        <w:t xml:space="preserve">Nature Reviews Methods Primers</w:t>
      </w:r>
      <w:r>
        <w:t xml:space="preserve"> </w:t>
      </w:r>
      <w:r>
        <w:t xml:space="preserve">2(1):100.</w:t>
      </w:r>
      <w:r>
        <w:t xml:space="preserve"> </w:t>
      </w:r>
      <w:hyperlink r:id="rId98">
        <w:r>
          <w:rPr>
            <w:rStyle w:val="Hyperlink"/>
          </w:rPr>
          <w:t xml:space="preserve">https://doi.org/10.1038/s43586-022-00184-w</w:t>
        </w:r>
      </w:hyperlink>
      <w:r>
        <w:t xml:space="preserve">.</w:t>
      </w:r>
    </w:p>
    <w:bookmarkEnd w:id="99"/>
    <w:bookmarkStart w:id="101" w:name="ref-Grossmann2023Transformation"/>
    <w:p>
      <w:pPr>
        <w:pStyle w:val="Bibliography"/>
      </w:pPr>
      <w:r>
        <w:t xml:space="preserve">Grossmann, Igor, Matthew Feinberg, Dawn C. Parker, et al. 2023.</w:t>
      </w:r>
      <w:r>
        <w:t xml:space="preserve"> </w:t>
      </w:r>
      <w:r>
        <w:t xml:space="preserve">AI</w:t>
      </w:r>
      <w:r>
        <w:t xml:space="preserve"> </w:t>
      </w:r>
      <w:r>
        <w:t xml:space="preserve">and the Transformation of Social Science Research.</w:t>
      </w:r>
      <w:r>
        <w:t xml:space="preserve"> </w:t>
      </w:r>
      <w:r>
        <w:rPr>
          <w:iCs/>
          <w:i/>
        </w:rPr>
        <w:t xml:space="preserve">Science</w:t>
      </w:r>
      <w:r>
        <w:t xml:space="preserve"> </w:t>
      </w:r>
      <w:r>
        <w:t xml:space="preserve">380(6650):1108–1109.</w:t>
      </w:r>
      <w:r>
        <w:t xml:space="preserve"> </w:t>
      </w:r>
      <w:hyperlink r:id="rId100">
        <w:r>
          <w:rPr>
            <w:rStyle w:val="Hyperlink"/>
          </w:rPr>
          <w:t xml:space="preserve">https://doi.org/10.1126/science.adi1778</w:t>
        </w:r>
      </w:hyperlink>
      <w:r>
        <w:t xml:space="preserve">.</w:t>
      </w:r>
    </w:p>
    <w:bookmarkEnd w:id="101"/>
    <w:bookmarkStart w:id="103"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102">
        <w:r>
          <w:rPr>
            <w:rStyle w:val="Hyperlink"/>
          </w:rPr>
          <w:t xml:space="preserve">https://doi.org/10.1057/s41599-026-08832-2</w:t>
        </w:r>
      </w:hyperlink>
      <w:r>
        <w:t xml:space="preserve">.</w:t>
      </w:r>
    </w:p>
    <w:bookmarkEnd w:id="103"/>
    <w:bookmarkStart w:id="105"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104">
        <w:r>
          <w:rPr>
            <w:rStyle w:val="Hyperlink"/>
          </w:rPr>
          <w:t xml:space="preserve">https://doi.org/10.1016/j.sftr.2025.101152</w:t>
        </w:r>
      </w:hyperlink>
      <w:r>
        <w:t xml:space="preserve">.</w:t>
      </w:r>
    </w:p>
    <w:bookmarkEnd w:id="105"/>
    <w:bookmarkStart w:id="107" w:name="ref-Hariri2025"/>
    <w:p>
      <w:pPr>
        <w:pStyle w:val="Bibliography"/>
      </w:pPr>
      <w:r>
        <w:t xml:space="preserve">Hariri, Ali, Stéphane Jean, and Mickaël Baron. 2025. Towards Automating RDF Extraction for Archaeological Knowledge Graphs with LLMs. In</w:t>
      </w:r>
      <w:r>
        <w:t xml:space="preserve"> </w:t>
      </w:r>
      <w:r>
        <w:rPr>
          <w:iCs/>
          <w:i/>
        </w:rPr>
        <w:t xml:space="preserve">Database and Expert Systems Applications</w:t>
      </w:r>
      <w:r>
        <w:t xml:space="preserve">, pp. 83–97. Lecture Notes in Computer Science. Springer Nature Switzerland, Cham, Switzerland.</w:t>
      </w:r>
      <w:r>
        <w:t xml:space="preserve"> </w:t>
      </w:r>
      <w:hyperlink r:id="rId106">
        <w:r>
          <w:rPr>
            <w:rStyle w:val="Hyperlink"/>
          </w:rPr>
          <w:t xml:space="preserve">https://doi.org/10.1007/978-3-032-02049-9_6</w:t>
        </w:r>
      </w:hyperlink>
      <w:r>
        <w:t xml:space="preserve">.</w:t>
      </w:r>
    </w:p>
    <w:bookmarkEnd w:id="107"/>
    <w:bookmarkStart w:id="109"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108">
        <w:r>
          <w:rPr>
            <w:rStyle w:val="Hyperlink"/>
          </w:rPr>
          <w:t xml:space="preserve">https://doi.org/10.1145/3796519</w:t>
        </w:r>
      </w:hyperlink>
      <w:r>
        <w:t xml:space="preserve">.</w:t>
      </w:r>
    </w:p>
    <w:bookmarkEnd w:id="109"/>
    <w:bookmarkStart w:id="111"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110">
        <w:r>
          <w:rPr>
            <w:rStyle w:val="Hyperlink"/>
          </w:rPr>
          <w:t xml:space="preserve">https://doi.org/10.1371/journal.pone.0317084</w:t>
        </w:r>
      </w:hyperlink>
      <w:r>
        <w:t xml:space="preserve">.</w:t>
      </w:r>
    </w:p>
    <w:bookmarkEnd w:id="111"/>
    <w:bookmarkStart w:id="113"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12">
        <w:r>
          <w:rPr>
            <w:rStyle w:val="Hyperlink"/>
          </w:rPr>
          <w:t xml:space="preserve">https://doi.org/10.1080/00187259.2026.2714301</w:t>
        </w:r>
      </w:hyperlink>
      <w:r>
        <w:t xml:space="preserve">.</w:t>
      </w:r>
    </w:p>
    <w:bookmarkEnd w:id="113"/>
    <w:bookmarkStart w:id="115" w:name="ref-Jonker2024"/>
    <w:p>
      <w:pPr>
        <w:pStyle w:val="Bibliography"/>
      </w:pPr>
      <w:r>
        <w:t xml:space="preserve">Jonker, Catholijn M., Luciano Cavalcante Siebert, and Pradeep K. Murukannaiah. 2024. Reflective Hybrid Intelligence for Meaningful</w:t>
      </w:r>
      <w:r>
        <w:t xml:space="preserve"> </w:t>
      </w:r>
      <w:r>
        <w:t xml:space="preserve">Human Control</w:t>
      </w:r>
      <w:r>
        <w:t xml:space="preserve"> </w:t>
      </w:r>
      <w:r>
        <w:t xml:space="preserve">in Decision-Support Systems. In</w:t>
      </w:r>
      <w:r>
        <w:t xml:space="preserve"> </w:t>
      </w:r>
      <w:r>
        <w:rPr>
          <w:iCs/>
          <w:i/>
        </w:rPr>
        <w:t xml:space="preserve">Research Handbook on Meaningful Human Control of Artificial Intelligence Systems</w:t>
      </w:r>
      <w:r>
        <w:t xml:space="preserve">, pp. 188–204. Edward Elgar Publishing, Cheltenham, UK.</w:t>
      </w:r>
      <w:r>
        <w:t xml:space="preserve"> </w:t>
      </w:r>
      <w:hyperlink r:id="rId114">
        <w:r>
          <w:rPr>
            <w:rStyle w:val="Hyperlink"/>
          </w:rPr>
          <w:t xml:space="preserve">https://doi.org/10.4337/9781802204131.00019</w:t>
        </w:r>
      </w:hyperlink>
      <w:r>
        <w:t xml:space="preserve">.</w:t>
      </w:r>
    </w:p>
    <w:bookmarkEnd w:id="115"/>
    <w:bookmarkStart w:id="117"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 </w:t>
      </w:r>
      <w:r>
        <w:t xml:space="preserve">71.</w:t>
      </w:r>
      <w:r>
        <w:t xml:space="preserve"> </w:t>
      </w:r>
      <w:hyperlink r:id="rId116">
        <w:r>
          <w:rPr>
            <w:rStyle w:val="Hyperlink"/>
          </w:rPr>
          <w:t xml:space="preserve">https://doi.org/10.11141/ia.71.15</w:t>
        </w:r>
      </w:hyperlink>
      <w:r>
        <w:t xml:space="preserve">.</w:t>
      </w:r>
    </w:p>
    <w:bookmarkEnd w:id="117"/>
    <w:bookmarkStart w:id="119" w:name="ref-Kim2026Power"/>
    <w:p>
      <w:pPr>
        <w:pStyle w:val="Bibliography"/>
      </w:pPr>
      <w:r>
        <w:t xml:space="preserve">Kim, Hajung, Jia Qi, Zhe Feng, et al. 2026. Can Large Language Models (</w:t>
      </w:r>
      <w:r>
        <w:t xml:space="preserve">LLMs</w:t>
      </w:r>
      <w:r>
        <w:t xml:space="preserve">) Be Trusted for Power Analysis? An Empirical Evaluation.</w:t>
      </w:r>
      <w:r>
        <w:t xml:space="preserve"> </w:t>
      </w:r>
      <w:r>
        <w:rPr>
          <w:iCs/>
          <w:i/>
        </w:rPr>
        <w:t xml:space="preserve">Journal of Behavioral Data Science</w:t>
      </w:r>
      <w:r>
        <w:t xml:space="preserve"> </w:t>
      </w:r>
      <w:r>
        <w:t xml:space="preserve">6(2):173–184.</w:t>
      </w:r>
      <w:r>
        <w:t xml:space="preserve"> </w:t>
      </w:r>
      <w:hyperlink r:id="rId118">
        <w:r>
          <w:rPr>
            <w:rStyle w:val="Hyperlink"/>
          </w:rPr>
          <w:t xml:space="preserve">https://doi.org/10.35566/jbds/jikim</w:t>
        </w:r>
      </w:hyperlink>
      <w:r>
        <w:t xml:space="preserve">.</w:t>
      </w:r>
    </w:p>
    <w:bookmarkEnd w:id="119"/>
    <w:bookmarkStart w:id="121"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20">
        <w:r>
          <w:rPr>
            <w:rStyle w:val="Hyperlink"/>
          </w:rPr>
          <w:t xml:space="preserve">https://doi.org/10.1257/jel.20231736</w:t>
        </w:r>
      </w:hyperlink>
      <w:r>
        <w:t xml:space="preserve">.</w:t>
      </w:r>
    </w:p>
    <w:bookmarkEnd w:id="121"/>
    <w:bookmarkStart w:id="123" w:name="ref-Korinek2025"/>
    <w:p>
      <w:pPr>
        <w:pStyle w:val="Bibliography"/>
      </w:pPr>
      <w:r>
        <w:t xml:space="preserve">Korinek, Anton. 2025.</w:t>
      </w:r>
      <w:r>
        <w:t xml:space="preserve"> </w:t>
      </w:r>
      <w:r>
        <w:t xml:space="preserve">AI</w:t>
      </w:r>
      <w:r>
        <w:t xml:space="preserve"> </w:t>
      </w:r>
      <w:r>
        <w:t xml:space="preserve">Agents for Economic Research.</w:t>
      </w:r>
      <w:r>
        <w:t xml:space="preserve"> </w:t>
      </w:r>
      <w:hyperlink r:id="rId122">
        <w:r>
          <w:rPr>
            <w:rStyle w:val="Hyperlink"/>
          </w:rPr>
          <w:t xml:space="preserve">https://www.nber.org/papers/w34202</w:t>
        </w:r>
      </w:hyperlink>
      <w:r>
        <w:t xml:space="preserve">, accessed September 29, 2026.</w:t>
      </w:r>
    </w:p>
    <w:bookmarkEnd w:id="123"/>
    <w:bookmarkStart w:id="125"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hyperlink r:id="rId124">
        <w:r>
          <w:rPr>
            <w:rStyle w:val="Hyperlink"/>
          </w:rPr>
          <w:t xml:space="preserve">https://doi.org/10.48550/arXiv.2505.06120</w:t>
        </w:r>
      </w:hyperlink>
      <w:r>
        <w:t xml:space="preserve">.</w:t>
      </w:r>
    </w:p>
    <w:bookmarkEnd w:id="125"/>
    <w:bookmarkStart w:id="127"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26">
        <w:r>
          <w:rPr>
            <w:rStyle w:val="Hyperlink"/>
          </w:rPr>
          <w:t xml:space="preserve">https://doi.org/10.2196/51584</w:t>
        </w:r>
      </w:hyperlink>
      <w:r>
        <w:t xml:space="preserve">.</w:t>
      </w:r>
    </w:p>
    <w:bookmarkEnd w:id="127"/>
    <w:bookmarkStart w:id="129" w:name="ref-Lin2026"/>
    <w:p>
      <w:pPr>
        <w:pStyle w:val="Bibliography"/>
      </w:pPr>
      <w:r>
        <w:t xml:space="preserve">Lin, Kevin Qinghong, Siyuan Hu, Pan Lu, et al. 2026.</w:t>
      </w:r>
      <w:r>
        <w:t xml:space="preserve"> </w:t>
      </w:r>
      <w:r>
        <w:t xml:space="preserve">PaperDoctor</w:t>
      </w:r>
      <w:r>
        <w:t xml:space="preserve">: Evidence-Grounded and Actionable Feedback for Scientific Papers in Progress.</w:t>
      </w:r>
      <w:r>
        <w:t xml:space="preserve"> </w:t>
      </w:r>
      <w:hyperlink r:id="rId128">
        <w:r>
          <w:rPr>
            <w:rStyle w:val="Hyperlink"/>
          </w:rPr>
          <w:t xml:space="preserve">https://doi.org/10.48550/arXiv.2609.16995</w:t>
        </w:r>
      </w:hyperlink>
      <w:r>
        <w:t xml:space="preserve">.</w:t>
      </w:r>
    </w:p>
    <w:bookmarkEnd w:id="129"/>
    <w:bookmarkStart w:id="131" w:name="ref-Liu2026Dive"/>
    <w:p>
      <w:pPr>
        <w:pStyle w:val="Bibliography"/>
      </w:pPr>
      <w:r>
        <w:t xml:space="preserve">Liu, Jiacheng, Xiaohan Zhao, Xinyi Shang, and Zhiqiang Shen. 2026. Dive into</w:t>
      </w:r>
      <w:r>
        <w:t xml:space="preserve"> </w:t>
      </w:r>
      <w:r>
        <w:t xml:space="preserve">Claude Code</w:t>
      </w:r>
      <w:r>
        <w:t xml:space="preserve">: The Design Space of Today’s and Future</w:t>
      </w:r>
      <w:r>
        <w:t xml:space="preserve"> </w:t>
      </w:r>
      <w:r>
        <w:t xml:space="preserve">AI</w:t>
      </w:r>
      <w:r>
        <w:t xml:space="preserve"> </w:t>
      </w:r>
      <w:r>
        <w:t xml:space="preserve">Agent Systems.</w:t>
      </w:r>
      <w:r>
        <w:t xml:space="preserve"> </w:t>
      </w:r>
      <w:hyperlink r:id="rId130">
        <w:r>
          <w:rPr>
            <w:rStyle w:val="Hyperlink"/>
          </w:rPr>
          <w:t xml:space="preserve">https://doi.org/10.48550/arXiv.2604.14228</w:t>
        </w:r>
      </w:hyperlink>
      <w:r>
        <w:t xml:space="preserve">.</w:t>
      </w:r>
    </w:p>
    <w:bookmarkEnd w:id="131"/>
    <w:bookmarkStart w:id="133" w:name="ref-Longkumer2025Generative"/>
    <w:p>
      <w:pPr>
        <w:pStyle w:val="Bibliography"/>
      </w:pPr>
      <w:r>
        <w:t xml:space="preserve">Longkumer, Tiatemsu. 2025. Generative</w:t>
      </w:r>
      <w:r>
        <w:t xml:space="preserve"> </w:t>
      </w:r>
      <w:r>
        <w:t xml:space="preserve">AI</w:t>
      </w:r>
      <w:r>
        <w:t xml:space="preserve"> </w:t>
      </w:r>
      <w:r>
        <w:t xml:space="preserve">in</w:t>
      </w:r>
      <w:r>
        <w:t xml:space="preserve"> </w:t>
      </w:r>
      <w:r>
        <w:t xml:space="preserve">Anthropology</w:t>
      </w:r>
      <w:r>
        <w:t xml:space="preserve">: Redefining</w:t>
      </w:r>
      <w:r>
        <w:t xml:space="preserve"> </w:t>
      </w:r>
      <w:r>
        <w:t xml:space="preserve">Fieldwork</w:t>
      </w:r>
      <w:r>
        <w:t xml:space="preserve">,</w:t>
      </w:r>
      <w:r>
        <w:t xml:space="preserve"> </w:t>
      </w:r>
      <w:r>
        <w:t xml:space="preserve">Textualisation</w:t>
      </w:r>
      <w:r>
        <w:t xml:space="preserve">, and</w:t>
      </w:r>
      <w:r>
        <w:t xml:space="preserve"> </w:t>
      </w:r>
      <w:r>
        <w:t xml:space="preserve">Collaborative</w:t>
      </w:r>
      <w:r>
        <w:t xml:space="preserve"> </w:t>
      </w:r>
      <w:r>
        <w:t xml:space="preserve">Knowledge</w:t>
      </w:r>
      <w:r>
        <w:t xml:space="preserve"> </w:t>
      </w:r>
      <w:r>
        <w:t xml:space="preserve">Production</w:t>
      </w:r>
      <w:r>
        <w:t xml:space="preserve">.</w:t>
      </w:r>
      <w:r>
        <w:t xml:space="preserve"> </w:t>
      </w:r>
      <w:r>
        <w:rPr>
          <w:iCs/>
          <w:i/>
        </w:rPr>
        <w:t xml:space="preserve">Teaching Anthropology</w:t>
      </w:r>
      <w:r>
        <w:t xml:space="preserve"> </w:t>
      </w:r>
      <w:r>
        <w:t xml:space="preserve">14(2):118–130.</w:t>
      </w:r>
      <w:r>
        <w:t xml:space="preserve"> </w:t>
      </w:r>
      <w:hyperlink r:id="rId132">
        <w:r>
          <w:rPr>
            <w:rStyle w:val="Hyperlink"/>
          </w:rPr>
          <w:t xml:space="preserve">https://doi.org/10.22582/ta.v14i2.778</w:t>
        </w:r>
      </w:hyperlink>
      <w:r>
        <w:t xml:space="preserve">.</w:t>
      </w:r>
    </w:p>
    <w:bookmarkEnd w:id="133"/>
    <w:bookmarkStart w:id="135" w:name="ref-Lu2026"/>
    <w:p>
      <w:pPr>
        <w:pStyle w:val="Bibliography"/>
      </w:pPr>
      <w:r>
        <w:t xml:space="preserve">Lu, Chris, Cong Lu, Robert Tjarko Lange, et al.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34">
        <w:r>
          <w:rPr>
            <w:rStyle w:val="Hyperlink"/>
          </w:rPr>
          <w:t xml:space="preserve">https://doi.org/10.1038/s41586-026-10265-5</w:t>
        </w:r>
      </w:hyperlink>
      <w:r>
        <w:t xml:space="preserve">.</w:t>
      </w:r>
    </w:p>
    <w:bookmarkEnd w:id="135"/>
    <w:bookmarkStart w:id="137" w:name="ref-lyttelton2026agents"/>
    <w:p>
      <w:pPr>
        <w:pStyle w:val="Bibliography"/>
      </w:pPr>
      <w:r>
        <w:t xml:space="preserve">Lyttelton, Thomas, Maxim Massenkoff, and Nathan Wilmers. 2026. Coding Agents in the Social Sciences.</w:t>
      </w:r>
      <w:r>
        <w:t xml:space="preserve"> </w:t>
      </w:r>
      <w:hyperlink r:id="rId136">
        <w:r>
          <w:rPr>
            <w:rStyle w:val="Hyperlink"/>
          </w:rPr>
          <w:t xml:space="preserve">https://www.anthropic.com/research/coding-agents-social-sciences</w:t>
        </w:r>
      </w:hyperlink>
      <w:r>
        <w:t xml:space="preserve">, accessed September 29, 2026.</w:t>
      </w:r>
    </w:p>
    <w:bookmarkEnd w:id="137"/>
    <w:bookmarkStart w:id="139"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38">
        <w:r>
          <w:rPr>
            <w:rStyle w:val="Hyperlink"/>
          </w:rPr>
          <w:t xml:space="preserve">https://doi.org/10.1007/s10816-015-9272-9</w:t>
        </w:r>
      </w:hyperlink>
      <w:r>
        <w:t xml:space="preserve">.</w:t>
      </w:r>
    </w:p>
    <w:bookmarkEnd w:id="139"/>
    <w:bookmarkStart w:id="141"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40">
        <w:r>
          <w:rPr>
            <w:rStyle w:val="Hyperlink"/>
          </w:rPr>
          <w:t xml:space="preserve">https://doi.org/10.1038/s41586-024-07146-0</w:t>
        </w:r>
      </w:hyperlink>
      <w:r>
        <w:t xml:space="preserve">.</w:t>
      </w:r>
    </w:p>
    <w:bookmarkEnd w:id="141"/>
    <w:bookmarkStart w:id="143" w:name="ref-Miao2026"/>
    <w:p>
      <w:pPr>
        <w:pStyle w:val="Bibliography"/>
      </w:pPr>
      <w:r>
        <w:t xml:space="preserve">Miao, Jiacheng, Jonathan K. Pritchard, and James Zou. 2026. The Agentic Garden of Forking Paths.</w:t>
      </w:r>
      <w:r>
        <w:t xml:space="preserve"> </w:t>
      </w:r>
      <w:hyperlink r:id="rId142">
        <w:r>
          <w:rPr>
            <w:rStyle w:val="Hyperlink"/>
          </w:rPr>
          <w:t xml:space="preserve">https://doi.org/10.48550/arXiv.2607.01507</w:t>
        </w:r>
      </w:hyperlink>
      <w:r>
        <w:t xml:space="preserve">.</w:t>
      </w:r>
    </w:p>
    <w:bookmarkEnd w:id="143"/>
    <w:bookmarkStart w:id="145" w:name="ref-Monakhov2026"/>
    <w:p>
      <w:pPr>
        <w:pStyle w:val="Bibliography"/>
      </w:pPr>
      <w:r>
        <w:t xml:space="preserve">Monakhov, Alexander Yu. 2026. Governance as Cybernetics: Feedback, Control, and the</w:t>
      </w:r>
      <w:r>
        <w:t xml:space="preserve"> </w:t>
      </w:r>
      <w:r>
        <w:t xml:space="preserve">Human at the Helm</w:t>
      </w:r>
      <w:r>
        <w:t xml:space="preserve"> </w:t>
      </w:r>
      <w:r>
        <w:t xml:space="preserve">in the Regulation of Artificial Intelligence.</w:t>
      </w:r>
      <w:r>
        <w:t xml:space="preserve"> </w:t>
      </w:r>
      <w:hyperlink r:id="rId144">
        <w:r>
          <w:rPr>
            <w:rStyle w:val="Hyperlink"/>
          </w:rPr>
          <w:t xml:space="preserve">https://doi.org/10.2139/ssrn.7011058</w:t>
        </w:r>
      </w:hyperlink>
      <w:r>
        <w:t xml:space="preserve">.</w:t>
      </w:r>
    </w:p>
    <w:bookmarkEnd w:id="145"/>
    <w:bookmarkStart w:id="147" w:name="ref-Moorthy2026"/>
    <w:p>
      <w:pPr>
        <w:pStyle w:val="Bibliography"/>
      </w:pPr>
      <w:r>
        <w:t xml:space="preserve">Moorthy, Sruthi M. Krishna,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46">
        <w:r>
          <w:rPr>
            <w:rStyle w:val="Hyperlink"/>
          </w:rPr>
          <w:t xml:space="preserve">https://doi.org/10.1111/2041-210x.70403</w:t>
        </w:r>
      </w:hyperlink>
      <w:r>
        <w:t xml:space="preserve">.</w:t>
      </w:r>
    </w:p>
    <w:bookmarkEnd w:id="147"/>
    <w:bookmarkStart w:id="149" w:name="ref-NationalAcademies2026"/>
    <w:p>
      <w:pPr>
        <w:pStyle w:val="Bibliography"/>
      </w:pPr>
      <w:r>
        <w:t xml:space="preserve">National Academies of Sciences, Engineering, and Medicine. 2026.</w:t>
      </w:r>
      <w:r>
        <w:t xml:space="preserve"> </w:t>
      </w:r>
      <w:r>
        <w:rPr>
          <w:iCs/>
          <w:i/>
        </w:rPr>
        <w:t xml:space="preserve">On Being a Scientist: A Guide to the Responsible and Ethical Conduct of Research: Fourth Edition</w:t>
      </w:r>
      <w:r>
        <w:t xml:space="preserve">. The National Academies Press, Washington, DC.</w:t>
      </w:r>
      <w:r>
        <w:t xml:space="preserve"> </w:t>
      </w:r>
      <w:hyperlink r:id="rId148">
        <w:r>
          <w:rPr>
            <w:rStyle w:val="Hyperlink"/>
          </w:rPr>
          <w:t xml:space="preserve">https://doi.org/10.17226/29488</w:t>
        </w:r>
      </w:hyperlink>
      <w:r>
        <w:t xml:space="preserve">.</w:t>
      </w:r>
    </w:p>
    <w:bookmarkEnd w:id="149"/>
    <w:bookmarkStart w:id="151"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50">
        <w:r>
          <w:rPr>
            <w:rStyle w:val="Hyperlink"/>
          </w:rPr>
          <w:t xml:space="preserve">https://doi.org/10.1002/smr.2723</w:t>
        </w:r>
      </w:hyperlink>
      <w:r>
        <w:t xml:space="preserve">.</w:t>
      </w:r>
    </w:p>
    <w:bookmarkEnd w:id="151"/>
    <w:bookmarkStart w:id="153"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52">
        <w:r>
          <w:rPr>
            <w:rStyle w:val="Hyperlink"/>
          </w:rPr>
          <w:t xml:space="preserve">https://doi.org/10.1017/chr.2026.10039</w:t>
        </w:r>
      </w:hyperlink>
      <w:r>
        <w:t xml:space="preserve">.</w:t>
      </w:r>
    </w:p>
    <w:bookmarkEnd w:id="153"/>
    <w:bookmarkStart w:id="155" w:name="ref-Rafiee2025"/>
    <w:p>
      <w:pPr>
        <w:pStyle w:val="Bibliography"/>
      </w:pPr>
      <w:r>
        <w:t xml:space="preserve">Rafiee, Gholamreza, and Wai Lok Woo. 2025.</w:t>
      </w:r>
      <w:r>
        <w:t xml:space="preserve"> </w:t>
      </w:r>
      <w:r>
        <w:t xml:space="preserve">Agentic AI: A Review of Architecture, Governance, and Sustainable Goal-Directed Autonomy</w:t>
      </w:r>
      <w:r>
        <w:t xml:space="preserve">.</w:t>
      </w:r>
      <w:r>
        <w:t xml:space="preserve"> </w:t>
      </w:r>
      <w:hyperlink r:id="rId154">
        <w:r>
          <w:rPr>
            <w:rStyle w:val="Hyperlink"/>
          </w:rPr>
          <w:t xml:space="preserve">https://doi.org/10.36227/techrxiv.176703982.24212722/v1</w:t>
        </w:r>
      </w:hyperlink>
      <w:r>
        <w:t xml:space="preserve">.</w:t>
      </w:r>
    </w:p>
    <w:bookmarkEnd w:id="155"/>
    <w:bookmarkStart w:id="157"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56">
        <w:r>
          <w:rPr>
            <w:rStyle w:val="Hyperlink"/>
          </w:rPr>
          <w:t xml:space="preserve">https://doi.org/10.1111/2041-210X.14341</w:t>
        </w:r>
      </w:hyperlink>
      <w:r>
        <w:t xml:space="preserve">.</w:t>
      </w:r>
    </w:p>
    <w:bookmarkEnd w:id="157"/>
    <w:bookmarkStart w:id="159"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58">
        <w:r>
          <w:rPr>
            <w:rStyle w:val="Hyperlink"/>
          </w:rPr>
          <w:t xml:space="preserve">https://doi.org/10.5281/zenodo.19332911</w:t>
        </w:r>
      </w:hyperlink>
      <w:r>
        <w:t xml:space="preserve">, accessed September 18, 2026.</w:t>
      </w:r>
    </w:p>
    <w:bookmarkEnd w:id="159"/>
    <w:bookmarkStart w:id="161"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60">
        <w:r>
          <w:rPr>
            <w:rStyle w:val="Hyperlink"/>
          </w:rPr>
          <w:t xml:space="preserve">https://doi.org/10.1080/20548923.2025.2564519</w:t>
        </w:r>
      </w:hyperlink>
      <w:r>
        <w:t xml:space="preserve">.</w:t>
      </w:r>
    </w:p>
    <w:bookmarkEnd w:id="161"/>
    <w:bookmarkStart w:id="163" w:name="ref-Sinha2026"/>
    <w:p>
      <w:pPr>
        <w:pStyle w:val="Bibliography"/>
      </w:pPr>
      <w:r>
        <w:t xml:space="preserve">Sinha, Akshit, Arvindh Arun, Shashwat Goel, Steffen Staab, and Jonas Geiping. 2026.</w:t>
      </w:r>
      <w:r>
        <w:t xml:space="preserve"> </w:t>
      </w:r>
      <w:r>
        <w:t xml:space="preserve">The Illusion of Diminishing Returns</w:t>
      </w:r>
      <w:r>
        <w:t xml:space="preserve">: Measuring Long Horizon Execution in</w:t>
      </w:r>
      <w:r>
        <w:t xml:space="preserve"> </w:t>
      </w:r>
      <w:r>
        <w:t xml:space="preserve">LLM</w:t>
      </w:r>
      <w:r>
        <w:t xml:space="preserve">s.</w:t>
      </w:r>
      <w:r>
        <w:t xml:space="preserve"> </w:t>
      </w:r>
      <w:r>
        <w:rPr>
          <w:iCs/>
          <w:i/>
        </w:rPr>
        <w:t xml:space="preserve">International Conference on Learning Representations (ICLR)</w:t>
      </w:r>
      <w:r>
        <w:t xml:space="preserve">.</w:t>
      </w:r>
      <w:r>
        <w:t xml:space="preserve"> </w:t>
      </w:r>
      <w:hyperlink r:id="rId162">
        <w:r>
          <w:rPr>
            <w:rStyle w:val="Hyperlink"/>
          </w:rPr>
          <w:t xml:space="preserve">https://doi.org/10.48550/arXiv.2509.09677</w:t>
        </w:r>
      </w:hyperlink>
      <w:r>
        <w:t xml:space="preserve">.</w:t>
      </w:r>
    </w:p>
    <w:bookmarkEnd w:id="163"/>
    <w:bookmarkStart w:id="165" w:name="ref-Taylor2023"/>
    <w:p>
      <w:pPr>
        <w:pStyle w:val="Bibliography"/>
      </w:pPr>
      <w:r>
        <w:t xml:space="preserve">Taylor, Matthew E. 2023. Reinforcement Learning Requires</w:t>
      </w:r>
      <w:r>
        <w:t xml:space="preserve"> </w:t>
      </w:r>
      <w:r>
        <w:t xml:space="preserve">Human-in-the-Loop</w:t>
      </w:r>
      <w:r>
        <w:t xml:space="preserve"> </w:t>
      </w:r>
      <w:r>
        <w:t xml:space="preserve">Framing and Approaches. In</w:t>
      </w:r>
      <w:r>
        <w:t xml:space="preserve"> </w:t>
      </w:r>
      <w:r>
        <w:rPr>
          <w:iCs/>
          <w:i/>
        </w:rPr>
        <w:t xml:space="preserve">HHAI 2023: Augmenting Human Intellect</w:t>
      </w:r>
      <w:r>
        <w:t xml:space="preserve">, Vol. 368. Frontiers in Artificial Intelligence and Applications. IOS Press, Amsterdam.</w:t>
      </w:r>
      <w:r>
        <w:t xml:space="preserve"> </w:t>
      </w:r>
      <w:hyperlink r:id="rId164">
        <w:r>
          <w:rPr>
            <w:rStyle w:val="Hyperlink"/>
          </w:rPr>
          <w:t xml:space="preserve">https://doi.org/10.3233/faia230098</w:t>
        </w:r>
      </w:hyperlink>
      <w:r>
        <w:t xml:space="preserve">.</w:t>
      </w:r>
    </w:p>
    <w:bookmarkEnd w:id="165"/>
    <w:bookmarkStart w:id="167"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 </w:t>
      </w:r>
      <w:r>
        <w:t xml:space="preserve">67.</w:t>
      </w:r>
      <w:r>
        <w:t xml:space="preserve"> </w:t>
      </w:r>
      <w:hyperlink r:id="rId166">
        <w:r>
          <w:rPr>
            <w:rStyle w:val="Hyperlink"/>
          </w:rPr>
          <w:t xml:space="preserve">https://doi.org/10.11141/ia.67.8</w:t>
        </w:r>
      </w:hyperlink>
      <w:r>
        <w:t xml:space="preserve">.</w:t>
      </w:r>
    </w:p>
    <w:bookmarkEnd w:id="167"/>
    <w:bookmarkStart w:id="169" w:name="ref-RoyalSociety2024"/>
    <w:p>
      <w:pPr>
        <w:pStyle w:val="Bibliography"/>
      </w:pPr>
      <w:r>
        <w:t xml:space="preserve">The Royal Society. 2024.</w:t>
      </w:r>
      <w:r>
        <w:t xml:space="preserve"> </w:t>
      </w:r>
      <w:r>
        <w:rPr>
          <w:iCs/>
          <w:i/>
        </w:rPr>
        <w:t xml:space="preserve">Science in the Age of AI</w:t>
      </w:r>
      <w:r>
        <w:rPr>
          <w:iCs/>
          <w:i/>
        </w:rPr>
        <w:t xml:space="preserve">: How Artificial Intelligence Is Changing the Nature and Method of Scientific Research</w:t>
      </w:r>
      <w:r>
        <w:t xml:space="preserve">. The Royal Society, London.</w:t>
      </w:r>
      <w:r>
        <w:t xml:space="preserve"> </w:t>
      </w:r>
      <w:hyperlink r:id="rId168">
        <w:r>
          <w:rPr>
            <w:rStyle w:val="Hyperlink"/>
          </w:rPr>
          <w:t xml:space="preserve">https://doi.org/10.1098/rs-policy.2026-31</w:t>
        </w:r>
      </w:hyperlink>
      <w:r>
        <w:t xml:space="preserve">.</w:t>
      </w:r>
    </w:p>
    <w:bookmarkEnd w:id="169"/>
    <w:bookmarkStart w:id="171"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13(1):14045.</w:t>
      </w:r>
      <w:r>
        <w:t xml:space="preserve"> </w:t>
      </w:r>
      <w:hyperlink r:id="rId170">
        <w:r>
          <w:rPr>
            <w:rStyle w:val="Hyperlink"/>
          </w:rPr>
          <w:t xml:space="preserve">https://doi.org/10.1038/s41598-023-41032-5</w:t>
        </w:r>
      </w:hyperlink>
      <w:r>
        <w:t xml:space="preserve">.</w:t>
      </w:r>
    </w:p>
    <w:bookmarkEnd w:id="171"/>
    <w:bookmarkStart w:id="173" w:name="ref-Wang2024"/>
    <w:p>
      <w:pPr>
        <w:pStyle w:val="Bibliography"/>
      </w:pPr>
      <w:r>
        <w:t xml:space="preserve">Wang, Lei, Chen Ma, Xueyang Feng, et al. 2024.</w:t>
      </w:r>
      <w:r>
        <w:t xml:space="preserve"> </w:t>
      </w:r>
      <w:r>
        <w:t xml:space="preserve">A Survey on Large Language Model Based Autonomous Agents</w:t>
      </w:r>
      <w:r>
        <w:t xml:space="preserve">.</w:t>
      </w:r>
      <w:r>
        <w:t xml:space="preserve"> </w:t>
      </w:r>
      <w:r>
        <w:rPr>
          <w:iCs/>
          <w:i/>
        </w:rPr>
        <w:t xml:space="preserve">Frontiers of Computer Science</w:t>
      </w:r>
      <w:r>
        <w:t xml:space="preserve"> </w:t>
      </w:r>
      <w:r>
        <w:t xml:space="preserve">18(6):186345.</w:t>
      </w:r>
      <w:r>
        <w:t xml:space="preserve"> </w:t>
      </w:r>
      <w:hyperlink r:id="rId172">
        <w:r>
          <w:rPr>
            <w:rStyle w:val="Hyperlink"/>
          </w:rPr>
          <w:t xml:space="preserve">https://doi.org/10.1007/s11704-024-40231-1</w:t>
        </w:r>
      </w:hyperlink>
      <w:r>
        <w:t xml:space="preserve">.</w:t>
      </w:r>
    </w:p>
    <w:bookmarkEnd w:id="173"/>
    <w:bookmarkStart w:id="175" w:name="ref-Wickham2019"/>
    <w:p>
      <w:pPr>
        <w:pStyle w:val="Bibliography"/>
      </w:pPr>
      <w:r>
        <w:t xml:space="preserve">Wickham, Hadley, Mara Averick, Jennifer Bryan,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74">
        <w:r>
          <w:rPr>
            <w:rStyle w:val="Hyperlink"/>
          </w:rPr>
          <w:t xml:space="preserve">https://doi.org/10.21105/joss.01686</w:t>
        </w:r>
      </w:hyperlink>
      <w:r>
        <w:t xml:space="preserve">.</w:t>
      </w:r>
    </w:p>
    <w:bookmarkEnd w:id="175"/>
    <w:bookmarkStart w:id="177" w:name="ref-Wiest2024"/>
    <w:p>
      <w:pPr>
        <w:pStyle w:val="Bibliography"/>
      </w:pPr>
      <w:r>
        <w:t xml:space="preserve">Wiest, Isabella Catharina, Dyke Ferber, Jiefu Zhu,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76">
        <w:r>
          <w:rPr>
            <w:rStyle w:val="Hyperlink"/>
          </w:rPr>
          <w:t xml:space="preserve">https://doi.org/10.1038/s41746-024-01233-2</w:t>
        </w:r>
      </w:hyperlink>
      <w:r>
        <w:t xml:space="preserve">.</w:t>
      </w:r>
    </w:p>
    <w:bookmarkEnd w:id="177"/>
    <w:bookmarkStart w:id="179"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hyperlink r:id="rId178">
        <w:r>
          <w:rPr>
            <w:rStyle w:val="Hyperlink"/>
          </w:rPr>
          <w:t xml:space="preserve">https://doi.org/10.48550/arXiv.2602.12430</w:t>
        </w:r>
      </w:hyperlink>
      <w:r>
        <w:t xml:space="preserve">.</w:t>
      </w:r>
    </w:p>
    <w:bookmarkEnd w:id="179"/>
    <w:bookmarkStart w:id="181" w:name="ref-ZamfirescuPereira2023"/>
    <w:p>
      <w:pPr>
        <w:pStyle w:val="Bibliography"/>
      </w:pPr>
      <w:r>
        <w:t xml:space="preserve">Zamfirescu-Pereira, J. D., Richmond Y. Wong, Bjoern Hartmann, and Qian Yang. 2023. Why Johnny Can’t Prompt: How Non-AI Experts Try (and Fail) to Design LLM Prompts.</w:t>
      </w:r>
      <w:r>
        <w:t xml:space="preserve"> </w:t>
      </w:r>
      <w:r>
        <w:rPr>
          <w:iCs/>
          <w:i/>
        </w:rPr>
        <w:t xml:space="preserve">Proceedings of the 2023 CHI Conference on Human Factors in Computing Systems</w:t>
      </w:r>
      <w:r>
        <w:t xml:space="preserve">, New York, New York, USA.</w:t>
      </w:r>
      <w:r>
        <w:t xml:space="preserve"> </w:t>
      </w:r>
      <w:hyperlink r:id="rId180">
        <w:r>
          <w:rPr>
            <w:rStyle w:val="Hyperlink"/>
          </w:rPr>
          <w:t xml:space="preserve">https://doi.org/10.1145/3544548.3581388</w:t>
        </w:r>
      </w:hyperlink>
      <w:r>
        <w:t xml:space="preserve">.</w:t>
      </w:r>
    </w:p>
    <w:bookmarkEnd w:id="181"/>
    <w:bookmarkStart w:id="183" w:name="ref-Zhang2026Vibe"/>
    <w:p>
      <w:pPr>
        <w:pStyle w:val="Bibliography"/>
      </w:pPr>
      <w:r>
        <w:t xml:space="preserve">Zhang, Yongjun. 2026. Vibe Researching: Can</w:t>
      </w:r>
      <w:r>
        <w:t xml:space="preserve"> </w:t>
      </w:r>
      <w:r>
        <w:t xml:space="preserve">AI</w:t>
      </w:r>
      <w:r>
        <w:t xml:space="preserve"> </w:t>
      </w:r>
      <w:r>
        <w:t xml:space="preserve">Agents with Skills Replace or Augment Social Scientists?</w:t>
      </w:r>
      <w:r>
        <w:t xml:space="preserve"> </w:t>
      </w:r>
      <w:r>
        <w:rPr>
          <w:iCs/>
          <w:i/>
        </w:rPr>
        <w:t xml:space="preserve">Chinese Sociological Review</w:t>
      </w:r>
      <w:r>
        <w:t xml:space="preserve">:1–36.</w:t>
      </w:r>
      <w:r>
        <w:t xml:space="preserve"> </w:t>
      </w:r>
      <w:hyperlink r:id="rId182">
        <w:r>
          <w:rPr>
            <w:rStyle w:val="Hyperlink"/>
          </w:rPr>
          <w:t xml:space="preserve">https://doi.org/10.1080/21620555.2026.2707167</w:t>
        </w:r>
      </w:hyperlink>
      <w:r>
        <w:t xml:space="preserve">.</w:t>
      </w:r>
    </w:p>
    <w:bookmarkEnd w:id="183"/>
    <w:bookmarkStart w:id="185" w:name="ref-Zheng2024"/>
    <w:p>
      <w:pPr>
        <w:pStyle w:val="Bibliography"/>
      </w:pPr>
      <w:r>
        <w:t xml:space="preserve">Zheng, Zibin, Kaiwen Ning, Yanlin Wang, et al. 2024. A Survey of Large Language Models for Code: Evolution, Benchmarking, and Future Trends.</w:t>
      </w:r>
      <w:r>
        <w:t xml:space="preserve"> </w:t>
      </w:r>
      <w:hyperlink r:id="rId184">
        <w:r>
          <w:rPr>
            <w:rStyle w:val="Hyperlink"/>
          </w:rPr>
          <w:t xml:space="preserve">https://doi.org/10.48550/arXiv.2311.10372</w:t>
        </w:r>
      </w:hyperlink>
      <w:r>
        <w:t xml:space="preserve">.</w:t>
      </w:r>
    </w:p>
    <w:bookmarkEnd w:id="185"/>
    <w:bookmarkStart w:id="187" w:name="ref-Ziems2024"/>
    <w:p>
      <w:pPr>
        <w:pStyle w:val="Bibliography"/>
      </w:pPr>
      <w:r>
        <w:t xml:space="preserve">Ziems, Caleb, William Held, Omar Shaikh, et al.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86">
        <w:r>
          <w:rPr>
            <w:rStyle w:val="Hyperlink"/>
          </w:rPr>
          <w:t xml:space="preserve">https://doi.org/10.1162/coli_a_00502</w:t>
        </w:r>
      </w:hyperlink>
      <w:r>
        <w:t xml:space="preserve">.</w:t>
      </w:r>
    </w:p>
    <w:bookmarkEnd w:id="187"/>
    <w:bookmarkStart w:id="189"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hyperlink r:id="rId188">
        <w:r>
          <w:rPr>
            <w:rStyle w:val="Hyperlink"/>
          </w:rPr>
          <w:t xml:space="preserve">https://doi.org/10.48550/arXiv.2603.15914</w:t>
        </w:r>
      </w:hyperlink>
      <w:r>
        <w:t xml:space="preserve">.</w:t>
      </w:r>
    </w:p>
    <w:bookmarkEnd w:id="189"/>
    <w:bookmarkEnd w:id="190"/>
    <w:bookmarkEnd w:id="19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hyperlink" Id="rId150" Target="https://doi.org/10.1002/smr.2723" TargetMode="External" /><Relationship Type="http://schemas.openxmlformats.org/officeDocument/2006/relationships/hyperlink" Id="rId106"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38" Target="https://doi.org/10.1007/s10816-015-9272-9" TargetMode="External" /><Relationship Type="http://schemas.openxmlformats.org/officeDocument/2006/relationships/hyperlink" Id="rId172" Target="https://doi.org/10.1007/s11704-024-40231-1" TargetMode="External" /><Relationship Type="http://schemas.openxmlformats.org/officeDocument/2006/relationships/hyperlink" Id="rId88" Target="https://doi.org/10.1007/s12599-023-00834-7" TargetMode="External" /><Relationship Type="http://schemas.openxmlformats.org/officeDocument/2006/relationships/hyperlink" Id="rId90" Target="https://doi.org/10.1016/j.culher.2024.11.020" TargetMode="External" /><Relationship Type="http://schemas.openxmlformats.org/officeDocument/2006/relationships/hyperlink" Id="rId104" Target="https://doi.org/10.1016/j.sftr.2025.101152" TargetMode="External" /><Relationship Type="http://schemas.openxmlformats.org/officeDocument/2006/relationships/hyperlink" Id="rId82" Target="https://doi.org/10.1017/aap.2026.10173" TargetMode="External" /><Relationship Type="http://schemas.openxmlformats.org/officeDocument/2006/relationships/hyperlink" Id="rId152" Target="https://doi.org/10.1017/chr.2026.10039" TargetMode="External" /><Relationship Type="http://schemas.openxmlformats.org/officeDocument/2006/relationships/hyperlink" Id="rId56" Target="https://doi.org/10.1038/s41586-023-06792-0" TargetMode="External" /><Relationship Type="http://schemas.openxmlformats.org/officeDocument/2006/relationships/hyperlink" Id="rId140" Target="https://doi.org/10.1038/s41586-024-07146-0" TargetMode="External" /><Relationship Type="http://schemas.openxmlformats.org/officeDocument/2006/relationships/hyperlink" Id="rId134" Target="https://doi.org/10.1038/s41586-026-10265-5" TargetMode="External" /><Relationship Type="http://schemas.openxmlformats.org/officeDocument/2006/relationships/hyperlink" Id="rId170" Target="https://doi.org/10.1038/s41598-023-41032-5" TargetMode="External" /><Relationship Type="http://schemas.openxmlformats.org/officeDocument/2006/relationships/hyperlink" Id="rId176" Target="https://doi.org/10.1038/s41746-024-01233-2" TargetMode="External" /><Relationship Type="http://schemas.openxmlformats.org/officeDocument/2006/relationships/hyperlink" Id="rId58" Target="https://doi.org/10.1038/s42256-024-00832-8" TargetMode="External" /><Relationship Type="http://schemas.openxmlformats.org/officeDocument/2006/relationships/hyperlink" Id="rId98" Target="https://doi.org/10.1038/s43586-022-00184-w" TargetMode="External" /><Relationship Type="http://schemas.openxmlformats.org/officeDocument/2006/relationships/hyperlink" Id="rId94" Target="https://doi.org/10.1038/s44185-024-00043-9" TargetMode="External" /><Relationship Type="http://schemas.openxmlformats.org/officeDocument/2006/relationships/hyperlink" Id="rId102" Target="https://doi.org/10.1057/s41599-026-08832-2" TargetMode="External" /><Relationship Type="http://schemas.openxmlformats.org/officeDocument/2006/relationships/hyperlink" Id="rId50" Target="https://doi.org/10.1073/pnas.2606495123" TargetMode="External" /><Relationship Type="http://schemas.openxmlformats.org/officeDocument/2006/relationships/hyperlink" Id="rId112" Target="https://doi.org/10.1080/00187259.2026.2714301" TargetMode="External" /><Relationship Type="http://schemas.openxmlformats.org/officeDocument/2006/relationships/hyperlink" Id="rId92" Target="https://doi.org/10.1080/10584609.2023.2290497" TargetMode="External" /><Relationship Type="http://schemas.openxmlformats.org/officeDocument/2006/relationships/hyperlink" Id="rId160" Target="https://doi.org/10.1080/20548923.2025.2564519" TargetMode="External" /><Relationship Type="http://schemas.openxmlformats.org/officeDocument/2006/relationships/hyperlink" Id="rId182" Target="https://doi.org/10.1080/21620555.2026.2707167" TargetMode="External" /><Relationship Type="http://schemas.openxmlformats.org/officeDocument/2006/relationships/hyperlink" Id="rId86" Target="https://doi.org/10.1093/jmammal/gyaf082" TargetMode="External" /><Relationship Type="http://schemas.openxmlformats.org/officeDocument/2006/relationships/hyperlink" Id="rId168" Target="https://doi.org/10.1098/rs-policy.2026-31" TargetMode="External" /><Relationship Type="http://schemas.openxmlformats.org/officeDocument/2006/relationships/hyperlink" Id="rId80" Target="https://doi.org/10.1111/2041-210X.14325" TargetMode="External" /><Relationship Type="http://schemas.openxmlformats.org/officeDocument/2006/relationships/hyperlink" Id="rId156" Target="https://doi.org/10.1111/2041-210X.14341" TargetMode="External" /><Relationship Type="http://schemas.openxmlformats.org/officeDocument/2006/relationships/hyperlink" Id="rId70"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146" Target="https://doi.org/10.1111/2041-210x.70403" TargetMode="External" /><Relationship Type="http://schemas.openxmlformats.org/officeDocument/2006/relationships/hyperlink" Id="rId64" Target="https://doi.org/10.1111/faf.70079" TargetMode="External" /><Relationship Type="http://schemas.openxmlformats.org/officeDocument/2006/relationships/hyperlink" Id="rId166" Target="https://doi.org/10.11141/ia.67.8" TargetMode="External" /><Relationship Type="http://schemas.openxmlformats.org/officeDocument/2006/relationships/hyperlink" Id="rId116" Target="https://doi.org/10.11141/ia.71.15" TargetMode="External" /><Relationship Type="http://schemas.openxmlformats.org/officeDocument/2006/relationships/hyperlink" Id="rId100" Target="https://doi.org/10.1126/science.adi1778" TargetMode="External" /><Relationship Type="http://schemas.openxmlformats.org/officeDocument/2006/relationships/hyperlink" Id="rId180" Target="https://doi.org/10.1145/3544548.3581388" TargetMode="External" /><Relationship Type="http://schemas.openxmlformats.org/officeDocument/2006/relationships/hyperlink" Id="rId108"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74" Target="https://doi.org/10.1162/coli.a.652" TargetMode="External" /><Relationship Type="http://schemas.openxmlformats.org/officeDocument/2006/relationships/hyperlink" Id="rId186" Target="https://doi.org/10.1162/coli_a_00502" TargetMode="External" /><Relationship Type="http://schemas.openxmlformats.org/officeDocument/2006/relationships/hyperlink" Id="rId120" Target="https://doi.org/10.1257/jel.20231736" TargetMode="External" /><Relationship Type="http://schemas.openxmlformats.org/officeDocument/2006/relationships/hyperlink" Id="rId84" Target="https://doi.org/10.1287/orsc.2025.21838" TargetMode="External" /><Relationship Type="http://schemas.openxmlformats.org/officeDocument/2006/relationships/hyperlink" Id="rId54" Target="https://doi.org/10.1371/journal.pcbi.1004668" TargetMode="External" /><Relationship Type="http://schemas.openxmlformats.org/officeDocument/2006/relationships/hyperlink" Id="rId60" Target="https://doi.org/10.1371/journal.pcbi.1014428" TargetMode="External" /><Relationship Type="http://schemas.openxmlformats.org/officeDocument/2006/relationships/hyperlink" Id="rId110" Target="https://doi.org/10.1371/journal.pone.0317084" TargetMode="External" /><Relationship Type="http://schemas.openxmlformats.org/officeDocument/2006/relationships/hyperlink" Id="rId148" Target="https://doi.org/10.17226/29488" TargetMode="External" /><Relationship Type="http://schemas.openxmlformats.org/officeDocument/2006/relationships/hyperlink" Id="rId174" Target="https://doi.org/10.21105/joss.01686" TargetMode="External" /><Relationship Type="http://schemas.openxmlformats.org/officeDocument/2006/relationships/hyperlink" Id="rId144" Target="https://doi.org/10.2139/ssrn.7011058" TargetMode="External" /><Relationship Type="http://schemas.openxmlformats.org/officeDocument/2006/relationships/hyperlink" Id="rId78" Target="https://doi.org/10.2139/ssrn.7465898" TargetMode="External" /><Relationship Type="http://schemas.openxmlformats.org/officeDocument/2006/relationships/hyperlink" Id="rId126" Target="https://doi.org/10.2196/51584" TargetMode="External" /><Relationship Type="http://schemas.openxmlformats.org/officeDocument/2006/relationships/hyperlink" Id="rId132" Target="https://doi.org/10.22582/ta.v14i2.778" TargetMode="External" /><Relationship Type="http://schemas.openxmlformats.org/officeDocument/2006/relationships/hyperlink" Id="rId52" Target="https://doi.org/10.31235/osf.io/azs6r_v1" TargetMode="External" /><Relationship Type="http://schemas.openxmlformats.org/officeDocument/2006/relationships/hyperlink" Id="rId164" Target="https://doi.org/10.3233/faia230098" TargetMode="External" /><Relationship Type="http://schemas.openxmlformats.org/officeDocument/2006/relationships/hyperlink" Id="rId118" Target="https://doi.org/10.35566/jbds/jikim" TargetMode="External" /><Relationship Type="http://schemas.openxmlformats.org/officeDocument/2006/relationships/hyperlink" Id="rId154" Target="https://doi.org/10.36227/techrxiv.176703982.24212722/v1" TargetMode="External" /><Relationship Type="http://schemas.openxmlformats.org/officeDocument/2006/relationships/hyperlink" Id="rId48" Target="https://doi.org/10.4337/9781802204131.00014" TargetMode="External" /><Relationship Type="http://schemas.openxmlformats.org/officeDocument/2006/relationships/hyperlink" Id="rId114" Target="https://doi.org/10.4337/9781802204131.00019" TargetMode="External" /><Relationship Type="http://schemas.openxmlformats.org/officeDocument/2006/relationships/hyperlink" Id="rId76" Target="https://doi.org/10.48550/arXiv.2304.05128" TargetMode="External" /><Relationship Type="http://schemas.openxmlformats.org/officeDocument/2006/relationships/hyperlink" Id="rId184" Target="https://doi.org/10.48550/arXiv.2311.10372" TargetMode="External" /><Relationship Type="http://schemas.openxmlformats.org/officeDocument/2006/relationships/hyperlink" Id="rId124" Target="https://doi.org/10.48550/arXiv.2505.06120" TargetMode="External" /><Relationship Type="http://schemas.openxmlformats.org/officeDocument/2006/relationships/hyperlink" Id="rId162" Target="https://doi.org/10.48550/arXiv.2509.09677" TargetMode="External" /><Relationship Type="http://schemas.openxmlformats.org/officeDocument/2006/relationships/hyperlink" Id="rId96" Target="https://doi.org/10.48550/arXiv.2601.22638" TargetMode="External" /><Relationship Type="http://schemas.openxmlformats.org/officeDocument/2006/relationships/hyperlink" Id="rId178" Target="https://doi.org/10.48550/arXiv.2602.12430" TargetMode="External" /><Relationship Type="http://schemas.openxmlformats.org/officeDocument/2006/relationships/hyperlink" Id="rId188" Target="https://doi.org/10.48550/arXiv.2603.15914" TargetMode="External" /><Relationship Type="http://schemas.openxmlformats.org/officeDocument/2006/relationships/hyperlink" Id="rId130" Target="https://doi.org/10.48550/arXiv.2604.14228" TargetMode="External" /><Relationship Type="http://schemas.openxmlformats.org/officeDocument/2006/relationships/hyperlink" Id="rId142" Target="https://doi.org/10.48550/arXiv.2607.01507" TargetMode="External" /><Relationship Type="http://schemas.openxmlformats.org/officeDocument/2006/relationships/hyperlink" Id="rId46" Target="https://doi.org/10.48550/arXiv.2609.00006" TargetMode="External" /><Relationship Type="http://schemas.openxmlformats.org/officeDocument/2006/relationships/hyperlink" Id="rId72" Target="https://doi.org/10.48550/arXiv.2609.11198" TargetMode="External" /><Relationship Type="http://schemas.openxmlformats.org/officeDocument/2006/relationships/hyperlink" Id="rId128" Target="https://doi.org/10.48550/arXiv.2609.16995" TargetMode="External" /><Relationship Type="http://schemas.openxmlformats.org/officeDocument/2006/relationships/hyperlink" Id="rId158" Target="https://doi.org/10.5281/zenodo.19332911" TargetMode="External" /><Relationship Type="http://schemas.openxmlformats.org/officeDocument/2006/relationships/hyperlink" Id="rId68" Target="https://vitaexmachina.substack.com/p/running-local-large-language-models" TargetMode="External" /><Relationship Type="http://schemas.openxmlformats.org/officeDocument/2006/relationships/hyperlink" Id="rId136" Target="https://www.anthropic.com/research/coding-agents-social-sciences" TargetMode="External" /><Relationship Type="http://schemas.openxmlformats.org/officeDocument/2006/relationships/hyperlink" Id="rId122" Target="https://www.nber.org/papers/w34202" TargetMode="External" /><Relationship Type="http://schemas.openxmlformats.org/officeDocument/2006/relationships/hyperlink" Id="rId62"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150" Target="https://doi.org/10.1002/smr.2723" TargetMode="External" /><Relationship Type="http://schemas.openxmlformats.org/officeDocument/2006/relationships/hyperlink" Id="rId106"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38" Target="https://doi.org/10.1007/s10816-015-9272-9" TargetMode="External" /><Relationship Type="http://schemas.openxmlformats.org/officeDocument/2006/relationships/hyperlink" Id="rId172" Target="https://doi.org/10.1007/s11704-024-40231-1" TargetMode="External" /><Relationship Type="http://schemas.openxmlformats.org/officeDocument/2006/relationships/hyperlink" Id="rId88" Target="https://doi.org/10.1007/s12599-023-00834-7" TargetMode="External" /><Relationship Type="http://schemas.openxmlformats.org/officeDocument/2006/relationships/hyperlink" Id="rId90" Target="https://doi.org/10.1016/j.culher.2024.11.020" TargetMode="External" /><Relationship Type="http://schemas.openxmlformats.org/officeDocument/2006/relationships/hyperlink" Id="rId104" Target="https://doi.org/10.1016/j.sftr.2025.101152" TargetMode="External" /><Relationship Type="http://schemas.openxmlformats.org/officeDocument/2006/relationships/hyperlink" Id="rId82" Target="https://doi.org/10.1017/aap.2026.10173" TargetMode="External" /><Relationship Type="http://schemas.openxmlformats.org/officeDocument/2006/relationships/hyperlink" Id="rId152" Target="https://doi.org/10.1017/chr.2026.10039" TargetMode="External" /><Relationship Type="http://schemas.openxmlformats.org/officeDocument/2006/relationships/hyperlink" Id="rId56" Target="https://doi.org/10.1038/s41586-023-06792-0" TargetMode="External" /><Relationship Type="http://schemas.openxmlformats.org/officeDocument/2006/relationships/hyperlink" Id="rId140" Target="https://doi.org/10.1038/s41586-024-07146-0" TargetMode="External" /><Relationship Type="http://schemas.openxmlformats.org/officeDocument/2006/relationships/hyperlink" Id="rId134" Target="https://doi.org/10.1038/s41586-026-10265-5" TargetMode="External" /><Relationship Type="http://schemas.openxmlformats.org/officeDocument/2006/relationships/hyperlink" Id="rId170" Target="https://doi.org/10.1038/s41598-023-41032-5" TargetMode="External" /><Relationship Type="http://schemas.openxmlformats.org/officeDocument/2006/relationships/hyperlink" Id="rId176" Target="https://doi.org/10.1038/s41746-024-01233-2" TargetMode="External" /><Relationship Type="http://schemas.openxmlformats.org/officeDocument/2006/relationships/hyperlink" Id="rId58" Target="https://doi.org/10.1038/s42256-024-00832-8" TargetMode="External" /><Relationship Type="http://schemas.openxmlformats.org/officeDocument/2006/relationships/hyperlink" Id="rId98" Target="https://doi.org/10.1038/s43586-022-00184-w" TargetMode="External" /><Relationship Type="http://schemas.openxmlformats.org/officeDocument/2006/relationships/hyperlink" Id="rId94" Target="https://doi.org/10.1038/s44185-024-00043-9" TargetMode="External" /><Relationship Type="http://schemas.openxmlformats.org/officeDocument/2006/relationships/hyperlink" Id="rId102" Target="https://doi.org/10.1057/s41599-026-08832-2" TargetMode="External" /><Relationship Type="http://schemas.openxmlformats.org/officeDocument/2006/relationships/hyperlink" Id="rId50" Target="https://doi.org/10.1073/pnas.2606495123" TargetMode="External" /><Relationship Type="http://schemas.openxmlformats.org/officeDocument/2006/relationships/hyperlink" Id="rId112" Target="https://doi.org/10.1080/00187259.2026.2714301" TargetMode="External" /><Relationship Type="http://schemas.openxmlformats.org/officeDocument/2006/relationships/hyperlink" Id="rId92" Target="https://doi.org/10.1080/10584609.2023.2290497" TargetMode="External" /><Relationship Type="http://schemas.openxmlformats.org/officeDocument/2006/relationships/hyperlink" Id="rId160" Target="https://doi.org/10.1080/20548923.2025.2564519" TargetMode="External" /><Relationship Type="http://schemas.openxmlformats.org/officeDocument/2006/relationships/hyperlink" Id="rId182" Target="https://doi.org/10.1080/21620555.2026.2707167" TargetMode="External" /><Relationship Type="http://schemas.openxmlformats.org/officeDocument/2006/relationships/hyperlink" Id="rId86" Target="https://doi.org/10.1093/jmammal/gyaf082" TargetMode="External" /><Relationship Type="http://schemas.openxmlformats.org/officeDocument/2006/relationships/hyperlink" Id="rId168" Target="https://doi.org/10.1098/rs-policy.2026-31" TargetMode="External" /><Relationship Type="http://schemas.openxmlformats.org/officeDocument/2006/relationships/hyperlink" Id="rId80" Target="https://doi.org/10.1111/2041-210X.14325" TargetMode="External" /><Relationship Type="http://schemas.openxmlformats.org/officeDocument/2006/relationships/hyperlink" Id="rId156" Target="https://doi.org/10.1111/2041-210X.14341" TargetMode="External" /><Relationship Type="http://schemas.openxmlformats.org/officeDocument/2006/relationships/hyperlink" Id="rId70"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146" Target="https://doi.org/10.1111/2041-210x.70403" TargetMode="External" /><Relationship Type="http://schemas.openxmlformats.org/officeDocument/2006/relationships/hyperlink" Id="rId64" Target="https://doi.org/10.1111/faf.70079" TargetMode="External" /><Relationship Type="http://schemas.openxmlformats.org/officeDocument/2006/relationships/hyperlink" Id="rId166" Target="https://doi.org/10.11141/ia.67.8" TargetMode="External" /><Relationship Type="http://schemas.openxmlformats.org/officeDocument/2006/relationships/hyperlink" Id="rId116" Target="https://doi.org/10.11141/ia.71.15" TargetMode="External" /><Relationship Type="http://schemas.openxmlformats.org/officeDocument/2006/relationships/hyperlink" Id="rId100" Target="https://doi.org/10.1126/science.adi1778" TargetMode="External" /><Relationship Type="http://schemas.openxmlformats.org/officeDocument/2006/relationships/hyperlink" Id="rId180" Target="https://doi.org/10.1145/3544548.3581388" TargetMode="External" /><Relationship Type="http://schemas.openxmlformats.org/officeDocument/2006/relationships/hyperlink" Id="rId108"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74" Target="https://doi.org/10.1162/coli.a.652" TargetMode="External" /><Relationship Type="http://schemas.openxmlformats.org/officeDocument/2006/relationships/hyperlink" Id="rId186" Target="https://doi.org/10.1162/coli_a_00502" TargetMode="External" /><Relationship Type="http://schemas.openxmlformats.org/officeDocument/2006/relationships/hyperlink" Id="rId120" Target="https://doi.org/10.1257/jel.20231736" TargetMode="External" /><Relationship Type="http://schemas.openxmlformats.org/officeDocument/2006/relationships/hyperlink" Id="rId84" Target="https://doi.org/10.1287/orsc.2025.21838" TargetMode="External" /><Relationship Type="http://schemas.openxmlformats.org/officeDocument/2006/relationships/hyperlink" Id="rId54" Target="https://doi.org/10.1371/journal.pcbi.1004668" TargetMode="External" /><Relationship Type="http://schemas.openxmlformats.org/officeDocument/2006/relationships/hyperlink" Id="rId60" Target="https://doi.org/10.1371/journal.pcbi.1014428" TargetMode="External" /><Relationship Type="http://schemas.openxmlformats.org/officeDocument/2006/relationships/hyperlink" Id="rId110" Target="https://doi.org/10.1371/journal.pone.0317084" TargetMode="External" /><Relationship Type="http://schemas.openxmlformats.org/officeDocument/2006/relationships/hyperlink" Id="rId148" Target="https://doi.org/10.17226/29488" TargetMode="External" /><Relationship Type="http://schemas.openxmlformats.org/officeDocument/2006/relationships/hyperlink" Id="rId174" Target="https://doi.org/10.21105/joss.01686" TargetMode="External" /><Relationship Type="http://schemas.openxmlformats.org/officeDocument/2006/relationships/hyperlink" Id="rId144" Target="https://doi.org/10.2139/ssrn.7011058" TargetMode="External" /><Relationship Type="http://schemas.openxmlformats.org/officeDocument/2006/relationships/hyperlink" Id="rId78" Target="https://doi.org/10.2139/ssrn.7465898" TargetMode="External" /><Relationship Type="http://schemas.openxmlformats.org/officeDocument/2006/relationships/hyperlink" Id="rId126" Target="https://doi.org/10.2196/51584" TargetMode="External" /><Relationship Type="http://schemas.openxmlformats.org/officeDocument/2006/relationships/hyperlink" Id="rId132" Target="https://doi.org/10.22582/ta.v14i2.778" TargetMode="External" /><Relationship Type="http://schemas.openxmlformats.org/officeDocument/2006/relationships/hyperlink" Id="rId52" Target="https://doi.org/10.31235/osf.io/azs6r_v1" TargetMode="External" /><Relationship Type="http://schemas.openxmlformats.org/officeDocument/2006/relationships/hyperlink" Id="rId164" Target="https://doi.org/10.3233/faia230098" TargetMode="External" /><Relationship Type="http://schemas.openxmlformats.org/officeDocument/2006/relationships/hyperlink" Id="rId118" Target="https://doi.org/10.35566/jbds/jikim" TargetMode="External" /><Relationship Type="http://schemas.openxmlformats.org/officeDocument/2006/relationships/hyperlink" Id="rId154" Target="https://doi.org/10.36227/techrxiv.176703982.24212722/v1" TargetMode="External" /><Relationship Type="http://schemas.openxmlformats.org/officeDocument/2006/relationships/hyperlink" Id="rId48" Target="https://doi.org/10.4337/9781802204131.00014" TargetMode="External" /><Relationship Type="http://schemas.openxmlformats.org/officeDocument/2006/relationships/hyperlink" Id="rId114" Target="https://doi.org/10.4337/9781802204131.00019" TargetMode="External" /><Relationship Type="http://schemas.openxmlformats.org/officeDocument/2006/relationships/hyperlink" Id="rId76" Target="https://doi.org/10.48550/arXiv.2304.05128" TargetMode="External" /><Relationship Type="http://schemas.openxmlformats.org/officeDocument/2006/relationships/hyperlink" Id="rId184" Target="https://doi.org/10.48550/arXiv.2311.10372" TargetMode="External" /><Relationship Type="http://schemas.openxmlformats.org/officeDocument/2006/relationships/hyperlink" Id="rId124" Target="https://doi.org/10.48550/arXiv.2505.06120" TargetMode="External" /><Relationship Type="http://schemas.openxmlformats.org/officeDocument/2006/relationships/hyperlink" Id="rId162" Target="https://doi.org/10.48550/arXiv.2509.09677" TargetMode="External" /><Relationship Type="http://schemas.openxmlformats.org/officeDocument/2006/relationships/hyperlink" Id="rId96" Target="https://doi.org/10.48550/arXiv.2601.22638" TargetMode="External" /><Relationship Type="http://schemas.openxmlformats.org/officeDocument/2006/relationships/hyperlink" Id="rId178" Target="https://doi.org/10.48550/arXiv.2602.12430" TargetMode="External" /><Relationship Type="http://schemas.openxmlformats.org/officeDocument/2006/relationships/hyperlink" Id="rId188" Target="https://doi.org/10.48550/arXiv.2603.15914" TargetMode="External" /><Relationship Type="http://schemas.openxmlformats.org/officeDocument/2006/relationships/hyperlink" Id="rId130" Target="https://doi.org/10.48550/arXiv.2604.14228" TargetMode="External" /><Relationship Type="http://schemas.openxmlformats.org/officeDocument/2006/relationships/hyperlink" Id="rId142" Target="https://doi.org/10.48550/arXiv.2607.01507" TargetMode="External" /><Relationship Type="http://schemas.openxmlformats.org/officeDocument/2006/relationships/hyperlink" Id="rId46" Target="https://doi.org/10.48550/arXiv.2609.00006" TargetMode="External" /><Relationship Type="http://schemas.openxmlformats.org/officeDocument/2006/relationships/hyperlink" Id="rId72" Target="https://doi.org/10.48550/arXiv.2609.11198" TargetMode="External" /><Relationship Type="http://schemas.openxmlformats.org/officeDocument/2006/relationships/hyperlink" Id="rId128" Target="https://doi.org/10.48550/arXiv.2609.16995" TargetMode="External" /><Relationship Type="http://schemas.openxmlformats.org/officeDocument/2006/relationships/hyperlink" Id="rId158" Target="https://doi.org/10.5281/zenodo.19332911" TargetMode="External" /><Relationship Type="http://schemas.openxmlformats.org/officeDocument/2006/relationships/hyperlink" Id="rId68" Target="https://vitaexmachina.substack.com/p/running-local-large-language-models" TargetMode="External" /><Relationship Type="http://schemas.openxmlformats.org/officeDocument/2006/relationships/hyperlink" Id="rId136" Target="https://www.anthropic.com/research/coding-agents-social-sciences" TargetMode="External" /><Relationship Type="http://schemas.openxmlformats.org/officeDocument/2006/relationships/hyperlink" Id="rId122" Target="https://www.nber.org/papers/w34202" TargetMode="External" /><Relationship Type="http://schemas.openxmlformats.org/officeDocument/2006/relationships/hyperlink" Id="rId62"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dc:title>
  <dc:creator/>
  <cp:keywords/>
  <dcterms:created xsi:type="dcterms:W3CDTF">2026-10-02T21:50:32Z</dcterms:created>
  <dcterms:modified xsi:type="dcterms:W3CDTF">2026-10-02T21:50:32Z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increasingly ask computers to help with research tasks, from searching literature to writing analysis code. Generative artificial intelligence promises to accelerate this work. These systems can draft code, extract data from publications, and summarize sources quickly. But they also produce deceptively fluent errors: invented citations, unsound statistics, and explanations that fall apart on inspection. Existing prompting advice and reproducibility checklists do not say how to configure and supervise an AI agent across a full analysis. The practical problem is how to keep the researcher responsible for every analytical decision while gaining speed. Here we describe how to use a researcher-directed workflow built from three practices. Researchers learn an open source toolkit for reproducible research (e.g. R, Quarto, Git); configure a local harness with instructions and permissions; and use skills and verification tools that research, plan, execute, and check each analysis. Unlike chatbot use, every plan, command, and file change becomes reviewable; restricted data stay protected through retention controls, local models, or synthetic stand-ins. Getting reliable help from agentic AI has costs that include setup time and expert oversight, but the result is analysis others can inspect, rerun, and trust.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October 2,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reproducible analyses, and review changesConfigure an agent harness with project instructions and explicit permissionsUse and customize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