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to</w:t>
      </w:r>
      <w:r>
        <w:t xml:space="preserve"> </w:t>
      </w:r>
      <w:r>
        <w:t xml:space="preserve">Use</w:t>
      </w:r>
      <w:r>
        <w:t xml:space="preserve"> </w:t>
      </w:r>
      <w:r>
        <w:t xml:space="preserve">Agentic</w:t>
      </w:r>
      <w:r>
        <w:t xml:space="preserve"> </w:t>
      </w:r>
      <w:r>
        <w:t xml:space="preserve">AI</w:t>
      </w:r>
      <w:r>
        <w:t xml:space="preserve"> </w:t>
      </w:r>
      <w:r>
        <w:t xml:space="preserve">for</w:t>
      </w:r>
      <w:r>
        <w:t xml:space="preserve"> </w:t>
      </w:r>
      <w:r>
        <w:t xml:space="preserve">Responsible</w:t>
      </w:r>
      <w:r>
        <w:t xml:space="preserve"> </w:t>
      </w:r>
      <w:r>
        <w:t xml:space="preserve">Archaeological</w:t>
      </w:r>
      <w:r>
        <w:t xml:space="preserve"> </w:t>
      </w:r>
      <w:r>
        <w:t xml:space="preserve">Data</w:t>
      </w:r>
      <w:r>
        <w:t xml:space="preserve"> </w:t>
      </w:r>
      <w:r>
        <w:t xml:space="preserve">Analysis</w:t>
      </w:r>
    </w:p>
    <w:p>
      <w:pPr>
        <w:pStyle w:val="Date"/>
      </w:pPr>
      <w:r>
        <w:t xml:space="preserve">September</w:t>
      </w:r>
      <w:r>
        <w:t xml:space="preserve"> </w:t>
      </w:r>
      <w:r>
        <w:t xml:space="preserve">27,</w:t>
      </w:r>
      <w:r>
        <w:t xml:space="preserve"> </w:t>
      </w:r>
      <w:r>
        <w:t xml:space="preserve">2026</w:t>
      </w:r>
    </w:p>
    <w:p>
      <w:pPr>
        <w:pStyle w:val="AbstractTitle"/>
      </w:pPr>
      <w:r>
        <w:t xml:space="preserve">Abstract</w:t>
      </w:r>
    </w:p>
    <w:p>
      <w:pPr>
        <w:pStyle w:val="Abstract"/>
      </w:pPr>
      <w:r>
        <w:t xml:space="preserve">Archaeologists</w:t>
      </w:r>
      <w:r>
        <w:t xml:space="preserve"> </w:t>
      </w:r>
      <w:r>
        <w:t xml:space="preserve">increasingly</w:t>
      </w:r>
      <w:r>
        <w:t xml:space="preserve"> </w:t>
      </w:r>
      <w:r>
        <w:t xml:space="preserve">ask</w:t>
      </w:r>
      <w:r>
        <w:t xml:space="preserve"> </w:t>
      </w:r>
      <w:r>
        <w:t xml:space="preserve">computers</w:t>
      </w:r>
      <w:r>
        <w:t xml:space="preserve"> </w:t>
      </w:r>
      <w:r>
        <w:t xml:space="preserve">to</w:t>
      </w:r>
      <w:r>
        <w:t xml:space="preserve"> </w:t>
      </w:r>
      <w:r>
        <w:t xml:space="preserve">help</w:t>
      </w:r>
      <w:r>
        <w:t xml:space="preserve"> </w:t>
      </w:r>
      <w:r>
        <w:t xml:space="preserve">with</w:t>
      </w:r>
      <w:r>
        <w:t xml:space="preserve"> </w:t>
      </w:r>
      <w:r>
        <w:t xml:space="preserve">research</w:t>
      </w:r>
      <w:r>
        <w:t xml:space="preserve"> </w:t>
      </w:r>
      <w:r>
        <w:t xml:space="preserve">tasks,</w:t>
      </w:r>
      <w:r>
        <w:t xml:space="preserve"> </w:t>
      </w:r>
      <w:r>
        <w:t xml:space="preserve">from</w:t>
      </w:r>
      <w:r>
        <w:t xml:space="preserve"> </w:t>
      </w:r>
      <w:r>
        <w:t xml:space="preserve">searching</w:t>
      </w:r>
      <w:r>
        <w:t xml:space="preserve"> </w:t>
      </w:r>
      <w:r>
        <w:t xml:space="preserve">literature</w:t>
      </w:r>
      <w:r>
        <w:t xml:space="preserve"> </w:t>
      </w:r>
      <w:r>
        <w:t xml:space="preserve">to</w:t>
      </w:r>
      <w:r>
        <w:t xml:space="preserve"> </w:t>
      </w:r>
      <w:r>
        <w:t xml:space="preserve">writing</w:t>
      </w:r>
      <w:r>
        <w:t xml:space="preserve"> </w:t>
      </w:r>
      <w:r>
        <w:t xml:space="preserve">analysis</w:t>
      </w:r>
      <w:r>
        <w:t xml:space="preserve"> </w:t>
      </w:r>
      <w:r>
        <w:t xml:space="preserve">code.</w:t>
      </w:r>
      <w:r>
        <w:t xml:space="preserve"> </w:t>
      </w:r>
      <w:r>
        <w:t xml:space="preserve">Generative</w:t>
      </w:r>
      <w:r>
        <w:t xml:space="preserve"> </w:t>
      </w:r>
      <w:r>
        <w:t xml:space="preserve">artificial</w:t>
      </w:r>
      <w:r>
        <w:t xml:space="preserve"> </w:t>
      </w:r>
      <w:r>
        <w:t xml:space="preserve">intelligence</w:t>
      </w:r>
      <w:r>
        <w:t xml:space="preserve"> </w:t>
      </w:r>
      <w:r>
        <w:t xml:space="preserve">promises</w:t>
      </w:r>
      <w:r>
        <w:t xml:space="preserve"> </w:t>
      </w:r>
      <w:r>
        <w:t xml:space="preserve">to</w:t>
      </w:r>
      <w:r>
        <w:t xml:space="preserve"> </w:t>
      </w:r>
      <w:r>
        <w:t xml:space="preserve">accelerate</w:t>
      </w:r>
      <w:r>
        <w:t xml:space="preserve"> </w:t>
      </w:r>
      <w:r>
        <w:t xml:space="preserve">this</w:t>
      </w:r>
      <w:r>
        <w:t xml:space="preserve"> </w:t>
      </w:r>
      <w:r>
        <w:t xml:space="preserve">work.</w:t>
      </w:r>
      <w:r>
        <w:t xml:space="preserve"> </w:t>
      </w:r>
      <w:r>
        <w:t xml:space="preserve">These</w:t>
      </w:r>
      <w:r>
        <w:t xml:space="preserve"> </w:t>
      </w:r>
      <w:r>
        <w:t xml:space="preserve">systems</w:t>
      </w:r>
      <w:r>
        <w:t xml:space="preserve"> </w:t>
      </w:r>
      <w:r>
        <w:t xml:space="preserve">can</w:t>
      </w:r>
      <w:r>
        <w:t xml:space="preserve"> </w:t>
      </w:r>
      <w:r>
        <w:t xml:space="preserve">draft</w:t>
      </w:r>
      <w:r>
        <w:t xml:space="preserve"> </w:t>
      </w:r>
      <w:r>
        <w:t xml:space="preserve">code,</w:t>
      </w:r>
      <w:r>
        <w:t xml:space="preserve"> </w:t>
      </w:r>
      <w:r>
        <w:t xml:space="preserve">extract</w:t>
      </w:r>
      <w:r>
        <w:t xml:space="preserve"> </w:t>
      </w:r>
      <w:r>
        <w:t xml:space="preserve">data</w:t>
      </w:r>
      <w:r>
        <w:t xml:space="preserve"> </w:t>
      </w:r>
      <w:r>
        <w:t xml:space="preserve">from</w:t>
      </w:r>
      <w:r>
        <w:t xml:space="preserve"> </w:t>
      </w:r>
      <w:r>
        <w:t xml:space="preserve">publications,</w:t>
      </w:r>
      <w:r>
        <w:t xml:space="preserve"> </w:t>
      </w:r>
      <w:r>
        <w:t xml:space="preserve">and</w:t>
      </w:r>
      <w:r>
        <w:t xml:space="preserve"> </w:t>
      </w:r>
      <w:r>
        <w:t xml:space="preserve">summarize</w:t>
      </w:r>
      <w:r>
        <w:t xml:space="preserve"> </w:t>
      </w:r>
      <w:r>
        <w:t xml:space="preserve">sources</w:t>
      </w:r>
      <w:r>
        <w:t xml:space="preserve"> </w:t>
      </w:r>
      <w:r>
        <w:t xml:space="preserve">quickly.</w:t>
      </w:r>
      <w:r>
        <w:t xml:space="preserve"> </w:t>
      </w:r>
      <w:r>
        <w:t xml:space="preserve">But</w:t>
      </w:r>
      <w:r>
        <w:t xml:space="preserve"> </w:t>
      </w:r>
      <w:r>
        <w:t xml:space="preserve">they</w:t>
      </w:r>
      <w:r>
        <w:t xml:space="preserve"> </w:t>
      </w:r>
      <w:r>
        <w:t xml:space="preserve">also</w:t>
      </w:r>
      <w:r>
        <w:t xml:space="preserve"> </w:t>
      </w:r>
      <w:r>
        <w:t xml:space="preserve">produce</w:t>
      </w:r>
      <w:r>
        <w:t xml:space="preserve"> </w:t>
      </w:r>
      <w:r>
        <w:t xml:space="preserve">deceptively</w:t>
      </w:r>
      <w:r>
        <w:t xml:space="preserve"> </w:t>
      </w:r>
      <w:r>
        <w:t xml:space="preserve">fluent</w:t>
      </w:r>
      <w:r>
        <w:t xml:space="preserve"> </w:t>
      </w:r>
      <w:r>
        <w:t xml:space="preserve">errors:</w:t>
      </w:r>
      <w:r>
        <w:t xml:space="preserve"> </w:t>
      </w:r>
      <w:r>
        <w:t xml:space="preserve">invented</w:t>
      </w:r>
      <w:r>
        <w:t xml:space="preserve"> </w:t>
      </w:r>
      <w:r>
        <w:t xml:space="preserve">citations,</w:t>
      </w:r>
      <w:r>
        <w:t xml:space="preserve"> </w:t>
      </w:r>
      <w:r>
        <w:t xml:space="preserve">unsound</w:t>
      </w:r>
      <w:r>
        <w:t xml:space="preserve"> </w:t>
      </w:r>
      <w:r>
        <w:t xml:space="preserve">statistics,</w:t>
      </w:r>
      <w:r>
        <w:t xml:space="preserve"> </w:t>
      </w:r>
      <w:r>
        <w:t xml:space="preserve">and</w:t>
      </w:r>
      <w:r>
        <w:t xml:space="preserve"> </w:t>
      </w:r>
      <w:r>
        <w:t xml:space="preserve">explanations</w:t>
      </w:r>
      <w:r>
        <w:t xml:space="preserve"> </w:t>
      </w:r>
      <w:r>
        <w:t xml:space="preserve">that</w:t>
      </w:r>
      <w:r>
        <w:t xml:space="preserve"> </w:t>
      </w:r>
      <w:r>
        <w:t xml:space="preserve">fall</w:t>
      </w:r>
      <w:r>
        <w:t xml:space="preserve"> </w:t>
      </w:r>
      <w:r>
        <w:t xml:space="preserve">apart</w:t>
      </w:r>
      <w:r>
        <w:t xml:space="preserve"> </w:t>
      </w:r>
      <w:r>
        <w:t xml:space="preserve">on</w:t>
      </w:r>
      <w:r>
        <w:t xml:space="preserve"> </w:t>
      </w:r>
      <w:r>
        <w:t xml:space="preserve">inspection.</w:t>
      </w:r>
      <w:r>
        <w:t xml:space="preserve"> </w:t>
      </w:r>
      <w:r>
        <w:t xml:space="preserve">Existing</w:t>
      </w:r>
      <w:r>
        <w:t xml:space="preserve"> </w:t>
      </w:r>
      <w:r>
        <w:t xml:space="preserve">prompting</w:t>
      </w:r>
      <w:r>
        <w:t xml:space="preserve"> </w:t>
      </w:r>
      <w:r>
        <w:t xml:space="preserve">advice</w:t>
      </w:r>
      <w:r>
        <w:t xml:space="preserve"> </w:t>
      </w:r>
      <w:r>
        <w:t xml:space="preserve">and</w:t>
      </w:r>
      <w:r>
        <w:t xml:space="preserve"> </w:t>
      </w:r>
      <w:r>
        <w:t xml:space="preserve">reproducibility</w:t>
      </w:r>
      <w:r>
        <w:t xml:space="preserve"> </w:t>
      </w:r>
      <w:r>
        <w:t xml:space="preserve">checklists</w:t>
      </w:r>
      <w:r>
        <w:t xml:space="preserve"> </w:t>
      </w:r>
      <w:r>
        <w:t xml:space="preserve">do</w:t>
      </w:r>
      <w:r>
        <w:t xml:space="preserve"> </w:t>
      </w:r>
      <w:r>
        <w:t xml:space="preserve">not</w:t>
      </w:r>
      <w:r>
        <w:t xml:space="preserve"> </w:t>
      </w:r>
      <w:r>
        <w:t xml:space="preserve">say</w:t>
      </w:r>
      <w:r>
        <w:t xml:space="preserve"> </w:t>
      </w:r>
      <w:r>
        <w:t xml:space="preserve">how</w:t>
      </w:r>
      <w:r>
        <w:t xml:space="preserve"> </w:t>
      </w:r>
      <w:r>
        <w:t xml:space="preserve">to</w:t>
      </w:r>
      <w:r>
        <w:t xml:space="preserve"> </w:t>
      </w:r>
      <w:r>
        <w:t xml:space="preserve">configure</w:t>
      </w:r>
      <w:r>
        <w:t xml:space="preserve"> </w:t>
      </w:r>
      <w:r>
        <w:t xml:space="preserve">and</w:t>
      </w:r>
      <w:r>
        <w:t xml:space="preserve"> </w:t>
      </w:r>
      <w:r>
        <w:t xml:space="preserve">supervise</w:t>
      </w:r>
      <w:r>
        <w:t xml:space="preserve"> </w:t>
      </w:r>
      <w:r>
        <w:t xml:space="preserve">an</w:t>
      </w:r>
      <w:r>
        <w:t xml:space="preserve"> </w:t>
      </w:r>
      <w:r>
        <w:t xml:space="preserve">AI</w:t>
      </w:r>
      <w:r>
        <w:t xml:space="preserve"> </w:t>
      </w:r>
      <w:r>
        <w:t xml:space="preserve">agent</w:t>
      </w:r>
      <w:r>
        <w:t xml:space="preserve"> </w:t>
      </w:r>
      <w:r>
        <w:t xml:space="preserve">across</w:t>
      </w:r>
      <w:r>
        <w:t xml:space="preserve"> </w:t>
      </w:r>
      <w:r>
        <w:t xml:space="preserve">a</w:t>
      </w:r>
      <w:r>
        <w:t xml:space="preserve"> </w:t>
      </w:r>
      <w:r>
        <w:t xml:space="preserve">full</w:t>
      </w:r>
      <w:r>
        <w:t xml:space="preserve"> </w:t>
      </w:r>
      <w:r>
        <w:t xml:space="preserve">analysis.</w:t>
      </w:r>
      <w:r>
        <w:t xml:space="preserve"> </w:t>
      </w:r>
      <w:r>
        <w:t xml:space="preserve">The</w:t>
      </w:r>
      <w:r>
        <w:t xml:space="preserve"> </w:t>
      </w:r>
      <w:r>
        <w:t xml:space="preserve">practical</w:t>
      </w:r>
      <w:r>
        <w:t xml:space="preserve"> </w:t>
      </w:r>
      <w:r>
        <w:t xml:space="preserve">problem</w:t>
      </w:r>
      <w:r>
        <w:t xml:space="preserve"> </w:t>
      </w:r>
      <w:r>
        <w:t xml:space="preserve">is</w:t>
      </w:r>
      <w:r>
        <w:t xml:space="preserve"> </w:t>
      </w:r>
      <w:r>
        <w:t xml:space="preserve">how</w:t>
      </w:r>
      <w:r>
        <w:t xml:space="preserve"> </w:t>
      </w:r>
      <w:r>
        <w:t xml:space="preserve">to</w:t>
      </w:r>
      <w:r>
        <w:t xml:space="preserve"> </w:t>
      </w:r>
      <w:r>
        <w:t xml:space="preserve">keep</w:t>
      </w:r>
      <w:r>
        <w:t xml:space="preserve"> </w:t>
      </w:r>
      <w:r>
        <w:t xml:space="preserve">the</w:t>
      </w:r>
      <w:r>
        <w:t xml:space="preserve"> </w:t>
      </w:r>
      <w:r>
        <w:t xml:space="preserve">researcher</w:t>
      </w:r>
      <w:r>
        <w:t xml:space="preserve"> </w:t>
      </w:r>
      <w:r>
        <w:t xml:space="preserve">responsible</w:t>
      </w:r>
      <w:r>
        <w:t xml:space="preserve"> </w:t>
      </w:r>
      <w:r>
        <w:t xml:space="preserve">for</w:t>
      </w:r>
      <w:r>
        <w:t xml:space="preserve"> </w:t>
      </w:r>
      <w:r>
        <w:t xml:space="preserve">every</w:t>
      </w:r>
      <w:r>
        <w:t xml:space="preserve"> </w:t>
      </w:r>
      <w:r>
        <w:t xml:space="preserve">analytical</w:t>
      </w:r>
      <w:r>
        <w:t xml:space="preserve"> </w:t>
      </w:r>
      <w:r>
        <w:t xml:space="preserve">decision</w:t>
      </w:r>
      <w:r>
        <w:t xml:space="preserve"> </w:t>
      </w:r>
      <w:r>
        <w:t xml:space="preserve">while</w:t>
      </w:r>
      <w:r>
        <w:t xml:space="preserve"> </w:t>
      </w:r>
      <w:r>
        <w:t xml:space="preserve">gaining</w:t>
      </w:r>
      <w:r>
        <w:t xml:space="preserve"> </w:t>
      </w:r>
      <w:r>
        <w:t xml:space="preserve">speed.</w:t>
      </w:r>
      <w:r>
        <w:t xml:space="preserve"> </w:t>
      </w:r>
      <w:r>
        <w:t xml:space="preserve">Here</w:t>
      </w:r>
      <w:r>
        <w:t xml:space="preserve"> </w:t>
      </w:r>
      <w:r>
        <w:t xml:space="preserve">we</w:t>
      </w:r>
      <w:r>
        <w:t xml:space="preserve"> </w:t>
      </w:r>
      <w:r>
        <w:t xml:space="preserve">describe</w:t>
      </w:r>
      <w:r>
        <w:t xml:space="preserve"> </w:t>
      </w:r>
      <w:r>
        <w:t xml:space="preserve">how</w:t>
      </w:r>
      <w:r>
        <w:t xml:space="preserve"> </w:t>
      </w:r>
      <w:r>
        <w:t xml:space="preserve">to</w:t>
      </w:r>
      <w:r>
        <w:t xml:space="preserve"> </w:t>
      </w:r>
      <w:r>
        <w:t xml:space="preserve">use</w:t>
      </w:r>
      <w:r>
        <w:t xml:space="preserve"> </w:t>
      </w:r>
      <w:r>
        <w:t xml:space="preserve">a</w:t>
      </w:r>
      <w:r>
        <w:t xml:space="preserve"> </w:t>
      </w:r>
      <w:r>
        <w:t xml:space="preserve">researcher-directed</w:t>
      </w:r>
      <w:r>
        <w:t xml:space="preserve"> </w:t>
      </w:r>
      <w:r>
        <w:t xml:space="preserve">workflow</w:t>
      </w:r>
      <w:r>
        <w:t xml:space="preserve"> </w:t>
      </w:r>
      <w:r>
        <w:t xml:space="preserve">built</w:t>
      </w:r>
      <w:r>
        <w:t xml:space="preserve"> </w:t>
      </w:r>
      <w:r>
        <w:t xml:space="preserve">from</w:t>
      </w:r>
      <w:r>
        <w:t xml:space="preserve"> </w:t>
      </w:r>
      <w:r>
        <w:t xml:space="preserve">three</w:t>
      </w:r>
      <w:r>
        <w:t xml:space="preserve"> </w:t>
      </w:r>
      <w:r>
        <w:t xml:space="preserve">practices.</w:t>
      </w:r>
      <w:r>
        <w:t xml:space="preserve"> </w:t>
      </w:r>
      <w:r>
        <w:t xml:space="preserve">Researchers</w:t>
      </w:r>
      <w:r>
        <w:t xml:space="preserve"> </w:t>
      </w:r>
      <w:r>
        <w:t xml:space="preserve">learn</w:t>
      </w:r>
      <w:r>
        <w:t xml:space="preserve"> </w:t>
      </w:r>
      <w:r>
        <w:t xml:space="preserve">an</w:t>
      </w:r>
      <w:r>
        <w:t xml:space="preserve"> </w:t>
      </w:r>
      <w:r>
        <w:t xml:space="preserve">open</w:t>
      </w:r>
      <w:r>
        <w:t xml:space="preserve"> </w:t>
      </w:r>
      <w:r>
        <w:t xml:space="preserve">source</w:t>
      </w:r>
      <w:r>
        <w:t xml:space="preserve"> </w:t>
      </w:r>
      <w:r>
        <w:t xml:space="preserve">toolkit</w:t>
      </w:r>
      <w:r>
        <w:t xml:space="preserve"> </w:t>
      </w:r>
      <w:r>
        <w:t xml:space="preserve">for</w:t>
      </w:r>
      <w:r>
        <w:t xml:space="preserve"> </w:t>
      </w:r>
      <w:r>
        <w:t xml:space="preserve">reproducible</w:t>
      </w:r>
      <w:r>
        <w:t xml:space="preserve"> </w:t>
      </w:r>
      <w:r>
        <w:t xml:space="preserve">research</w:t>
      </w:r>
      <w:r>
        <w:t xml:space="preserve"> </w:t>
      </w:r>
      <w:r>
        <w:t xml:space="preserve">(e.g. R,</w:t>
      </w:r>
      <w:r>
        <w:t xml:space="preserve"> </w:t>
      </w:r>
      <w:r>
        <w:t xml:space="preserve">Quarto,</w:t>
      </w:r>
      <w:r>
        <w:t xml:space="preserve"> </w:t>
      </w:r>
      <w:r>
        <w:t xml:space="preserve">Git);</w:t>
      </w:r>
      <w:r>
        <w:t xml:space="preserve"> </w:t>
      </w:r>
      <w:r>
        <w:t xml:space="preserve">configure</w:t>
      </w:r>
      <w:r>
        <w:t xml:space="preserve"> </w:t>
      </w:r>
      <w:r>
        <w:t xml:space="preserve">a</w:t>
      </w:r>
      <w:r>
        <w:t xml:space="preserve"> </w:t>
      </w:r>
      <w:r>
        <w:t xml:space="preserve">local</w:t>
      </w:r>
      <w:r>
        <w:t xml:space="preserve"> </w:t>
      </w:r>
      <w:r>
        <w:t xml:space="preserve">harness</w:t>
      </w:r>
      <w:r>
        <w:t xml:space="preserve"> </w:t>
      </w:r>
      <w:r>
        <w:t xml:space="preserve">with</w:t>
      </w:r>
      <w:r>
        <w:t xml:space="preserve"> </w:t>
      </w:r>
      <w:r>
        <w:t xml:space="preserve">instructions</w:t>
      </w:r>
      <w:r>
        <w:t xml:space="preserve"> </w:t>
      </w:r>
      <w:r>
        <w:t xml:space="preserve">and</w:t>
      </w:r>
      <w:r>
        <w:t xml:space="preserve"> </w:t>
      </w:r>
      <w:r>
        <w:t xml:space="preserve">permissions;</w:t>
      </w:r>
      <w:r>
        <w:t xml:space="preserve"> </w:t>
      </w:r>
      <w:r>
        <w:t xml:space="preserve">and</w:t>
      </w:r>
      <w:r>
        <w:t xml:space="preserve"> </w:t>
      </w:r>
      <w:r>
        <w:t xml:space="preserve">use</w:t>
      </w:r>
      <w:r>
        <w:t xml:space="preserve"> </w:t>
      </w:r>
      <w:r>
        <w:t xml:space="preserve">skills</w:t>
      </w:r>
      <w:r>
        <w:t xml:space="preserve"> </w:t>
      </w:r>
      <w:r>
        <w:t xml:space="preserve">and</w:t>
      </w:r>
      <w:r>
        <w:t xml:space="preserve"> </w:t>
      </w:r>
      <w:r>
        <w:t xml:space="preserve">verification</w:t>
      </w:r>
      <w:r>
        <w:t xml:space="preserve"> </w:t>
      </w:r>
      <w:r>
        <w:t xml:space="preserve">tools</w:t>
      </w:r>
      <w:r>
        <w:t xml:space="preserve"> </w:t>
      </w:r>
      <w:r>
        <w:t xml:space="preserve">that</w:t>
      </w:r>
      <w:r>
        <w:t xml:space="preserve"> </w:t>
      </w:r>
      <w:r>
        <w:t xml:space="preserve">research,</w:t>
      </w:r>
      <w:r>
        <w:t xml:space="preserve"> </w:t>
      </w:r>
      <w:r>
        <w:t xml:space="preserve">plan,</w:t>
      </w:r>
      <w:r>
        <w:t xml:space="preserve"> </w:t>
      </w:r>
      <w:r>
        <w:t xml:space="preserve">execute,</w:t>
      </w:r>
      <w:r>
        <w:t xml:space="preserve"> </w:t>
      </w:r>
      <w:r>
        <w:t xml:space="preserve">and</w:t>
      </w:r>
      <w:r>
        <w:t xml:space="preserve"> </w:t>
      </w:r>
      <w:r>
        <w:t xml:space="preserve">check</w:t>
      </w:r>
      <w:r>
        <w:t xml:space="preserve"> </w:t>
      </w:r>
      <w:r>
        <w:t xml:space="preserve">each</w:t>
      </w:r>
      <w:r>
        <w:t xml:space="preserve"> </w:t>
      </w:r>
      <w:r>
        <w:t xml:space="preserve">analysis.</w:t>
      </w:r>
      <w:r>
        <w:t xml:space="preserve"> </w:t>
      </w:r>
      <w:r>
        <w:t xml:space="preserve">Unlike</w:t>
      </w:r>
      <w:r>
        <w:t xml:space="preserve"> </w:t>
      </w:r>
      <w:r>
        <w:t xml:space="preserve">chatbot</w:t>
      </w:r>
      <w:r>
        <w:t xml:space="preserve"> </w:t>
      </w:r>
      <w:r>
        <w:t xml:space="preserve">use,</w:t>
      </w:r>
      <w:r>
        <w:t xml:space="preserve"> </w:t>
      </w:r>
      <w:r>
        <w:t xml:space="preserve">every</w:t>
      </w:r>
      <w:r>
        <w:t xml:space="preserve"> </w:t>
      </w:r>
      <w:r>
        <w:t xml:space="preserve">plan,</w:t>
      </w:r>
      <w:r>
        <w:t xml:space="preserve"> </w:t>
      </w:r>
      <w:r>
        <w:t xml:space="preserve">command,</w:t>
      </w:r>
      <w:r>
        <w:t xml:space="preserve"> </w:t>
      </w:r>
      <w:r>
        <w:t xml:space="preserve">and</w:t>
      </w:r>
      <w:r>
        <w:t xml:space="preserve"> </w:t>
      </w:r>
      <w:r>
        <w:t xml:space="preserve">file</w:t>
      </w:r>
      <w:r>
        <w:t xml:space="preserve"> </w:t>
      </w:r>
      <w:r>
        <w:t xml:space="preserve">change</w:t>
      </w:r>
      <w:r>
        <w:t xml:space="preserve"> </w:t>
      </w:r>
      <w:r>
        <w:t xml:space="preserve">becomes</w:t>
      </w:r>
      <w:r>
        <w:t xml:space="preserve"> </w:t>
      </w:r>
      <w:r>
        <w:t xml:space="preserve">reviewable,</w:t>
      </w:r>
      <w:r>
        <w:t xml:space="preserve"> </w:t>
      </w:r>
      <w:r>
        <w:t xml:space="preserve">and</w:t>
      </w:r>
      <w:r>
        <w:t xml:space="preserve"> </w:t>
      </w:r>
      <w:r>
        <w:t xml:space="preserve">restricted</w:t>
      </w:r>
      <w:r>
        <w:t xml:space="preserve"> </w:t>
      </w:r>
      <w:r>
        <w:t xml:space="preserve">data</w:t>
      </w:r>
      <w:r>
        <w:t xml:space="preserve"> </w:t>
      </w:r>
      <w:r>
        <w:t xml:space="preserve">stay</w:t>
      </w:r>
      <w:r>
        <w:t xml:space="preserve"> </w:t>
      </w:r>
      <w:r>
        <w:t xml:space="preserve">protected</w:t>
      </w:r>
      <w:r>
        <w:t xml:space="preserve"> </w:t>
      </w:r>
      <w:r>
        <w:t xml:space="preserve">through</w:t>
      </w:r>
      <w:r>
        <w:t xml:space="preserve"> </w:t>
      </w:r>
      <w:r>
        <w:t xml:space="preserve">retention</w:t>
      </w:r>
      <w:r>
        <w:t xml:space="preserve"> </w:t>
      </w:r>
      <w:r>
        <w:t xml:space="preserve">controls,</w:t>
      </w:r>
      <w:r>
        <w:t xml:space="preserve"> </w:t>
      </w:r>
      <w:r>
        <w:t xml:space="preserve">local</w:t>
      </w:r>
      <w:r>
        <w:t xml:space="preserve"> </w:t>
      </w:r>
      <w:r>
        <w:t xml:space="preserve">models,</w:t>
      </w:r>
      <w:r>
        <w:t xml:space="preserve"> </w:t>
      </w:r>
      <w:r>
        <w:t xml:space="preserve">or</w:t>
      </w:r>
      <w:r>
        <w:t xml:space="preserve"> </w:t>
      </w:r>
      <w:r>
        <w:t xml:space="preserve">synthetic</w:t>
      </w:r>
      <w:r>
        <w:t xml:space="preserve"> </w:t>
      </w:r>
      <w:r>
        <w:t xml:space="preserve">stand-ins.</w:t>
      </w:r>
      <w:r>
        <w:t xml:space="preserve"> </w:t>
      </w:r>
      <w:r>
        <w:t xml:space="preserve">Getting</w:t>
      </w:r>
      <w:r>
        <w:t xml:space="preserve"> </w:t>
      </w:r>
      <w:r>
        <w:t xml:space="preserve">reliable</w:t>
      </w:r>
      <w:r>
        <w:t xml:space="preserve"> </w:t>
      </w:r>
      <w:r>
        <w:t xml:space="preserve">help</w:t>
      </w:r>
      <w:r>
        <w:t xml:space="preserve"> </w:t>
      </w:r>
      <w:r>
        <w:t xml:space="preserve">from</w:t>
      </w:r>
      <w:r>
        <w:t xml:space="preserve"> </w:t>
      </w:r>
      <w:r>
        <w:t xml:space="preserve">agentic</w:t>
      </w:r>
      <w:r>
        <w:t xml:space="preserve"> </w:t>
      </w:r>
      <w:r>
        <w:t xml:space="preserve">AI</w:t>
      </w:r>
      <w:r>
        <w:t xml:space="preserve"> </w:t>
      </w:r>
      <w:r>
        <w:t xml:space="preserve">has</w:t>
      </w:r>
      <w:r>
        <w:t xml:space="preserve"> </w:t>
      </w:r>
      <w:r>
        <w:t xml:space="preserve">costs</w:t>
      </w:r>
      <w:r>
        <w:t xml:space="preserve"> </w:t>
      </w:r>
      <w:r>
        <w:t xml:space="preserve">that</w:t>
      </w:r>
      <w:r>
        <w:t xml:space="preserve"> </w:t>
      </w:r>
      <w:r>
        <w:t xml:space="preserve">include</w:t>
      </w:r>
      <w:r>
        <w:t xml:space="preserve"> </w:t>
      </w:r>
      <w:r>
        <w:t xml:space="preserve">setup</w:t>
      </w:r>
      <w:r>
        <w:t xml:space="preserve"> </w:t>
      </w:r>
      <w:r>
        <w:t xml:space="preserve">time</w:t>
      </w:r>
      <w:r>
        <w:t xml:space="preserve"> </w:t>
      </w:r>
      <w:r>
        <w:t xml:space="preserve">and</w:t>
      </w:r>
      <w:r>
        <w:t xml:space="preserve"> </w:t>
      </w:r>
      <w:r>
        <w:t xml:space="preserve">expert</w:t>
      </w:r>
      <w:r>
        <w:t xml:space="preserve"> </w:t>
      </w:r>
      <w:r>
        <w:t xml:space="preserve">oversight,</w:t>
      </w:r>
      <w:r>
        <w:t xml:space="preserve"> </w:t>
      </w:r>
      <w:r>
        <w:t xml:space="preserve">but</w:t>
      </w:r>
      <w:r>
        <w:t xml:space="preserve"> </w:t>
      </w:r>
      <w:r>
        <w:t xml:space="preserve">the</w:t>
      </w:r>
      <w:r>
        <w:t xml:space="preserve"> </w:t>
      </w:r>
      <w:r>
        <w:t xml:space="preserve">result</w:t>
      </w:r>
      <w:r>
        <w:t xml:space="preserve"> </w:t>
      </w:r>
      <w:r>
        <w:t xml:space="preserve">is</w:t>
      </w:r>
      <w:r>
        <w:t xml:space="preserve"> </w:t>
      </w:r>
      <w:r>
        <w:t xml:space="preserve">analysis</w:t>
      </w:r>
      <w:r>
        <w:t xml:space="preserve"> </w:t>
      </w:r>
      <w:r>
        <w:t xml:space="preserve">others</w:t>
      </w:r>
      <w:r>
        <w:t xml:space="preserve"> </w:t>
      </w:r>
      <w:r>
        <w:t xml:space="preserve">can</w:t>
      </w:r>
      <w:r>
        <w:t xml:space="preserve"> </w:t>
      </w:r>
      <w:r>
        <w:t xml:space="preserve">inspect,</w:t>
      </w:r>
      <w:r>
        <w:t xml:space="preserve"> </w:t>
      </w:r>
      <w:r>
        <w:t xml:space="preserve">rerun,</w:t>
      </w:r>
      <w:r>
        <w:t xml:space="preserve"> </w:t>
      </w:r>
      <w:r>
        <w:t xml:space="preserve">and</w:t>
      </w:r>
      <w:r>
        <w:t xml:space="preserve"> </w:t>
      </w:r>
      <w:r>
        <w:t xml:space="preserve">trust.</w:t>
      </w:r>
    </w:p>
    <w:bookmarkStart w:id="22" w:name="introduction"/>
    <w:p>
      <w:pPr>
        <w:pStyle w:val="Heading1"/>
      </w:pPr>
      <w:r>
        <w:t xml:space="preserve">Introduction</w:t>
      </w:r>
    </w:p>
    <w:p>
      <w:pPr>
        <w:pStyle w:val="FirstParagraph"/>
      </w:pPr>
      <w:r>
        <w:t xml:space="preserve">Archaeologists who use generative artificial intelligence (AI) to assist with their work face a practical question: how to use these tools in a responsible and productive way? We define artificial intelligence as software that performs tasks associated with human intelligence, including communication, decision-making, and prediction</w:t>
      </w:r>
      <w:r>
        <w:t xml:space="preserve"> </w:t>
      </w:r>
      <w:r>
        <w:t xml:space="preserve">(Gil de Zúñiga et al. 2024)</w:t>
      </w:r>
      <w:r>
        <w:t xml:space="preserve">. Generative AI uses patterns learned from training data to produce text, code, images, or other content</w:t>
      </w:r>
      <w:r>
        <w:t xml:space="preserve"> </w:t>
      </w:r>
      <w:r>
        <w:t xml:space="preserve">(Feuerriegel et al. 2024)</w:t>
      </w:r>
      <w:r>
        <w:t xml:space="preserve">. For the majority of archaeologists, the most commonly used generative AI tools are large language models (LLMs), such as ChatGPT and Claude, that we interact with via a web-based chat interface. While these models often generate useful content, outputs can also include hallucinations (content presented as factual without an adequate basis), invented citations</w:t>
      </w:r>
      <w:r>
        <w:t xml:space="preserve"> </w:t>
      </w:r>
      <w:r>
        <w:t xml:space="preserve">(Walters and Wilder 2023)</w:t>
      </w:r>
      <w:r>
        <w:t xml:space="preserve"> </w:t>
      </w:r>
      <w:r>
        <w:t xml:space="preserve">and convincing-sounding incorrect explanations</w:t>
      </w:r>
      <w:r>
        <w:t xml:space="preserve"> </w:t>
      </w:r>
      <w:r>
        <w:t xml:space="preserve">(Leung et al. 2023; Messeri and Crockett 2024)</w:t>
      </w:r>
      <w:r>
        <w:t xml:space="preserve">. Financial, environmental, and energy costs, commercial dependence, copyright, privacy, bias, and data sovereignty also concern archaeologists using commercial LLM services</w:t>
      </w:r>
      <w:r>
        <w:t xml:space="preserve"> </w:t>
      </w:r>
      <w:r>
        <w:t xml:space="preserve">(Bischoff 2026; Gattiglia 2025; Johnson and Eberl 2026; Kansa 2026; Tenzer et al. 2024)</w:t>
      </w:r>
      <w:r>
        <w:t xml:space="preserve">. AI currently has a jagged frontier, meaning that AI assistance improves performance on certain tasks but degrades quality on others of seemingly identical difficulty</w:t>
      </w:r>
      <w:r>
        <w:t xml:space="preserve"> </w:t>
      </w:r>
      <w:r>
        <w:t xml:space="preserve">(Dell’Acqua et al. 2026)</w:t>
      </w:r>
      <w:r>
        <w:t xml:space="preserve">. This makes it hard to predict when an AI will produce high-quality output, and necessitates fine-grained human oversight. That said, a study of over 600 scientists found that 47% of researchers use some form of AI daily, saving on average 7 hours per week</w:t>
      </w:r>
      <w:r>
        <w:t xml:space="preserve"> </w:t>
      </w:r>
      <w:r>
        <w:t xml:space="preserve">(Codreanu et al. 2026)</w:t>
      </w:r>
      <w:r>
        <w:t xml:space="preserve">. To support responsible and time-saving uses of AI by archaeologists, we introduce a basic agentic AI workflow using free and open source software that is suitable for many kinds of archaeological work.</w:t>
      </w:r>
    </w:p>
    <w:p>
      <w:pPr>
        <w:pStyle w:val="BodyText"/>
      </w:pPr>
      <w:r>
        <w:t xml:space="preserve">While traditional AI chatbots engage with humans in the form of turn-by-turn conversations on a website that require regular human interaction to complete a task, agents are a very different way to interact with AI (</w:t>
      </w:r>
      <w:hyperlink w:anchor="tbl-chat-vs-agentic">
        <w:r>
          <w:rPr>
            <w:rStyle w:val="Hyperlink"/>
          </w:rPr>
          <w:t xml:space="preserve">Table 1</w:t>
        </w:r>
      </w:hyperlink>
      <w:r>
        <w:t xml:space="preserve">). Agentic AI refers to systems in which a LLM uses context (e.g. files on our computer), skills (e.g. specific instructions we want it to follow for specific tasks) and tools (e.g. the R programming language) to plan and take actions (e.g. search the internet, edit our files), rather than only responding to a prompt like a web-based chat</w:t>
      </w:r>
      <w:r>
        <w:t xml:space="preserve"> </w:t>
      </w:r>
      <w:r>
        <w:t xml:space="preserve">(Korinek 2025)</w:t>
      </w:r>
      <w:r>
        <w:t xml:space="preserve">. An AI agent can autonomously operate directly on our computer to complete multiple steps towards a specific goal without constant human interaction. A wide variety of agentic systems have emerged recently</w:t>
      </w:r>
      <w:r>
        <w:t xml:space="preserve"> </w:t>
      </w:r>
      <w:r>
        <w:t xml:space="preserve">(Barbaste et al. 2026)</w:t>
      </w:r>
      <w:r>
        <w:t xml:space="preserve">, ranging from a single tool to an autonomous multi-agent system</w:t>
      </w:r>
      <w:r>
        <w:t xml:space="preserve"> </w:t>
      </w:r>
      <w:r>
        <w:t xml:space="preserve">(Haase and Pokutta 2026; Zimmer et al. 2026)</w:t>
      </w:r>
      <w:r>
        <w:t xml:space="preserve">. Our guide focuses on the low-autonomy end of the range: the agent works only within a single project and you direct each stage. We are not describing end-to-end fully automated AI pipelines that generate ideas, run experiments and write manuscripts with limited human intervention</w:t>
      </w:r>
      <w:r>
        <w:t xml:space="preserve"> </w:t>
      </w:r>
      <w:r>
        <w:t xml:space="preserve">(e.g. Lu et al. 2026)</w:t>
      </w:r>
      <w:r>
        <w:t xml:space="preserve">. Instead, we describe how to set up an AI assistant for routine research tasks typical of academic, government or CRM archaeologists, where file access, code execution, and outputs remain subject to your evaluation and approval.</w:t>
      </w:r>
    </w:p>
    <w:tbl>
      <w:tblPr>
        <w:tblStyle w:val="Table"/>
        <w:tblW w:type="pct" w:w="5000"/>
        <w:tblLook w:firstRow="0" w:lastRow="0" w:firstColumn="0" w:lastColumn="0" w:noHBand="0" w:noVBand="0" w:val="0000"/>
        <w:jc w:val="start"/>
        <w:tblLayout w:type="fixed"/>
      </w:tblPr>
      <w:tblGrid>
        <w:gridCol w:w="7920"/>
      </w:tblGrid>
      <w:tr>
        <w:tc>
          <w:tcPr/>
          <w:bookmarkStart w:id="20" w:name="tbl-chat-vs-agentic"/>
          <w:p>
            <w:pPr>
              <w:jc w:val="center"/>
            </w:pPr>
            <w:pPr>
              <w:jc w:val="start"/>
              <w:spacing w:before="200"/>
              <w:pStyle w:val="ImageCaption"/>
            </w:pPr>
            <w:r>
              <w:t xml:space="preserve">Table 1: Comparison of web-based chat and agentic AI</w:t>
            </w:r>
            <w:r>
              <w:t xml:space="preserve"> </w:t>
            </w:r>
            <w:r>
              <w:t xml:space="preserve">(Boiko et al. 2023; Guo et al. 2024; Kasneci et al. 2023; M. Bran et al. 2024; Park et al. 2023; Rafiee and Woo 2025; Schick et al. 2023; Wang et al. 2024; Xu et al. 2024)</w:t>
            </w:r>
          </w:p>
          <w:tbl>
            <w:tblPr>
              <w:tblStyle w:val="Table"/>
              <w:tblW w:type="pct" w:w="5000"/>
              <w:tblLook w:firstRow="1" w:lastRow="0" w:firstColumn="0" w:lastColumn="0" w:noHBand="0" w:noVBand="0" w:val="0020"/>
              <w:jc w:val="start"/>
              <w:tblLayout w:type="fixed"/>
            </w:tblPr>
            <w:tblGrid>
              <w:gridCol w:w="1403"/>
              <w:gridCol w:w="2907"/>
              <w:gridCol w:w="3609"/>
            </w:tblGrid>
            <w:tr>
              <w:trPr>
                <w:tblHeader w:val="true"/>
              </w:trPr>
              <w:tc>
                <w:tcPr/>
                <w:p>
                  <w:pPr>
                    <w:pStyle w:val="Compact"/>
                    <w:jc w:val="left"/>
                    <w:jc w:val="center"/>
                  </w:pPr>
                  <w:r>
                    <w:t xml:space="preserve">Dimension</w:t>
                  </w:r>
                </w:p>
              </w:tc>
              <w:tc>
                <w:tcPr/>
                <w:p>
                  <w:pPr>
                    <w:pStyle w:val="Compact"/>
                    <w:jc w:val="left"/>
                    <w:jc w:val="center"/>
                  </w:pPr>
                  <w:r>
                    <w:t xml:space="preserve">Web-Based Chat</w:t>
                  </w:r>
                </w:p>
              </w:tc>
              <w:tc>
                <w:tcPr/>
                <w:p>
                  <w:pPr>
                    <w:pStyle w:val="Compact"/>
                    <w:jc w:val="left"/>
                    <w:jc w:val="center"/>
                  </w:pPr>
                  <w:r>
                    <w:t xml:space="preserve">Agentic AI</w:t>
                  </w:r>
                </w:p>
              </w:tc>
            </w:tr>
            <w:tr>
              <w:tc>
                <w:tcPr/>
                <w:p>
                  <w:pPr>
                    <w:pStyle w:val="Compact"/>
                    <w:jc w:val="left"/>
                    <w:jc w:val="center"/>
                  </w:pPr>
                  <w:r>
                    <w:t xml:space="preserve">Objective</w:t>
                  </w:r>
                </w:p>
              </w:tc>
              <w:tc>
                <w:tcPr/>
                <w:p>
                  <w:pPr>
                    <w:pStyle w:val="Compact"/>
                    <w:jc w:val="left"/>
                    <w:jc w:val="center"/>
                  </w:pPr>
                  <w:r>
                    <w:t xml:space="preserve">Produces a relevant text response to the current prompt</w:t>
                  </w:r>
                </w:p>
              </w:tc>
              <w:tc>
                <w:tcPr/>
                <w:p>
                  <w:pPr>
                    <w:pStyle w:val="Compact"/>
                    <w:jc w:val="left"/>
                    <w:jc w:val="center"/>
                  </w:pPr>
                  <w:r>
                    <w:t xml:space="preserve">Completes an external goal across many steps</w:t>
                  </w:r>
                </w:p>
              </w:tc>
            </w:tr>
            <w:tr>
              <w:tc>
                <w:tcPr/>
                <w:p>
                  <w:pPr>
                    <w:pStyle w:val="Compact"/>
                    <w:jc w:val="left"/>
                    <w:jc w:val="center"/>
                  </w:pPr>
                  <w:r>
                    <w:t xml:space="preserve">Interaction pattern</w:t>
                  </w:r>
                </w:p>
              </w:tc>
              <w:tc>
                <w:tcPr/>
                <w:p>
                  <w:pPr>
                    <w:pStyle w:val="Compact"/>
                    <w:jc w:val="left"/>
                    <w:jc w:val="center"/>
                  </w:pPr>
                  <w:r>
                    <w:t xml:space="preserve">Turn-based question and answer in a browser session</w:t>
                  </w:r>
                </w:p>
              </w:tc>
              <w:tc>
                <w:tcPr/>
                <w:p>
                  <w:pPr>
                    <w:pStyle w:val="Compact"/>
                    <w:jc w:val="left"/>
                    <w:jc w:val="center"/>
                  </w:pPr>
                  <w:r>
                    <w:t xml:space="preserve">Perceive-plan-act-observe loop until a stopping condition</w:t>
                  </w:r>
                </w:p>
              </w:tc>
            </w:tr>
            <w:tr>
              <w:tc>
                <w:tcPr/>
                <w:p>
                  <w:pPr>
                    <w:pStyle w:val="Compact"/>
                    <w:jc w:val="left"/>
                    <w:jc w:val="center"/>
                  </w:pPr>
                  <w:r>
                    <w:t xml:space="preserve">Initiative</w:t>
                  </w:r>
                </w:p>
              </w:tc>
              <w:tc>
                <w:tcPr/>
                <w:p>
                  <w:pPr>
                    <w:pStyle w:val="Compact"/>
                    <w:jc w:val="left"/>
                    <w:jc w:val="center"/>
                  </w:pPr>
                  <w:r>
                    <w:t xml:space="preserve">Reactive; waits for the user</w:t>
                  </w:r>
                </w:p>
              </w:tc>
              <w:tc>
                <w:tcPr/>
                <w:p>
                  <w:pPr>
                    <w:pStyle w:val="Compact"/>
                    <w:jc w:val="left"/>
                    <w:jc w:val="center"/>
                  </w:pPr>
                  <w:r>
                    <w:t xml:space="preserve">Proactive; decomposes goals and starts sub-tasks</w:t>
                  </w:r>
                </w:p>
              </w:tc>
            </w:tr>
            <w:tr>
              <w:tc>
                <w:tcPr/>
                <w:p>
                  <w:pPr>
                    <w:pStyle w:val="Compact"/>
                    <w:jc w:val="left"/>
                    <w:jc w:val="center"/>
                  </w:pPr>
                  <w:r>
                    <w:t xml:space="preserve">Tool and environment action</w:t>
                  </w:r>
                </w:p>
              </w:tc>
              <w:tc>
                <w:tcPr/>
                <w:p>
                  <w:pPr>
                    <w:pStyle w:val="Compact"/>
                    <w:jc w:val="left"/>
                    <w:jc w:val="center"/>
                  </w:pPr>
                  <w:r>
                    <w:t xml:space="preserve">Text only by default; browsing or files when added</w:t>
                  </w:r>
                </w:p>
              </w:tc>
              <w:tc>
                <w:tcPr/>
                <w:p>
                  <w:pPr>
                    <w:pStyle w:val="Compact"/>
                    <w:jc w:val="left"/>
                    <w:jc w:val="center"/>
                  </w:pPr>
                  <w:r>
                    <w:t xml:space="preserve">Native tool calls plus APIs code execution and instrument control</w:t>
                  </w:r>
                </w:p>
              </w:tc>
            </w:tr>
            <w:tr>
              <w:tc>
                <w:tcPr/>
                <w:p>
                  <w:pPr>
                    <w:pStyle w:val="Compact"/>
                    <w:jc w:val="left"/>
                    <w:jc w:val="center"/>
                  </w:pPr>
                  <w:r>
                    <w:t xml:space="preserve">Planning</w:t>
                  </w:r>
                </w:p>
              </w:tc>
              <w:tc>
                <w:tcPr/>
                <w:p>
                  <w:pPr>
                    <w:pStyle w:val="Compact"/>
                    <w:jc w:val="left"/>
                    <w:jc w:val="center"/>
                  </w:pPr>
                  <w:r>
                    <w:t xml:space="preserve">Implicit single-response reasoning</w:t>
                  </w:r>
                </w:p>
              </w:tc>
              <w:tc>
                <w:tcPr/>
                <w:p>
                  <w:pPr>
                    <w:pStyle w:val="Compact"/>
                    <w:jc w:val="left"/>
                    <w:jc w:val="center"/>
                  </w:pPr>
                  <w:r>
                    <w:t xml:space="preserve">Explicit task decomposition reflection and re-planning</w:t>
                  </w:r>
                </w:p>
              </w:tc>
            </w:tr>
            <w:tr>
              <w:tc>
                <w:tcPr/>
                <w:p>
                  <w:pPr>
                    <w:pStyle w:val="Compact"/>
                    <w:jc w:val="left"/>
                    <w:jc w:val="center"/>
                  </w:pPr>
                  <w:r>
                    <w:t xml:space="preserve">Memory and state</w:t>
                  </w:r>
                </w:p>
              </w:tc>
              <w:tc>
                <w:tcPr/>
                <w:p>
                  <w:pPr>
                    <w:pStyle w:val="Compact"/>
                    <w:jc w:val="left"/>
                    <w:jc w:val="center"/>
                  </w:pPr>
                  <w:r>
                    <w:t xml:space="preserve">Short dialogue context with limited persistence</w:t>
                  </w:r>
                </w:p>
              </w:tc>
              <w:tc>
                <w:tcPr/>
                <w:p>
                  <w:pPr>
                    <w:pStyle w:val="Compact"/>
                    <w:jc w:val="left"/>
                    <w:jc w:val="center"/>
                  </w:pPr>
                  <w:r>
                    <w:t xml:space="preserve">Long-term memory stored plans and persistent agent state</w:t>
                  </w:r>
                </w:p>
              </w:tc>
            </w:tr>
            <w:tr>
              <w:tc>
                <w:tcPr/>
                <w:p>
                  <w:pPr>
                    <w:pStyle w:val="Compact"/>
                    <w:jc w:val="left"/>
                    <w:jc w:val="center"/>
                  </w:pPr>
                  <w:r>
                    <w:t xml:space="preserve">Architecture</w:t>
                  </w:r>
                </w:p>
              </w:tc>
              <w:tc>
                <w:tcPr/>
                <w:p>
                  <w:pPr>
                    <w:pStyle w:val="Compact"/>
                    <w:jc w:val="left"/>
                    <w:jc w:val="center"/>
                  </w:pPr>
                  <w:r>
                    <w:t xml:space="preserve">Language model plus dialogue interface and safety filters</w:t>
                  </w:r>
                </w:p>
              </w:tc>
              <w:tc>
                <w:tcPr/>
                <w:p>
                  <w:pPr>
                    <w:pStyle w:val="Compact"/>
                    <w:jc w:val="left"/>
                    <w:jc w:val="center"/>
                  </w:pPr>
                  <w:r>
                    <w:t xml:space="preserve">Language model plus planner memory tool interfaces and orchestration</w:t>
                  </w:r>
                </w:p>
              </w:tc>
            </w:tr>
            <w:tr>
              <w:tc>
                <w:tcPr/>
                <w:p>
                  <w:pPr>
                    <w:pStyle w:val="Compact"/>
                    <w:jc w:val="left"/>
                    <w:jc w:val="center"/>
                  </w:pPr>
                  <w:r>
                    <w:t xml:space="preserve">Task duration</w:t>
                  </w:r>
                </w:p>
              </w:tc>
              <w:tc>
                <w:tcPr/>
                <w:p>
                  <w:pPr>
                    <w:pStyle w:val="Compact"/>
                    <w:jc w:val="left"/>
                    <w:jc w:val="center"/>
                  </w:pPr>
                  <w:r>
                    <w:t xml:space="preserve">Seconds to minutes per answer</w:t>
                  </w:r>
                </w:p>
              </w:tc>
              <w:tc>
                <w:tcPr/>
                <w:p>
                  <w:pPr>
                    <w:pStyle w:val="Compact"/>
                    <w:jc w:val="left"/>
                    <w:jc w:val="center"/>
                  </w:pPr>
                  <w:r>
                    <w:t xml:space="preserve">Minutes to hours or days of autonomous operation</w:t>
                  </w:r>
                </w:p>
              </w:tc>
            </w:tr>
            <w:tr>
              <w:tc>
                <w:tcPr/>
                <w:p>
                  <w:pPr>
                    <w:pStyle w:val="Compact"/>
                    <w:jc w:val="left"/>
                    <w:jc w:val="center"/>
                  </w:pPr>
                  <w:r>
                    <w:t xml:space="preserve">Evaluation</w:t>
                  </w:r>
                </w:p>
              </w:tc>
              <w:tc>
                <w:tcPr/>
                <w:p>
                  <w:pPr>
                    <w:pStyle w:val="Compact"/>
                    <w:jc w:val="left"/>
                    <w:jc w:val="center"/>
                  </w:pPr>
                  <w:r>
                    <w:t xml:space="preserve">Response quality factuality and helpfulness</w:t>
                  </w:r>
                </w:p>
              </w:tc>
              <w:tc>
                <w:tcPr/>
                <w:p>
                  <w:pPr>
                    <w:pStyle w:val="Compact"/>
                    <w:jc w:val="left"/>
                    <w:jc w:val="center"/>
                  </w:pPr>
                  <w:r>
                    <w:t xml:space="preserve">Task completion correct tool sequences and side effects</w:t>
                  </w:r>
                </w:p>
              </w:tc>
            </w:tr>
            <w:tr>
              <w:tc>
                <w:tcPr/>
                <w:p>
                  <w:pPr>
                    <w:pStyle w:val="Compact"/>
                    <w:jc w:val="left"/>
                    <w:jc w:val="center"/>
                  </w:pPr>
                  <w:r>
                    <w:t xml:space="preserve">Risk profile</w:t>
                  </w:r>
                </w:p>
              </w:tc>
              <w:tc>
                <w:tcPr/>
                <w:p>
                  <w:pPr>
                    <w:pStyle w:val="Compact"/>
                    <w:jc w:val="left"/>
                    <w:jc w:val="center"/>
                  </w:pPr>
                  <w:r>
                    <w:t xml:space="preserve">Misinformation bias and over-reliance on fluent text</w:t>
                  </w:r>
                </w:p>
              </w:tc>
              <w:tc>
                <w:tcPr/>
                <w:p>
                  <w:pPr>
                    <w:pStyle w:val="Compact"/>
                    <w:jc w:val="left"/>
                    <w:jc w:val="center"/>
                  </w:pPr>
                  <w:r>
                    <w:t xml:space="preserve">All chat risks plus incorrect actions runaway loops and unsafe tool use</w:t>
                  </w:r>
                </w:p>
              </w:tc>
            </w:tr>
          </w:tbl>
          <w:bookmarkEnd w:id="20"/>
          <w:p/>
        </w:tc>
      </w:tr>
    </w:tbl>
    <w:p>
      <w:pPr>
        <w:pStyle w:val="BodyText"/>
      </w:pPr>
      <w:r>
        <w:t xml:space="preserve">In this researcher-directed workflow, we follow the</w:t>
      </w:r>
      <w:r>
        <w:t xml:space="preserve"> </w:t>
      </w:r>
      <w:r>
        <w:t xml:space="preserve">“</w:t>
      </w:r>
      <w:r>
        <w:t xml:space="preserve">human at the helm</w:t>
      </w:r>
      <w:r>
        <w:t xml:space="preserve">”</w:t>
      </w:r>
      <w:r>
        <w:t xml:space="preserve"> </w:t>
      </w:r>
      <w:r>
        <w:t xml:space="preserve">approach to describe responsibility for setting goals, approving methods, interpreting findings, and deciding what to publish</w:t>
      </w:r>
      <w:r>
        <w:t xml:space="preserve"> </w:t>
      </w:r>
      <w:r>
        <w:t xml:space="preserve">(Jonker et al. 2024; Monakhov 2026)</w:t>
      </w:r>
      <w:r>
        <w:t xml:space="preserve">. This can be contrasted with human-in-the-loop approaches where human intervention is mostly as a validator rather than decision-maker</w:t>
      </w:r>
      <w:r>
        <w:t xml:space="preserve"> </w:t>
      </w:r>
      <w:r>
        <w:t xml:space="preserve">(Taylor 2023)</w:t>
      </w:r>
      <w:r>
        <w:t xml:space="preserve">.</w:t>
      </w:r>
      <w:r>
        <w:t xml:space="preserve"> </w:t>
      </w:r>
      <w:hyperlink w:anchor="tbl-helm-vs-loop">
        <w:r>
          <w:rPr>
            <w:rStyle w:val="Hyperlink"/>
          </w:rPr>
          <w:t xml:space="preserve">Table 2</w:t>
        </w:r>
      </w:hyperlink>
      <w:r>
        <w:t xml:space="preserve"> </w:t>
      </w:r>
      <w:r>
        <w:t xml:space="preserve">compares the two approaches. With the human at the helm, control requires observable actions: the researcher reviews changes, evaluates the work, and can stop or redirect the agent.</w:t>
      </w:r>
    </w:p>
    <w:p>
      <w:pPr>
        <w:pStyle w:val="BodyText"/>
      </w:pPr>
      <w:r>
        <w:t xml:space="preserve">A high level of researcher control is necessary to honor our responsibilities toward the communities involved in our work and affected by it. AI-generated perspectives cannot replace community participation</w:t>
      </w:r>
      <w:r>
        <w:t xml:space="preserve"> </w:t>
      </w:r>
      <w:r>
        <w:t xml:space="preserve">(Cootsona et al. 2026)</w:t>
      </w:r>
      <w:r>
        <w:t xml:space="preserve">. Where archaeological work requires community consultation or consent, our approval of an agent’s actions does not replace those obligations.</w:t>
      </w:r>
      <w:r>
        <w:t xml:space="preserve"> </w:t>
      </w:r>
      <w:r>
        <w:t xml:space="preserve">Cootsona et al. (2026)</w:t>
      </w:r>
      <w:r>
        <w:t xml:space="preserve"> </w:t>
      </w:r>
      <w:r>
        <w:t xml:space="preserve">describe a comprehensive operational model of community engagement in an archaeological project that uses AI. Recent guidance on archaeological AI ethics and heritage management provides additional reasons to make those responsibilities explicit by keeping you as the researcher at the helm of your project</w:t>
      </w:r>
      <w:r>
        <w:t xml:space="preserve"> </w:t>
      </w:r>
      <w:r>
        <w:t xml:space="preserve">(Shaikhon 2025; Tenzer et al. 2024)</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1" w:name="tbl-helm-vs-loop"/>
          <w:p>
            <w:pPr>
              <w:jc w:val="center"/>
            </w:pPr>
            <w:pPr>
              <w:jc w:val="start"/>
              <w:spacing w:before="200"/>
              <w:pStyle w:val="ImageCaption"/>
            </w:pPr>
            <w:r>
              <w:t xml:space="preserve">Table 2: Human in the loop (HITL) versus human at the helm (HATH) approaches to working with AI across several dimensions important to the research process.</w:t>
            </w:r>
            <w:r>
              <w:t xml:space="preserve"> </w:t>
            </w:r>
            <w:r>
              <w:t xml:space="preserve">(Beck and Burri 2024, 2024; Hao et al. 2025; Jonker et al. 2024; Monakhov 2026; Taylor 2023; Zanzotto 2019)</w:t>
            </w:r>
            <w:r>
              <w:t xml:space="preserve">.</w:t>
            </w:r>
          </w:p>
          <w:tbl>
            <w:tblPr>
              <w:tblStyle w:val="Table"/>
              <w:tblW w:type="pct" w:w="5000"/>
              <w:tblLook w:firstRow="1" w:lastRow="0" w:firstColumn="0" w:lastColumn="0" w:noHBand="0" w:noVBand="0" w:val="0020"/>
              <w:jc w:val="start"/>
              <w:tblLayout w:type="fixed"/>
            </w:tblPr>
            <w:tblGrid>
              <w:gridCol w:w="1278"/>
              <w:gridCol w:w="3258"/>
              <w:gridCol w:w="3382"/>
            </w:tblGrid>
            <w:tr>
              <w:trPr>
                <w:tblHeader w:val="true"/>
              </w:trPr>
              <w:tc>
                <w:tcPr/>
                <w:p>
                  <w:pPr>
                    <w:pStyle w:val="Compact"/>
                    <w:jc w:val="left"/>
                    <w:jc w:val="center"/>
                  </w:pPr>
                  <w:r>
                    <w:t xml:space="preserve">Dimension</w:t>
                  </w:r>
                </w:p>
              </w:tc>
              <w:tc>
                <w:tcPr/>
                <w:p>
                  <w:pPr>
                    <w:pStyle w:val="Compact"/>
                    <w:jc w:val="left"/>
                    <w:jc w:val="center"/>
                  </w:pPr>
                  <w:r>
                    <w:t xml:space="preserve">Human in the Loop</w:t>
                  </w:r>
                </w:p>
              </w:tc>
              <w:tc>
                <w:tcPr/>
                <w:p>
                  <w:pPr>
                    <w:pStyle w:val="Compact"/>
                    <w:jc w:val="left"/>
                    <w:jc w:val="center"/>
                  </w:pPr>
                  <w:r>
                    <w:t xml:space="preserve">Human at the Helm</w:t>
                  </w:r>
                </w:p>
              </w:tc>
            </w:tr>
            <w:tr>
              <w:tc>
                <w:tcPr/>
                <w:p>
                  <w:pPr>
                    <w:pStyle w:val="Compact"/>
                    <w:jc w:val="left"/>
                    <w:jc w:val="center"/>
                  </w:pPr>
                  <w:r>
                    <w:t xml:space="preserve">Locus of authority</w:t>
                  </w:r>
                </w:p>
              </w:tc>
              <w:tc>
                <w:tcPr/>
                <w:p>
                  <w:pPr>
                    <w:pStyle w:val="Compact"/>
                    <w:jc w:val="left"/>
                    <w:jc w:val="center"/>
                  </w:pPr>
                  <w:r>
                    <w:t xml:space="preserve">AI drives the workflow; the human approves at checkpoints</w:t>
                  </w:r>
                </w:p>
              </w:tc>
              <w:tc>
                <w:tcPr/>
                <w:p>
                  <w:pPr>
                    <w:pStyle w:val="Compact"/>
                    <w:jc w:val="left"/>
                    <w:jc w:val="center"/>
                  </w:pPr>
                  <w:r>
                    <w:t xml:space="preserve">Human directs the workflow; AI executes under direction</w:t>
                  </w:r>
                </w:p>
              </w:tc>
            </w:tr>
            <w:tr>
              <w:tc>
                <w:tcPr/>
                <w:p>
                  <w:pPr>
                    <w:pStyle w:val="Compact"/>
                    <w:jc w:val="left"/>
                    <w:jc w:val="center"/>
                  </w:pPr>
                  <w:r>
                    <w:t xml:space="preserve">Human role</w:t>
                  </w:r>
                </w:p>
              </w:tc>
              <w:tc>
                <w:tcPr/>
                <w:p>
                  <w:pPr>
                    <w:pStyle w:val="Compact"/>
                    <w:jc w:val="left"/>
                    <w:jc w:val="center"/>
                  </w:pPr>
                  <w:r>
                    <w:t xml:space="preserve">Intermittent reviewer, validator, or corrector</w:t>
                  </w:r>
                </w:p>
              </w:tc>
              <w:tc>
                <w:tcPr/>
                <w:p>
                  <w:pPr>
                    <w:pStyle w:val="Compact"/>
                    <w:jc w:val="left"/>
                    <w:jc w:val="center"/>
                  </w:pPr>
                  <w:r>
                    <w:t xml:space="preserve">Continuous director and final decision-maker</w:t>
                  </w:r>
                </w:p>
              </w:tc>
            </w:tr>
            <w:tr>
              <w:tc>
                <w:tcPr/>
                <w:p>
                  <w:pPr>
                    <w:pStyle w:val="Compact"/>
                    <w:jc w:val="left"/>
                    <w:jc w:val="center"/>
                  </w:pPr>
                  <w:r>
                    <w:t xml:space="preserve">When humans act</w:t>
                  </w:r>
                </w:p>
              </w:tc>
              <w:tc>
                <w:tcPr/>
                <w:p>
                  <w:pPr>
                    <w:pStyle w:val="Compact"/>
                    <w:jc w:val="left"/>
                    <w:jc w:val="center"/>
                  </w:pPr>
                  <w:r>
                    <w:t xml:space="preserve">At predefined intervention points (approval gates, error correction)</w:t>
                  </w:r>
                </w:p>
              </w:tc>
              <w:tc>
                <w:tcPr/>
                <w:p>
                  <w:pPr>
                    <w:pStyle w:val="Compact"/>
                    <w:jc w:val="left"/>
                    <w:jc w:val="center"/>
                  </w:pPr>
                  <w:r>
                    <w:t xml:space="preserve">Throughout the process, including goal definition and result interpretation</w:t>
                  </w:r>
                </w:p>
              </w:tc>
            </w:tr>
            <w:tr>
              <w:tc>
                <w:tcPr/>
                <w:p>
                  <w:pPr>
                    <w:pStyle w:val="Compact"/>
                    <w:jc w:val="left"/>
                    <w:jc w:val="center"/>
                  </w:pPr>
                  <w:r>
                    <w:t xml:space="preserve">Control logic</w:t>
                  </w:r>
                </w:p>
              </w:tc>
              <w:tc>
                <w:tcPr/>
                <w:p>
                  <w:pPr>
                    <w:pStyle w:val="Compact"/>
                    <w:jc w:val="left"/>
                    <w:jc w:val="center"/>
                  </w:pPr>
                  <w:r>
                    <w:t xml:space="preserve">Oversight of individual AI outputs (exception handling)</w:t>
                  </w:r>
                </w:p>
              </w:tc>
              <w:tc>
                <w:tcPr/>
                <w:p>
                  <w:pPr>
                    <w:pStyle w:val="Compact"/>
                    <w:jc w:val="left"/>
                    <w:jc w:val="center"/>
                  </w:pPr>
                  <w:r>
                    <w:t xml:space="preserve">Steering the entire trajectory of the research task</w:t>
                  </w:r>
                </w:p>
              </w:tc>
            </w:tr>
            <w:tr>
              <w:tc>
                <w:tcPr/>
                <w:p>
                  <w:pPr>
                    <w:pStyle w:val="Compact"/>
                    <w:jc w:val="left"/>
                    <w:jc w:val="center"/>
                  </w:pPr>
                  <w:r>
                    <w:t xml:space="preserve">Accountability</w:t>
                  </w:r>
                </w:p>
              </w:tc>
              <w:tc>
                <w:tcPr/>
                <w:p>
                  <w:pPr>
                    <w:pStyle w:val="Compact"/>
                    <w:jc w:val="left"/>
                    <w:jc w:val="center"/>
                  </w:pPr>
                  <w:r>
                    <w:t xml:space="preserve">Distributed between system and operator; often ambiguous in practice</w:t>
                  </w:r>
                </w:p>
              </w:tc>
              <w:tc>
                <w:tcPr/>
                <w:p>
                  <w:pPr>
                    <w:pStyle w:val="Compact"/>
                    <w:jc w:val="left"/>
                    <w:jc w:val="center"/>
                  </w:pPr>
                  <w:r>
                    <w:t xml:space="preserve">Retained by the researcher from start to finish</w:t>
                  </w:r>
                </w:p>
              </w:tc>
            </w:tr>
            <w:tr>
              <w:tc>
                <w:tcPr/>
                <w:p>
                  <w:pPr>
                    <w:pStyle w:val="Compact"/>
                    <w:jc w:val="left"/>
                    <w:jc w:val="center"/>
                  </w:pPr>
                  <w:r>
                    <w:t xml:space="preserve">Epistemic stance</w:t>
                  </w:r>
                </w:p>
              </w:tc>
              <w:tc>
                <w:tcPr/>
                <w:p>
                  <w:pPr>
                    <w:pStyle w:val="Compact"/>
                    <w:jc w:val="left"/>
                    <w:jc w:val="center"/>
                  </w:pPr>
                  <w:r>
                    <w:t xml:space="preserve">Machine output is assumed usable until flagged</w:t>
                  </w:r>
                </w:p>
              </w:tc>
              <w:tc>
                <w:tcPr/>
                <w:p>
                  <w:pPr>
                    <w:pStyle w:val="Compact"/>
                    <w:jc w:val="left"/>
                    <w:jc w:val="center"/>
                  </w:pPr>
                  <w:r>
                    <w:t xml:space="preserve">Machine output is provisional until the researcher has understood and endorsed it</w:t>
                  </w:r>
                </w:p>
              </w:tc>
            </w:tr>
            <w:tr>
              <w:tc>
                <w:tcPr/>
                <w:p>
                  <w:pPr>
                    <w:pStyle w:val="Compact"/>
                    <w:jc w:val="left"/>
                    <w:jc w:val="center"/>
                  </w:pPr>
                  <w:r>
                    <w:t xml:space="preserve">Relation to research integrity</w:t>
                  </w:r>
                </w:p>
              </w:tc>
              <w:tc>
                <w:tcPr/>
                <w:p>
                  <w:pPr>
                    <w:pStyle w:val="Compact"/>
                    <w:jc w:val="left"/>
                    <w:jc w:val="center"/>
                  </w:pPr>
                  <w:r>
                    <w:t xml:space="preserve">Can automate reasoning while the human only reacts</w:t>
                  </w:r>
                </w:p>
              </w:tc>
              <w:tc>
                <w:tcPr/>
                <w:p>
                  <w:pPr>
                    <w:pStyle w:val="Compact"/>
                    <w:jc w:val="left"/>
                    <w:jc w:val="center"/>
                  </w:pPr>
                  <w:r>
                    <w:t xml:space="preserve">Preserves human agency; the researcher owns the reasoning and the result</w:t>
                  </w:r>
                </w:p>
              </w:tc>
            </w:tr>
            <w:tr>
              <w:tc>
                <w:tcPr/>
                <w:p>
                  <w:pPr>
                    <w:pStyle w:val="Compact"/>
                    <w:jc w:val="left"/>
                    <w:jc w:val="center"/>
                  </w:pPr>
                  <w:r>
                    <w:t xml:space="preserve">Scientific framing</w:t>
                  </w:r>
                </w:p>
              </w:tc>
              <w:tc>
                <w:tcPr/>
                <w:p>
                  <w:pPr>
                    <w:pStyle w:val="Compact"/>
                    <w:jc w:val="left"/>
                    <w:jc w:val="center"/>
                  </w:pPr>
                  <w:r>
                    <w:t xml:space="preserve">HITL is a system-design pattern common in machine learning</w:t>
                  </w:r>
                </w:p>
              </w:tc>
              <w:tc>
                <w:tcPr/>
                <w:p>
                  <w:pPr>
                    <w:pStyle w:val="Compact"/>
                    <w:jc w:val="left"/>
                    <w:jc w:val="center"/>
                  </w:pPr>
                  <w:r>
                    <w:t xml:space="preserve">Extends meaningful human control to research contexts</w:t>
                  </w:r>
                </w:p>
              </w:tc>
            </w:tr>
            <w:tr>
              <w:tc>
                <w:tcPr/>
                <w:p>
                  <w:pPr>
                    <w:pStyle w:val="Compact"/>
                    <w:jc w:val="left"/>
                    <w:jc w:val="center"/>
                  </w:pPr>
                  <w:r>
                    <w:t xml:space="preserve">Regulatory echo</w:t>
                  </w:r>
                </w:p>
              </w:tc>
              <w:tc>
                <w:tcPr/>
                <w:p>
                  <w:pPr>
                    <w:pStyle w:val="Compact"/>
                    <w:jc w:val="left"/>
                    <w:jc w:val="center"/>
                  </w:pPr>
                  <w:r>
                    <w:t xml:space="preserve">Absent in law; legal discourse requires oversight, not mere presence in a loop</w:t>
                  </w:r>
                </w:p>
              </w:tc>
              <w:tc>
                <w:tcPr/>
                <w:p>
                  <w:pPr>
                    <w:pStyle w:val="Compact"/>
                    <w:jc w:val="left"/>
                    <w:jc w:val="center"/>
                  </w:pPr>
                  <w:r>
                    <w:t xml:space="preserve">Aligns with human oversight and control requirements in AI regulation</w:t>
                  </w:r>
                </w:p>
              </w:tc>
            </w:tr>
            <w:tr>
              <w:tc>
                <w:tcPr/>
                <w:p>
                  <w:pPr>
                    <w:pStyle w:val="Compact"/>
                    <w:jc w:val="left"/>
                    <w:jc w:val="center"/>
                  </w:pPr>
                  <w:r>
                    <w:t xml:space="preserve">Risk profile</w:t>
                  </w:r>
                </w:p>
              </w:tc>
              <w:tc>
                <w:tcPr/>
                <w:p>
                  <w:pPr>
                    <w:pStyle w:val="Compact"/>
                    <w:jc w:val="left"/>
                    <w:jc w:val="center"/>
                  </w:pPr>
                  <w:r>
                    <w:t xml:space="preserve">Risk of automation bias: the human rubber-stamps machine output</w:t>
                  </w:r>
                </w:p>
              </w:tc>
              <w:tc>
                <w:tcPr/>
                <w:p>
                  <w:pPr>
                    <w:pStyle w:val="Compact"/>
                    <w:jc w:val="left"/>
                    <w:jc w:val="center"/>
                  </w:pPr>
                  <w:r>
                    <w:t xml:space="preserve">Risk reduced by continuous human direction, though the human must stay engaged</w:t>
                  </w:r>
                </w:p>
              </w:tc>
            </w:tr>
            <w:tr>
              <w:tc>
                <w:tcPr/>
                <w:p>
                  <w:pPr>
                    <w:pStyle w:val="Compact"/>
                    <w:jc w:val="left"/>
                    <w:jc w:val="center"/>
                  </w:pPr>
                  <w:r>
                    <w:t xml:space="preserve">Definition of collaboration</w:t>
                  </w:r>
                </w:p>
              </w:tc>
              <w:tc>
                <w:tcPr/>
                <w:p>
                  <w:pPr>
                    <w:pStyle w:val="Compact"/>
                    <w:jc w:val="left"/>
                    <w:jc w:val="center"/>
                  </w:pPr>
                  <w:r>
                    <w:t xml:space="preserve">Human and AI as separable stages in a pipeline</w:t>
                  </w:r>
                </w:p>
              </w:tc>
              <w:tc>
                <w:tcPr/>
                <w:p>
                  <w:pPr>
                    <w:pStyle w:val="Compact"/>
                    <w:jc w:val="left"/>
                    <w:jc w:val="center"/>
                  </w:pPr>
                  <w:r>
                    <w:t xml:space="preserve">Human and AI as a joint sensemaking process; humans add value AI cannot</w:t>
                  </w:r>
                </w:p>
              </w:tc>
            </w:tr>
          </w:tbl>
          <w:bookmarkEnd w:id="21"/>
          <w:p/>
        </w:tc>
      </w:tr>
    </w:tbl>
    <w:p>
      <w:pPr>
        <w:pStyle w:val="BodyText"/>
      </w:pPr>
      <w:r>
        <w:t xml:space="preserve">We translate these responsibilities into three practices for using agentic AI in archaeological work. First, develop enough familiarity with research tools and standards to evaluate the quality of AI-generated outputs. Second, configure an AI agent in a local harness to work with your project files under researcher-defined permissions. Third, use tools, skills, and Model Context Protocol (MCP) servers to research, plan, execute, and verify data analyses. These practices will be most useful to archaeologists who already analyze data with an open source scientific scripting language (e.g. R or Python), whether in academia, government, or private practice, and are looking to reduce some of the friction and repetition in their current workflow.</w:t>
      </w:r>
    </w:p>
    <w:bookmarkEnd w:id="22"/>
    <w:bookmarkStart w:id="23" w:name="sec-tools"/>
    <w:p>
      <w:pPr>
        <w:pStyle w:val="Heading1"/>
      </w:pPr>
      <w:r>
        <w:t xml:space="preserve">Step 1: Learn the Research Tools and Standards</w:t>
      </w:r>
    </w:p>
    <w:p>
      <w:pPr>
        <w:pStyle w:val="FirstParagraph"/>
      </w:pPr>
      <w:r>
        <w:t xml:space="preserve">We recommend learning to import, analyse and visualise data with a scripting language such as R or Python before involving an agent in an analysis; computational literacy must be a core methodological competence for data-intensive researchers</w:t>
      </w:r>
      <w:r>
        <w:t xml:space="preserve"> </w:t>
      </w:r>
      <w:r>
        <w:t xml:space="preserve">(Cooper et al. 2024)</w:t>
      </w:r>
      <w:r>
        <w:t xml:space="preserve">. You need to be able to inspect agent-generated code and explain its relationship to your archaeological question. Learning these fundamentals provides a basis for evaluating the quality and relevance of AI suggestions</w:t>
      </w:r>
      <w:r>
        <w:t xml:space="preserve"> </w:t>
      </w:r>
      <w:r>
        <w:t xml:space="preserve">(Bridgeford et al. 2026; Dyck 2026)</w:t>
      </w:r>
      <w:r>
        <w:t xml:space="preserve">. Our view reflects the current consensus in many fields that learning coding fundamentals and thinking critically about generated code remains essential despite the expanding availability of AI assistance</w:t>
      </w:r>
      <w:r>
        <w:t xml:space="preserve"> </w:t>
      </w:r>
      <w:r>
        <w:t xml:space="preserve">(Abramson et al. 2026; Campbell et al. 2024; Dyck 2026; Nejjar et al. 2025)</w:t>
      </w:r>
      <w:r>
        <w:t xml:space="preserve">.</w:t>
      </w:r>
    </w:p>
    <w:p>
      <w:pPr>
        <w:pStyle w:val="BodyText"/>
      </w:pPr>
      <w:r>
        <w:t xml:space="preserve">We recommend choosing a small set of reputable tools widely used for reproducible research</w:t>
      </w:r>
      <w:r>
        <w:t xml:space="preserve"> </w:t>
      </w:r>
      <w:r>
        <w:t xml:space="preserve">(Marwick 2017)</w:t>
      </w:r>
      <w:r>
        <w:t xml:space="preserve">, and learning how they work together, for example, for R users the tidyverse set of packages for data preparation and visualization</w:t>
      </w:r>
      <w:r>
        <w:t xml:space="preserve"> </w:t>
      </w:r>
      <w:r>
        <w:t xml:space="preserve">(Wickham et al. 2019)</w:t>
      </w:r>
      <w:r>
        <w:t xml:space="preserve">. The Quarto document format is ideal for writing your report, this combines prose and executable code in a document written as a plain-text file</w:t>
      </w:r>
      <w:r>
        <w:t xml:space="preserve"> </w:t>
      </w:r>
      <w:r>
        <w:t xml:space="preserve">(Quarto)</w:t>
      </w:r>
      <w:r>
        <w:t xml:space="preserve">. Quarto is an extension of the Markdown document format, which LLMs read and write very efficiently and accurately, much more so than Word documents and PDFs. We recommend using converters, such as Markitdown or Docling, to turn DOCX and PDF files into markdown so agents can more efficiently read them. Documents that you want your agent to read and edit should be in Markdown format to improve the agent’s efficiency and minimize their resource consumption.</w:t>
      </w:r>
    </w:p>
    <w:p>
      <w:pPr>
        <w:pStyle w:val="BodyText"/>
      </w:pPr>
      <w:r>
        <w:t xml:space="preserve">Git is a free and open source software that specializes in collaboration and recording versions of project files (e.g. text, code, data) so you can inspect changes and retrieve earlier work</w:t>
      </w:r>
      <w:r>
        <w:t xml:space="preserve"> </w:t>
      </w:r>
      <w:r>
        <w:t xml:space="preserve">(Blischak et al. 2016)</w:t>
      </w:r>
      <w:r>
        <w:t xml:space="preserve">. Agents can handle routine Git operations efficiently to track changes over multiple files in a project. The toolkit we have sketched out here, centered on R, Markdown, and Git, is especially well-suited for working with AI agents because it gives the agent and the researcher a shared, inspectable medium using free and open source tools. Agents read Markdown instruction files, run the R code embedded in our Quarto documents, and their edits are traceable as Git commits (a commit is a saved snapshot of your project’s files at a specific point in time). This is a robust system for linking reported results back to the executable analyses that generated them; the agent transparently records every machine-generated change in plain text for you to review before accepting or rejecting it.</w:t>
      </w:r>
    </w:p>
    <w:bookmarkEnd w:id="23"/>
    <w:bookmarkStart w:id="30" w:name="sec-harness"/>
    <w:p>
      <w:pPr>
        <w:pStyle w:val="Heading1"/>
      </w:pPr>
      <w:r>
        <w:t xml:space="preserve">Step 2: Configure an Agent Harness for Your Project</w:t>
      </w:r>
    </w:p>
    <w:p>
      <w:pPr>
        <w:pStyle w:val="FirstParagraph"/>
      </w:pPr>
      <w:r>
        <w:t xml:space="preserve">When we use the tools described above, it is relatively simple to configure an AI agent so that it can efficiently see all the files in our project and edit them directly. The key tool here is a local harness, this is software you install on your computer that turns a LLM into an agent. The LLM by itself can only generate text, and the harness connects that model to tools, such as reading and editing project files, running shell and R commands, calling MCP servers, and managing the exchange between the model, the tools, and you. The harness enforces permissions, and manages context, runs loops, and presents the interface (</w:t>
      </w:r>
      <w:hyperlink w:anchor="tbl-harness">
        <w:r>
          <w:rPr>
            <w:rStyle w:val="Hyperlink"/>
          </w:rPr>
          <w:t xml:space="preserve">Table 3</w:t>
        </w:r>
      </w:hyperlink>
      <w:r>
        <w:t xml:space="preserve">). At the time of writing widely used harnesses include Claude Code</w:t>
      </w:r>
      <w:r>
        <w:t xml:space="preserve"> </w:t>
      </w:r>
      <w:r>
        <w:t xml:space="preserve">(Liu et al. 2026)</w:t>
      </w:r>
      <w:r>
        <w:t xml:space="preserve">, GitHub Copilot, OpenAI Codex and OpenCode. We recommend the OpenCode terminal user interface (running in the terminal pane of an integrated development environment such as RStudio or VS Code) because it is free, open source, and not tied to any model vendor (</w:t>
      </w:r>
      <w:hyperlink w:anchor="fig-agent-in-ide">
        <w:r>
          <w:rPr>
            <w:rStyle w:val="Hyperlink"/>
          </w:rPr>
          <w:t xml:space="preserve">Figure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4" w:name="tbl-harness"/>
          <w:p>
            <w:pPr>
              <w:jc w:val="center"/>
            </w:pPr>
            <w:pPr>
              <w:jc w:val="start"/>
              <w:spacing w:before="200"/>
              <w:pStyle w:val="ImageCaption"/>
            </w:pPr>
            <w:r>
              <w:t xml:space="preserve">Table 3: Key parts of a typical agent harness and what they do.</w:t>
            </w:r>
          </w:p>
          <w:tbl>
            <w:tblPr>
              <w:tblStyle w:val="Table"/>
              <w:tblW w:type="pct" w:w="5000"/>
              <w:tblLook w:firstRow="1" w:lastRow="0" w:firstColumn="0" w:lastColumn="0" w:noHBand="0" w:noVBand="0" w:val="0020"/>
              <w:jc w:val="start"/>
              <w:tblLayout w:type="fixed"/>
            </w:tblPr>
            <w:tblGrid>
              <w:gridCol w:w="426"/>
              <w:gridCol w:w="3942"/>
              <w:gridCol w:w="3551"/>
            </w:tblGrid>
            <w:tr>
              <w:trPr>
                <w:tblHeader w:val="true"/>
              </w:trPr>
              <w:tc>
                <w:tcPr/>
                <w:p>
                  <w:pPr>
                    <w:pStyle w:val="Compact"/>
                    <w:jc w:val="left"/>
                    <w:jc w:val="center"/>
                  </w:pPr>
                  <w:r>
                    <w:t xml:space="preserve">Component</w:t>
                  </w:r>
                </w:p>
              </w:tc>
              <w:tc>
                <w:tcPr/>
                <w:p>
                  <w:pPr>
                    <w:pStyle w:val="Compact"/>
                    <w:jc w:val="left"/>
                    <w:jc w:val="center"/>
                  </w:pPr>
                  <w:r>
                    <w:t xml:space="preserve">Job</w:t>
                  </w:r>
                </w:p>
              </w:tc>
              <w:tc>
                <w:tcPr/>
                <w:p>
                  <w:pPr>
                    <w:pStyle w:val="Compact"/>
                    <w:jc w:val="left"/>
                    <w:jc w:val="center"/>
                  </w:pPr>
                  <w:r>
                    <w:t xml:space="preserve">Example</w:t>
                  </w:r>
                </w:p>
              </w:tc>
            </w:tr>
            <w:tr>
              <w:tc>
                <w:tcPr/>
                <w:p>
                  <w:pPr>
                    <w:pStyle w:val="Compact"/>
                    <w:jc w:val="left"/>
                    <w:jc w:val="center"/>
                  </w:pPr>
                  <w:r>
                    <w:t xml:space="preserve">Permissions</w:t>
                  </w:r>
                </w:p>
              </w:tc>
              <w:tc>
                <w:tcPr/>
                <w:p>
                  <w:pPr>
                    <w:pStyle w:val="Compact"/>
                    <w:jc w:val="left"/>
                    <w:jc w:val="center"/>
                  </w:pPr>
                  <w:r>
                    <w:t xml:space="preserve">Decide which actions run automatically and which need your approval</w:t>
                  </w:r>
                </w:p>
              </w:tc>
              <w:tc>
                <w:tcPr/>
                <w:p>
                  <w:pPr>
                    <w:pStyle w:val="Compact"/>
                    <w:jc w:val="left"/>
                    <w:jc w:val="center"/>
                  </w:pPr>
                  <w:r>
                    <w:t xml:space="preserve">Block edits to restricted files</w:t>
                  </w:r>
                </w:p>
              </w:tc>
            </w:tr>
            <w:tr>
              <w:tc>
                <w:tcPr/>
                <w:p>
                  <w:pPr>
                    <w:pStyle w:val="Compact"/>
                    <w:jc w:val="left"/>
                    <w:jc w:val="center"/>
                  </w:pPr>
                  <w:r>
                    <w:t xml:space="preserve">Context</w:t>
                  </w:r>
                </w:p>
              </w:tc>
              <w:tc>
                <w:tcPr/>
                <w:p>
                  <w:pPr>
                    <w:pStyle w:val="Compact"/>
                    <w:jc w:val="left"/>
                    <w:jc w:val="center"/>
                  </w:pPr>
                  <w:r>
                    <w:t xml:space="preserve">Assemble the content your model sees each turn</w:t>
                  </w:r>
                </w:p>
              </w:tc>
              <w:tc>
                <w:tcPr/>
                <w:p>
                  <w:pPr>
                    <w:pStyle w:val="Compact"/>
                    <w:jc w:val="left"/>
                    <w:jc w:val="center"/>
                  </w:pPr>
                  <w:r>
                    <w:t xml:space="preserve">AGENTS.md, conversation history, file contents, tool outputs</w:t>
                  </w:r>
                </w:p>
              </w:tc>
            </w:tr>
            <w:tr>
              <w:tc>
                <w:tcPr/>
                <w:p>
                  <w:pPr>
                    <w:pStyle w:val="Compact"/>
                    <w:jc w:val="left"/>
                    <w:jc w:val="center"/>
                  </w:pPr>
                  <w:r>
                    <w:t xml:space="preserve">Loop</w:t>
                  </w:r>
                </w:p>
              </w:tc>
              <w:tc>
                <w:tcPr/>
                <w:p>
                  <w:pPr>
                    <w:pStyle w:val="Compact"/>
                    <w:jc w:val="left"/>
                    <w:jc w:val="center"/>
                  </w:pPr>
                  <w:r>
                    <w:t xml:space="preserve">Send your prompt to the model, run its tool calls and feed results back until the task finishes or you stop it</w:t>
                  </w:r>
                </w:p>
              </w:tc>
              <w:tc>
                <w:tcPr/>
                <w:p>
                  <w:pPr>
                    <w:pStyle w:val="Compact"/>
                    <w:jc w:val="left"/>
                    <w:jc w:val="center"/>
                  </w:pPr>
                  <w:r>
                    <w:t xml:space="preserve">Plan, then the model acts, then checks its work, then repeats or moves to the next step in the plan</w:t>
                  </w:r>
                </w:p>
              </w:tc>
            </w:tr>
            <w:tr>
              <w:tc>
                <w:tcPr/>
                <w:p>
                  <w:pPr>
                    <w:pStyle w:val="Compact"/>
                    <w:jc w:val="left"/>
                    <w:jc w:val="center"/>
                  </w:pPr>
                  <w:r>
                    <w:t xml:space="preserve">Interface</w:t>
                  </w:r>
                </w:p>
              </w:tc>
              <w:tc>
                <w:tcPr/>
                <w:p>
                  <w:pPr>
                    <w:pStyle w:val="Compact"/>
                    <w:jc w:val="left"/>
                    <w:jc w:val="center"/>
                  </w:pPr>
                  <w:r>
                    <w:t xml:space="preserve">Show where you type prompts, watch the agent work, and read its output</w:t>
                  </w:r>
                </w:p>
              </w:tc>
              <w:tc>
                <w:tcPr/>
                <w:p>
                  <w:pPr>
                    <w:pStyle w:val="Compact"/>
                    <w:jc w:val="left"/>
                    <w:jc w:val="center"/>
                  </w:pPr>
                  <w:r>
                    <w:t xml:space="preserve">Terminal pane in RStudio or VS Code, so you can view the agent side-by-side with your documents</w:t>
                  </w:r>
                </w:p>
              </w:tc>
            </w:tr>
          </w:tbl>
          <w:bookmarkEnd w:id="24"/>
          <w:p/>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8" w:name="fig-agent-in-ide"/>
          <w:p>
            <w:pPr>
              <w:pStyle w:val="Compact"/>
              <w:jc w:val="center"/>
            </w:pPr>
            <w:r>
              <w:drawing>
                <wp:inline>
                  <wp:extent cx="5943600" cy="2757340"/>
                  <wp:effectExtent b="0" l="0" r="0" t="0"/>
                  <wp:docPr descr="" title="" id="26" name="Picture"/>
                  <a:graphic>
                    <a:graphicData uri="http://schemas.openxmlformats.org/drawingml/2006/picture">
                      <pic:pic>
                        <pic:nvPicPr>
                          <pic:cNvPr descr="../figures/fig-agent-in-ide.png" id="27" name="Picture"/>
                          <pic:cNvPicPr>
                            <a:picLocks noChangeArrowheads="1" noChangeAspect="1"/>
                          </pic:cNvPicPr>
                        </pic:nvPicPr>
                        <pic:blipFill>
                          <a:blip r:embed="rId25"/>
                          <a:stretch>
                            <a:fillRect/>
                          </a:stretch>
                        </pic:blipFill>
                        <pic:spPr bwMode="auto">
                          <a:xfrm>
                            <a:off x="0" y="0"/>
                            <a:ext cx="5943600" cy="27573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Schematic illustration of a typical human-at-the-heml data analysis enviroment that includes agentic AI. The entire frame incapsulated in an Integrated Development Environment, such as RStudio or VS Code. On the left side is a Quarto document where we can see headings (</w:t>
            </w:r>
            <w:r>
              <w:t xml:space="preserve">‘</w:t>
            </w:r>
            <w:r>
              <w:t xml:space="preserve">Exploring the data</w:t>
            </w:r>
            <w:r>
              <w:t xml:space="preserve">’</w:t>
            </w:r>
            <w:r>
              <w:t xml:space="preserve">,</w:t>
            </w:r>
            <w:r>
              <w:t xml:space="preserve"> </w:t>
            </w:r>
            <w:r>
              <w:t xml:space="preserve">‘</w:t>
            </w:r>
            <w:r>
              <w:t xml:space="preserve">Results</w:t>
            </w:r>
            <w:r>
              <w:t xml:space="preserve">’</w:t>
            </w:r>
            <w:r>
              <w:t xml:space="preserve">), lines of narrative text, an R code block, and a data visualisation. We can see the AI agent is active in the R code block. The human researcher is active in the narrative text. On the right side is the AI agent’s harness, for example, OpenCode. We can see there are three agents active, agent 1 is operating in plan mode (so it cannot modify any file). Its scope of activities is limited to the current project’s working directory (which includes a project-level AGENTS.md file and a git repository for tracking changes). The agent has replied with some text and is now presenting a set of options to the researcher to choose from. At the bottom of the harness is the box to type prompts to the model, and below that text that indicates what model is currently in use, and how much the model has been used in the current session.</w:t>
            </w:r>
          </w:p>
          <w:bookmarkEnd w:id="28"/>
        </w:tc>
      </w:tr>
    </w:tbl>
    <w:p>
      <w:pPr>
        <w:pStyle w:val="BodyText"/>
      </w:pPr>
      <w:r>
        <w:t xml:space="preserve">Store preferences and working habits you reuse across projects in a global AGENTS.md file. In OpenCode this file is located in a path similar to .config/opencode/AGENTS.md. Keep project-specific details in a second AGENTS.md file located at the top level of each project folder. This project-specific preferences file is the place to record contextual information specific to the project you are currently working on, and saves you having to manually send those details to the LLM in each session. This could include information about archaeological context, about prior decisions you have made about the analysis plan, about your target audience for your report or manuscript, etc. We provide examples of our AGENTS.md files in our research compendium.</w:t>
      </w:r>
    </w:p>
    <w:p>
      <w:pPr>
        <w:pStyle w:val="BodyText"/>
      </w:pPr>
      <w:r>
        <w:t xml:space="preserve">Harnesses often provide multiple working modes, for example,</w:t>
      </w:r>
      <w:r>
        <w:t xml:space="preserve"> </w:t>
      </w:r>
      <w:r>
        <w:t xml:space="preserve">‘</w:t>
      </w:r>
      <w:r>
        <w:t xml:space="preserve">plan</w:t>
      </w:r>
      <w:r>
        <w:t xml:space="preserve">’</w:t>
      </w:r>
      <w:r>
        <w:t xml:space="preserve"> </w:t>
      </w:r>
      <w:r>
        <w:t xml:space="preserve">and</w:t>
      </w:r>
      <w:r>
        <w:t xml:space="preserve"> </w:t>
      </w:r>
      <w:r>
        <w:t xml:space="preserve">‘</w:t>
      </w:r>
      <w:r>
        <w:t xml:space="preserve">build</w:t>
      </w:r>
      <w:r>
        <w:t xml:space="preserve">’</w:t>
      </w:r>
      <w:r>
        <w:t xml:space="preserve">. Plan directs the model to inspect files and propose changes without editing any project files. Build allows file editing and running code according to your permission settings. We recommend using Plan mode when exploring options with the model and drafting your analysis plans. This prevents the model from making changes to your files before your plan is finalized. Multiple rounds of planning are necessary for a high quality plan</w:t>
      </w:r>
      <w:r>
        <w:t xml:space="preserve"> </w:t>
      </w:r>
      <w:r>
        <w:t xml:space="preserve">(Bertran et al. 2026; Messeri and Crockett 2024)</w:t>
      </w:r>
      <w:r>
        <w:t xml:space="preserve">, giving you a chance to steer and challenge the model, request justification for decisions it proposes, and invite the model to criticize your ideas, in preparation for human reviewers</w:t>
      </w:r>
      <w:r>
        <w:t xml:space="preserve"> </w:t>
      </w:r>
      <w:r>
        <w:t xml:space="preserve">(Korinek 2023)</w:t>
      </w:r>
      <w:r>
        <w:t xml:space="preserve">. This helps to surface forking paths (alternative analytical decisions that could lead to different conclusions) early and map out the analysis space available to your project. Each discussion round needs evaluation against data, literature, and your expertise, letting you add variables, design details, and constraints missing from previous rounds</w:t>
      </w:r>
      <w:r>
        <w:t xml:space="preserve"> </w:t>
      </w:r>
      <w:r>
        <w:t xml:space="preserve">(Brown and Spillias 2026)</w:t>
      </w:r>
      <w:r>
        <w:t xml:space="preserve">. Save your analysis plan to a markdown file at the end of a planning session (switch to build mode to allow the model to create a new file). Then when you resume your work, start a new conversation by directing the model to read your plan saved in the markdown file, rather than rely on its memory. This avoids the problems of models performing increasingly poorly across long meandering threads and failing to recover after a wrong turn</w:t>
      </w:r>
      <w:r>
        <w:t xml:space="preserve"> </w:t>
      </w:r>
      <w:r>
        <w:t xml:space="preserve">(Laban et al. 2025)</w:t>
      </w:r>
      <w:r>
        <w:t xml:space="preserve">. Having your plan in a markdown file also allows you to easily directly edit it independent of the AI, and manually record the status of each step of the plan (e.g. </w:t>
      </w:r>
      <w:r>
        <w:t xml:space="preserve">‘</w:t>
      </w:r>
      <w:r>
        <w:t xml:space="preserve">done</w:t>
      </w:r>
      <w:r>
        <w:t xml:space="preserve">’</w:t>
      </w:r>
      <w:r>
        <w:t xml:space="preserve">,</w:t>
      </w:r>
      <w:r>
        <w:t xml:space="preserve"> </w:t>
      </w:r>
      <w:r>
        <w:t xml:space="preserve">‘</w:t>
      </w:r>
      <w:r>
        <w:t xml:space="preserve">in progress</w:t>
      </w:r>
      <w:r>
        <w:t xml:space="preserve">’</w:t>
      </w:r>
      <w:r>
        <w:t xml:space="preserve">), so you remain at the helm of your project.</w:t>
      </w:r>
    </w:p>
    <w:p>
      <w:pPr>
        <w:pStyle w:val="BodyText"/>
      </w:pPr>
      <w:r>
        <w:t xml:space="preserve">Planning an analysis with a LLM works best with a state-of-the-art, reasoning-enabled large frontier model because these are often better at the long-horizon, open-ended, branching tasks involved in drafting a plan</w:t>
      </w:r>
      <w:r>
        <w:t xml:space="preserve"> </w:t>
      </w:r>
      <w:r>
        <w:t xml:space="preserve">(Lu et al. 2026; Zhang et al. 2025)</w:t>
      </w:r>
      <w:r>
        <w:t xml:space="preserve">. However, larger models can be slower, more expensive and resource intensive, so we recommend switching to a smaller model to implement the individual steps of the plan. When your plan is set, switch your harness to build mode and direct the model to execute one step of the plan. As the model completes a step, verify completion by inspecting the Git diff, check the output against your plan, and for more complex steps, interrogate the model to have it justify its actions. Agents sometimes report finished work they never completed</w:t>
      </w:r>
      <w:r>
        <w:t xml:space="preserve"> </w:t>
      </w:r>
      <w:r>
        <w:t xml:space="preserve">(Brown, Aitken, et al. 2026; Nejjar et al. 2025)</w:t>
      </w:r>
      <w:r>
        <w:t xml:space="preserve">, so it is essential to check the files and outputs yourself.</w:t>
      </w:r>
    </w:p>
    <w:p>
      <w:pPr>
        <w:pStyle w:val="BodyText"/>
      </w:pPr>
      <w:r>
        <w:t xml:space="preserve">While the harness is installed and runs locally on our computer, they typically use LLMs hosted remotely at data centers. This connection requires obtaining an API (Application Programming Interface) key from a model provider, and adding this key to our harness configuration file. Once we have this connection, our file contents and tool outputs may enter the context sent to a remote model, and potentially even be used to train future LLMs. For many archaeological projects this is unacceptable, e.g. when working with confidential client information, and culturally sensitive data.</w:t>
      </w:r>
      <w:r>
        <w:t xml:space="preserve"> </w:t>
      </w:r>
      <w:hyperlink w:anchor="tbl-privacy">
        <w:r>
          <w:rPr>
            <w:rStyle w:val="Hyperlink"/>
          </w:rPr>
          <w:t xml:space="preserve">Table 4</w:t>
        </w:r>
      </w:hyperlink>
      <w:r>
        <w:t xml:space="preserve"> </w:t>
      </w:r>
      <w:r>
        <w:t xml:space="preserve">summarises common solutions to this problem.</w:t>
      </w:r>
    </w:p>
    <w:tbl>
      <w:tblPr>
        <w:tblStyle w:val="Table"/>
        <w:tblW w:type="pct" w:w="5000"/>
        <w:tblLook w:firstRow="0" w:lastRow="0" w:firstColumn="0" w:lastColumn="0" w:noHBand="0" w:noVBand="0" w:val="0000"/>
        <w:jc w:val="start"/>
        <w:tblLayout w:type="fixed"/>
      </w:tblPr>
      <w:tblGrid>
        <w:gridCol w:w="7920"/>
      </w:tblGrid>
      <w:tr>
        <w:tc>
          <w:tcPr/>
          <w:bookmarkStart w:id="29" w:name="tbl-privacy"/>
          <w:p>
            <w:pPr>
              <w:jc w:val="center"/>
            </w:pPr>
            <w:pPr>
              <w:jc w:val="start"/>
              <w:spacing w:before="200"/>
              <w:pStyle w:val="ImageCaption"/>
            </w:pPr>
            <w:r>
              <w:t xml:space="preserve">Table 4: Options for minimizing risks of working with restricted data.</w:t>
            </w:r>
          </w:p>
          <w:tbl>
            <w:tblPr>
              <w:tblStyle w:val="Table"/>
              <w:tblW w:type="pct" w:w="5000"/>
              <w:tblLook w:firstRow="1" w:lastRow="0" w:firstColumn="0" w:lastColumn="0" w:noHBand="0" w:noVBand="0" w:val="0020"/>
              <w:jc w:val="start"/>
              <w:tblLayout w:type="fixed"/>
            </w:tblPr>
            <w:tblGrid>
              <w:gridCol w:w="536"/>
              <w:gridCol w:w="5115"/>
              <w:gridCol w:w="2268"/>
            </w:tblGrid>
            <w:tr>
              <w:trPr>
                <w:tblHeader w:val="true"/>
              </w:trPr>
              <w:tc>
                <w:tcPr/>
                <w:p>
                  <w:pPr>
                    <w:pStyle w:val="Compact"/>
                    <w:jc w:val="left"/>
                    <w:jc w:val="center"/>
                  </w:pPr>
                  <w:r>
                    <w:t xml:space="preserve">Option</w:t>
                  </w:r>
                </w:p>
              </w:tc>
              <w:tc>
                <w:tcPr/>
                <w:p>
                  <w:pPr>
                    <w:pStyle w:val="Compact"/>
                    <w:jc w:val="left"/>
                    <w:jc w:val="center"/>
                  </w:pPr>
                  <w:r>
                    <w:t xml:space="preserve">Action</w:t>
                  </w:r>
                </w:p>
              </w:tc>
              <w:tc>
                <w:tcPr/>
                <w:p>
                  <w:pPr>
                    <w:pStyle w:val="Compact"/>
                    <w:jc w:val="left"/>
                    <w:jc w:val="center"/>
                  </w:pPr>
                  <w:r>
                    <w:t xml:space="preserve">Limitation</w:t>
                  </w:r>
                </w:p>
              </w:tc>
            </w:tr>
            <w:tr>
              <w:tc>
                <w:tcPr/>
                <w:p>
                  <w:pPr>
                    <w:pStyle w:val="Compact"/>
                    <w:jc w:val="left"/>
                    <w:jc w:val="center"/>
                  </w:pPr>
                  <w:r>
                    <w:t xml:space="preserve">Zero Data Retention (ZDR)</w:t>
                  </w:r>
                </w:p>
              </w:tc>
              <w:tc>
                <w:tcPr/>
                <w:p>
                  <w:pPr>
                    <w:pStyle w:val="Compact"/>
                    <w:jc w:val="left"/>
                    <w:jc w:val="center"/>
                  </w:pPr>
                  <w:r>
                    <w:t xml:space="preserve">Use a provider that deletes request data immediately after processing</w:t>
                  </w:r>
                </w:p>
              </w:tc>
              <w:tc>
                <w:tcPr/>
                <w:p>
                  <w:pPr>
                    <w:pStyle w:val="Compact"/>
                    <w:jc w:val="left"/>
                    <w:jc w:val="center"/>
                  </w:pPr>
                  <w:r>
                    <w:t xml:space="preserve">Contractual promise only; check terms before sending sensitive data</w:t>
                  </w:r>
                </w:p>
              </w:tc>
            </w:tr>
            <w:tr>
              <w:tc>
                <w:tcPr/>
                <w:p>
                  <w:pPr>
                    <w:pStyle w:val="Compact"/>
                    <w:jc w:val="left"/>
                    <w:jc w:val="center"/>
                  </w:pPr>
                  <w:r>
                    <w:t xml:space="preserve">Outside-folder storage</w:t>
                  </w:r>
                </w:p>
              </w:tc>
              <w:tc>
                <w:tcPr/>
                <w:p>
                  <w:pPr>
                    <w:pStyle w:val="Compact"/>
                    <w:jc w:val="left"/>
                    <w:jc w:val="center"/>
                  </w:pPr>
                  <w:r>
                    <w:t xml:space="preserve">Keep restricted files in a directory outside the project folder so the agent cannot open them by accident</w:t>
                  </w:r>
                  <w:r>
                    <w:t xml:space="preserve"> </w:t>
                  </w:r>
                  <w:r>
                    <w:t xml:space="preserve">(Brown 2026)</w:t>
                  </w:r>
                </w:p>
              </w:tc>
              <w:tc>
                <w:tcPr/>
                <w:p>
                  <w:pPr>
                    <w:pStyle w:val="Compact"/>
                    <w:jc w:val="left"/>
                    <w:jc w:val="center"/>
                  </w:pPr>
                  <w:r>
                    <w:t xml:space="preserve">You must move files yourself and manage what the agent can see</w:t>
                  </w:r>
                </w:p>
              </w:tc>
            </w:tr>
            <w:tr>
              <w:tc>
                <w:tcPr/>
                <w:p>
                  <w:pPr>
                    <w:pStyle w:val="Compact"/>
                    <w:jc w:val="left"/>
                    <w:jc w:val="center"/>
                  </w:pPr>
                  <w:r>
                    <w:t xml:space="preserve">Local LLM</w:t>
                  </w:r>
                </w:p>
              </w:tc>
              <w:tc>
                <w:tcPr/>
                <w:p>
                  <w:pPr>
                    <w:pStyle w:val="Compact"/>
                    <w:jc w:val="left"/>
                    <w:jc w:val="center"/>
                  </w:pPr>
                  <w:r>
                    <w:t xml:space="preserve">Run the model on your computer so no data leave it</w:t>
                  </w:r>
                  <w:r>
                    <w:t xml:space="preserve"> </w:t>
                  </w:r>
                  <w:r>
                    <w:t xml:space="preserve">(Abramson et al. 2026; Wiest et al. 2024)</w:t>
                  </w:r>
                </w:p>
              </w:tc>
              <w:tc>
                <w:tcPr/>
                <w:p>
                  <w:pPr>
                    <w:pStyle w:val="Compact"/>
                    <w:jc w:val="left"/>
                    <w:jc w:val="center"/>
                  </w:pPr>
                  <w:r>
                    <w:t xml:space="preserve">Matching hosted-model quality needs expensive high-performance hardware</w:t>
                  </w:r>
                  <w:r>
                    <w:t xml:space="preserve"> </w:t>
                  </w:r>
                  <w:r>
                    <w:t xml:space="preserve">(Brown, Spillias, et al. 2026)</w:t>
                  </w:r>
                </w:p>
              </w:tc>
            </w:tr>
            <w:tr>
              <w:tc>
                <w:tcPr/>
                <w:p>
                  <w:pPr>
                    <w:pStyle w:val="Compact"/>
                    <w:jc w:val="left"/>
                    <w:jc w:val="center"/>
                  </w:pPr>
                  <w:r>
                    <w:t xml:space="preserve">Synthetic proxy data</w:t>
                  </w:r>
                </w:p>
              </w:tc>
              <w:tc>
                <w:tcPr/>
                <w:p>
                  <w:pPr>
                    <w:pStyle w:val="Compact"/>
                    <w:jc w:val="left"/>
                    <w:jc w:val="center"/>
                  </w:pPr>
                  <w:r>
                    <w:t xml:space="preserve">Use a local model to build a synthetic dataset with the same structure and statistical properties but no real locations, measurements, or identifying information, then send the proxy to the remote model for code writing</w:t>
                  </w:r>
                  <w:r>
                    <w:t xml:space="preserve"> </w:t>
                  </w:r>
                  <w:r>
                    <w:t xml:space="preserve">(Schweinberger 2026)</w:t>
                  </w:r>
                </w:p>
              </w:tc>
              <w:tc>
                <w:tcPr/>
                <w:p>
                  <w:pPr>
                    <w:pStyle w:val="Compact"/>
                    <w:jc w:val="left"/>
                    <w:jc w:val="center"/>
                  </w:pPr>
                  <w:r>
                    <w:t xml:space="preserve">The proxy must match the real columns variable types, distributions, and format or the code will not transfer</w:t>
                  </w:r>
                </w:p>
              </w:tc>
            </w:tr>
          </w:tbl>
          <w:bookmarkEnd w:id="29"/>
          <w:p/>
        </w:tc>
      </w:tr>
    </w:tbl>
    <w:bookmarkEnd w:id="30"/>
    <w:bookmarkStart w:id="36" w:name="sec-analysis"/>
    <w:p>
      <w:pPr>
        <w:pStyle w:val="Heading1"/>
      </w:pPr>
      <w:r>
        <w:t xml:space="preserve">Step 3: Use Tools, Skills, and Model Context Protocols to Research, Plan, and Analyze</w:t>
      </w:r>
    </w:p>
    <w:p>
      <w:pPr>
        <w:pStyle w:val="FirstParagraph"/>
      </w:pPr>
      <w:r>
        <w:t xml:space="preserve">With the harness configured, working with an AI to generate plans and analyse data is more efficient by using tools, skills and Model Context Protocols (MCPs) to do common research tasks such as search for and verify references, write and run code, organise and manage files, and simulate peer review. A tool performs a single computer action and returns a result, such as reading, editing and renaming a file, or running R code. A skill is a simple markdown file of metadata and instructions and supporting resources for a recurring task</w:t>
      </w:r>
      <w:r>
        <w:t xml:space="preserve"> </w:t>
      </w:r>
      <w:r>
        <w:t xml:space="preserve">(Xu and Yan 2026)</w:t>
      </w:r>
      <w:r>
        <w:t xml:space="preserve">. The agent reads the full skill file when a task contains words that matches the metadata, and the skill file’s contents are sent to the model as part of the prompt. For example, we have a skill file for the tidyverse idiom of the R language. When we ask for R code, the harness loads that file into the context and sends it to the model along with the rest of the prompt, and the output follows those conventions. MCP is an open source standard for connecting an agent to external data sources and services; they can also provide specialist tools</w:t>
      </w:r>
      <w:r>
        <w:t xml:space="preserve"> </w:t>
      </w:r>
      <w:r>
        <w:t xml:space="preserve">(Hou et al. 2026)</w:t>
      </w:r>
      <w:r>
        <w:t xml:space="preserve">. A skill describes a procedure, while tools perform its actions and an MCP server supplies connections.</w:t>
      </w:r>
      <w:r>
        <w:t xml:space="preserve"> </w:t>
      </w:r>
      <w:hyperlink w:anchor="tbl-stack">
        <w:r>
          <w:rPr>
            <w:rStyle w:val="Hyperlink"/>
          </w:rPr>
          <w:t xml:space="preserve">Table 5</w:t>
        </w:r>
      </w:hyperlink>
      <w:r>
        <w:t xml:space="preserve"> </w:t>
      </w:r>
      <w:r>
        <w:t xml:space="preserve">lists the MCP servers and skills we currently use and recommend for archaeological work. These are open formats so you can work with your agent to write new skills and MCP servers to meet the needs of your specific projects.</w:t>
      </w:r>
    </w:p>
    <w:tbl>
      <w:tblPr>
        <w:tblStyle w:val="Table"/>
        <w:tblW w:type="pct" w:w="5000"/>
        <w:tblLook w:firstRow="0" w:lastRow="0" w:firstColumn="0" w:lastColumn="0" w:noHBand="0" w:noVBand="0" w:val="0000"/>
        <w:jc w:val="start"/>
        <w:tblLayout w:type="fixed"/>
      </w:tblPr>
      <w:tblGrid>
        <w:gridCol w:w="7920"/>
      </w:tblGrid>
      <w:tr>
        <w:tc>
          <w:tcPr/>
          <w:bookmarkStart w:id="31" w:name="tbl-stack"/>
          <w:p>
            <w:pPr>
              <w:jc w:val="center"/>
            </w:pPr>
            <w:pPr>
              <w:jc w:val="start"/>
              <w:spacing w:before="200"/>
              <w:pStyle w:val="ImageCaption"/>
            </w:pPr>
            <w:r>
              <w:t xml:space="preserve">Table 5: Instructions, MCP servers and skills installed in the our OpenCode configuration that we have found useful for assistence with routine research tasks. Readers can copy-paste this table into their AI agent and ask it to install the skills and MCP servers for global availability across their projects. This list is a snapshot of a fast-moving field: some of these projects may disappear, and better ones may soon replace them. Ask your AI agent to search for the current state-of-the-art skills and MCP servers for your specific purpose.</w:t>
            </w:r>
          </w:p>
          <w:tbl>
            <w:tblPr>
              <w:tblStyle w:val="Table"/>
              <w:tblW w:type="pct" w:w="5000"/>
              <w:tblLook w:firstRow="1" w:lastRow="0" w:firstColumn="0" w:lastColumn="0" w:noHBand="0" w:noVBand="0" w:val="0020"/>
              <w:jc w:val="start"/>
              <w:tblLayout w:type="fixed"/>
            </w:tblPr>
            <w:tblGrid>
              <w:gridCol w:w="363"/>
              <w:gridCol w:w="755"/>
              <w:gridCol w:w="5037"/>
              <w:gridCol w:w="1763"/>
            </w:tblGrid>
            <w:tr>
              <w:trPr>
                <w:tblHeader w:val="true"/>
              </w:trPr>
              <w:tc>
                <w:tcPr/>
                <w:p>
                  <w:pPr>
                    <w:pStyle w:val="Compact"/>
                    <w:jc w:val="left"/>
                    <w:jc w:val="center"/>
                  </w:pPr>
                  <w:r>
                    <w:t xml:space="preserve">Type</w:t>
                  </w:r>
                </w:p>
              </w:tc>
              <w:tc>
                <w:tcPr/>
                <w:p>
                  <w:pPr>
                    <w:pStyle w:val="Compact"/>
                    <w:jc w:val="left"/>
                    <w:jc w:val="center"/>
                  </w:pPr>
                  <w:r>
                    <w:t xml:space="preserve">Name</w:t>
                  </w:r>
                </w:p>
              </w:tc>
              <w:tc>
                <w:tcPr/>
                <w:p>
                  <w:pPr>
                    <w:pStyle w:val="Compact"/>
                    <w:jc w:val="left"/>
                    <w:jc w:val="center"/>
                  </w:pPr>
                  <w:r>
                    <w:t xml:space="preserve">Purpose</w:t>
                  </w:r>
                </w:p>
              </w:tc>
              <w:tc>
                <w:tcPr/>
                <w:p>
                  <w:pPr>
                    <w:pStyle w:val="Compact"/>
                    <w:jc w:val="left"/>
                    <w:jc w:val="center"/>
                  </w:pPr>
                  <w:r>
                    <w:t xml:space="preserve">Source</w:t>
                  </w:r>
                </w:p>
              </w:tc>
            </w:tr>
            <w:tr>
              <w:tc>
                <w:tcPr/>
                <w:p>
                  <w:pPr>
                    <w:pStyle w:val="Compact"/>
                    <w:jc w:val="left"/>
                    <w:jc w:val="center"/>
                  </w:pPr>
                  <w:r>
                    <w:t xml:space="preserve">Instructions</w:t>
                  </w:r>
                </w:p>
              </w:tc>
              <w:tc>
                <w:tcPr/>
                <w:p>
                  <w:pPr>
                    <w:pStyle w:val="Compact"/>
                    <w:jc w:val="left"/>
                    <w:jc w:val="center"/>
                  </w:pPr>
                  <w:r>
                    <w:t xml:space="preserve">global AGENTS.md</w:t>
                  </w:r>
                </w:p>
              </w:tc>
              <w:tc>
                <w:tcPr/>
                <w:p>
                  <w:pPr>
                    <w:pStyle w:val="Compact"/>
                    <w:jc w:val="left"/>
                    <w:jc w:val="center"/>
                  </w:pPr>
                  <w:r>
                    <w:t xml:space="preserve">Global preferences and working habits applied across all projects</w:t>
                  </w:r>
                </w:p>
              </w:tc>
              <w:tc>
                <w:tcPr/>
                <w:p>
                  <w:pPr>
                    <w:pStyle w:val="Compact"/>
                    <w:jc w:val="left"/>
                    <w:jc w:val="center"/>
                  </w:pPr>
                  <w:r>
                    <w:t xml:space="preserve">local</w:t>
                  </w:r>
                </w:p>
              </w:tc>
            </w:tr>
            <w:tr>
              <w:tc>
                <w:tcPr/>
                <w:p>
                  <w:pPr>
                    <w:pStyle w:val="Compact"/>
                    <w:jc w:val="left"/>
                    <w:jc w:val="center"/>
                  </w:pPr>
                  <w:r>
                    <w:t xml:space="preserve">Instructions</w:t>
                  </w:r>
                </w:p>
              </w:tc>
              <w:tc>
                <w:tcPr/>
                <w:p>
                  <w:pPr>
                    <w:pStyle w:val="Compact"/>
                    <w:jc w:val="left"/>
                    <w:jc w:val="center"/>
                  </w:pPr>
                  <w:r>
                    <w:t xml:space="preserve">project-specific AGENTS.md</w:t>
                  </w:r>
                </w:p>
              </w:tc>
              <w:tc>
                <w:tcPr/>
                <w:p>
                  <w:pPr>
                    <w:pStyle w:val="Compact"/>
                    <w:jc w:val="left"/>
                    <w:jc w:val="center"/>
                  </w:pPr>
                  <w:r>
                    <w:t xml:space="preserve">Specific custom project context and instructions auto-loaded at the start of each session</w:t>
                  </w:r>
                </w:p>
              </w:tc>
              <w:tc>
                <w:tcPr/>
                <w:p>
                  <w:pPr>
                    <w:pStyle w:val="Compact"/>
                    <w:jc w:val="left"/>
                    <w:jc w:val="center"/>
                  </w:pPr>
                  <w:r>
                    <w:t xml:space="preserve">local</w:t>
                  </w:r>
                </w:p>
              </w:tc>
            </w:tr>
            <w:tr>
              <w:tc>
                <w:tcPr/>
                <w:p>
                  <w:pPr>
                    <w:pStyle w:val="Compact"/>
                    <w:jc w:val="left"/>
                    <w:jc w:val="center"/>
                  </w:pPr>
                  <w:r>
                    <w:t xml:space="preserve">Skill</w:t>
                  </w:r>
                </w:p>
              </w:tc>
              <w:tc>
                <w:tcPr/>
                <w:p>
                  <w:pPr>
                    <w:pStyle w:val="Compact"/>
                    <w:jc w:val="left"/>
                    <w:jc w:val="center"/>
                  </w:pPr>
                  <w:r>
                    <w:t xml:space="preserve">deep-research</w:t>
                  </w:r>
                </w:p>
              </w:tc>
              <w:tc>
                <w:tcPr/>
                <w:p>
                  <w:pPr>
                    <w:pStyle w:val="Compact"/>
                    <w:jc w:val="left"/>
                    <w:jc w:val="center"/>
                  </w:pPr>
                  <w:r>
                    <w:t xml:space="preserve">Agent team for literature search verification synthesis and systematic review</w:t>
                  </w:r>
                </w:p>
              </w:tc>
              <w:tc>
                <w:tcPr/>
                <w:p>
                  <w:pPr>
                    <w:pStyle w:val="Compact"/>
                    <w:jc w:val="left"/>
                    <w:jc w:val="center"/>
                  </w:pPr>
                  <w:r>
                    <w:t xml:space="preserve">https://github.com/pafozz/hermes-deep-research</w:t>
                  </w:r>
                </w:p>
              </w:tc>
            </w:tr>
            <w:tr>
              <w:tc>
                <w:tcPr/>
                <w:p>
                  <w:pPr>
                    <w:pStyle w:val="Compact"/>
                    <w:jc w:val="left"/>
                    <w:jc w:val="center"/>
                  </w:pPr>
                  <w:r>
                    <w:t xml:space="preserve">Skill</w:t>
                  </w:r>
                </w:p>
              </w:tc>
              <w:tc>
                <w:tcPr/>
                <w:p>
                  <w:pPr>
                    <w:pStyle w:val="Compact"/>
                    <w:jc w:val="left"/>
                    <w:jc w:val="center"/>
                  </w:pPr>
                  <w:r>
                    <w:t xml:space="preserve">r-style-guide</w:t>
                  </w:r>
                </w:p>
              </w:tc>
              <w:tc>
                <w:tcPr/>
                <w:p>
                  <w:pPr>
                    <w:pStyle w:val="Compact"/>
                    <w:jc w:val="left"/>
                    <w:jc w:val="center"/>
                  </w:pPr>
                  <w:r>
                    <w:t xml:space="preserve">Conventions for writing R, e.g. naming, spacing, layout, function design</w:t>
                  </w:r>
                </w:p>
              </w:tc>
              <w:tc>
                <w:tcPr/>
                <w:p>
                  <w:pPr>
                    <w:pStyle w:val="Compact"/>
                    <w:jc w:val="left"/>
                    <w:jc w:val="center"/>
                  </w:pPr>
                  <w:r>
                    <w:t xml:space="preserve">https://github.com/ab604/claude-code-r-skills</w:t>
                  </w:r>
                </w:p>
              </w:tc>
            </w:tr>
            <w:tr>
              <w:tc>
                <w:tcPr/>
                <w:p>
                  <w:pPr>
                    <w:pStyle w:val="Compact"/>
                    <w:jc w:val="left"/>
                    <w:jc w:val="center"/>
                  </w:pPr>
                  <w:r>
                    <w:t xml:space="preserve">Skill</w:t>
                  </w:r>
                </w:p>
              </w:tc>
              <w:tc>
                <w:tcPr/>
                <w:p>
                  <w:pPr>
                    <w:pStyle w:val="Compact"/>
                    <w:jc w:val="left"/>
                    <w:jc w:val="center"/>
                  </w:pPr>
                  <w:r>
                    <w:t xml:space="preserve">tidyverse-patterns</w:t>
                  </w:r>
                </w:p>
              </w:tc>
              <w:tc>
                <w:tcPr/>
                <w:p>
                  <w:pPr>
                    <w:pStyle w:val="Compact"/>
                    <w:jc w:val="left"/>
                    <w:jc w:val="center"/>
                  </w:pPr>
                  <w:r>
                    <w:t xml:space="preserve">Conventions for using tidyverse packages, e.g. modern pipes, joins, grouping, string handling</w:t>
                  </w:r>
                </w:p>
              </w:tc>
              <w:tc>
                <w:tcPr/>
                <w:p>
                  <w:pPr>
                    <w:pStyle w:val="Compact"/>
                    <w:jc w:val="left"/>
                    <w:jc w:val="center"/>
                  </w:pPr>
                  <w:r>
                    <w:t xml:space="preserve">https://github.com/ab604/claude-code-r-skills</w:t>
                  </w:r>
                </w:p>
              </w:tc>
            </w:tr>
            <w:tr>
              <w:tc>
                <w:tcPr/>
                <w:p>
                  <w:pPr>
                    <w:pStyle w:val="Compact"/>
                    <w:jc w:val="left"/>
                    <w:jc w:val="center"/>
                  </w:pPr>
                  <w:r>
                    <w:t xml:space="preserve">Skill</w:t>
                  </w:r>
                </w:p>
              </w:tc>
              <w:tc>
                <w:tcPr/>
                <w:p>
                  <w:pPr>
                    <w:pStyle w:val="Compact"/>
                    <w:jc w:val="left"/>
                    <w:jc w:val="center"/>
                  </w:pPr>
                  <w:r>
                    <w:t xml:space="preserve">quarto-authoring</w:t>
                  </w:r>
                </w:p>
              </w:tc>
              <w:tc>
                <w:tcPr/>
                <w:p>
                  <w:pPr>
                    <w:pStyle w:val="Compact"/>
                    <w:jc w:val="left"/>
                    <w:jc w:val="center"/>
                  </w:pPr>
                  <w:r>
                    <w:t xml:space="preserve">Authoring with Quarto documents, e.g. cross-references, citations, and extensions</w:t>
                  </w:r>
                </w:p>
              </w:tc>
              <w:tc>
                <w:tcPr/>
                <w:p>
                  <w:pPr>
                    <w:pStyle w:val="Compact"/>
                    <w:jc w:val="left"/>
                    <w:jc w:val="center"/>
                  </w:pPr>
                  <w:r>
                    <w:t xml:space="preserve">https://github.com/posit-dev/skills</w:t>
                  </w:r>
                </w:p>
              </w:tc>
            </w:tr>
            <w:tr>
              <w:tc>
                <w:tcPr/>
                <w:p>
                  <w:pPr>
                    <w:pStyle w:val="Compact"/>
                    <w:jc w:val="left"/>
                    <w:jc w:val="center"/>
                  </w:pPr>
                  <w:r>
                    <w:t xml:space="preserve">Skill</w:t>
                  </w:r>
                </w:p>
              </w:tc>
              <w:tc>
                <w:tcPr/>
                <w:p>
                  <w:pPr>
                    <w:pStyle w:val="Compact"/>
                    <w:jc w:val="left"/>
                    <w:jc w:val="center"/>
                  </w:pPr>
                  <w:r>
                    <w:t xml:space="preserve">zotero-cli</w:t>
                  </w:r>
                </w:p>
              </w:tc>
              <w:tc>
                <w:tcPr/>
                <w:p>
                  <w:pPr>
                    <w:pStyle w:val="Compact"/>
                    <w:jc w:val="left"/>
                    <w:jc w:val="center"/>
                  </w:pPr>
                  <w:r>
                    <w:t xml:space="preserve">Searches, reads, and annotates the author’s Zotero library from the shell</w:t>
                  </w:r>
                </w:p>
              </w:tc>
              <w:tc>
                <w:tcPr/>
                <w:p>
                  <w:pPr>
                    <w:pStyle w:val="Compact"/>
                    <w:jc w:val="left"/>
                    <w:jc w:val="center"/>
                  </w:pPr>
                  <w:r>
                    <w:t xml:space="preserve">https://github.com/Agents365-ai/zotero-cli-ai</w:t>
                  </w:r>
                </w:p>
              </w:tc>
            </w:tr>
            <w:tr>
              <w:tc>
                <w:tcPr/>
                <w:p>
                  <w:pPr>
                    <w:pStyle w:val="Compact"/>
                    <w:jc w:val="left"/>
                    <w:jc w:val="center"/>
                  </w:pPr>
                  <w:r>
                    <w:t xml:space="preserve">Skill</w:t>
                  </w:r>
                </w:p>
              </w:tc>
              <w:tc>
                <w:tcPr/>
                <w:p>
                  <w:pPr>
                    <w:pStyle w:val="Compact"/>
                    <w:jc w:val="left"/>
                    <w:jc w:val="center"/>
                  </w:pPr>
                  <w:r>
                    <w:t xml:space="preserve">paperdoctor</w:t>
                  </w:r>
                </w:p>
              </w:tc>
              <w:tc>
                <w:tcPr/>
                <w:p>
                  <w:pPr>
                    <w:pStyle w:val="Compact"/>
                    <w:jc w:val="left"/>
                    <w:jc w:val="center"/>
                  </w:pPr>
                  <w:r>
                    <w:t xml:space="preserve">Suite of skills that reviews a manuscript in progress by checking its claims, code, math, references and visual layout, then renders every finding into one interactive HTML report</w:t>
                  </w:r>
                </w:p>
              </w:tc>
              <w:tc>
                <w:tcPr/>
                <w:p>
                  <w:pPr>
                    <w:pStyle w:val="Compact"/>
                    <w:jc w:val="left"/>
                    <w:jc w:val="center"/>
                  </w:pPr>
                  <w:r>
                    <w:t xml:space="preserve">https://github.com/QinghongLin/paperdoctor,</w:t>
                  </w:r>
                  <w:r>
                    <w:t xml:space="preserve"> </w:t>
                  </w:r>
                  <w:r>
                    <w:t xml:space="preserve">Lin et al. (2026)</w:t>
                  </w:r>
                </w:p>
              </w:tc>
            </w:tr>
            <w:tr>
              <w:tc>
                <w:tcPr/>
                <w:p>
                  <w:pPr>
                    <w:pStyle w:val="Compact"/>
                    <w:jc w:val="left"/>
                    <w:jc w:val="center"/>
                  </w:pPr>
                  <w:r>
                    <w:t xml:space="preserve">Skill</w:t>
                  </w:r>
                </w:p>
              </w:tc>
              <w:tc>
                <w:tcPr/>
                <w:p>
                  <w:pPr>
                    <w:pStyle w:val="Compact"/>
                    <w:jc w:val="left"/>
                    <w:jc w:val="center"/>
                  </w:pPr>
                  <w:r>
                    <w:t xml:space="preserve">open-scholar-skill</w:t>
                  </w:r>
                </w:p>
              </w:tc>
              <w:tc>
                <w:tcPr/>
                <w:p>
                  <w:pPr>
                    <w:pStyle w:val="Compact"/>
                    <w:jc w:val="left"/>
                    <w:jc w:val="center"/>
                  </w:pPr>
                  <w:r>
                    <w:t xml:space="preserve">Suite of skills for assisting with social science research through a pipeline of verification gates, e.g. idea generation, theory exploration, study design, analysis, ethics, etc</w:t>
                  </w:r>
                </w:p>
              </w:tc>
              <w:tc>
                <w:tcPr/>
                <w:p>
                  <w:pPr>
                    <w:pStyle w:val="Compact"/>
                    <w:jc w:val="left"/>
                    <w:jc w:val="center"/>
                  </w:pPr>
                  <w:r>
                    <w:t xml:space="preserve">https://github.com/joshzyj/open-scholar-skill,</w:t>
                  </w:r>
                  <w:r>
                    <w:t xml:space="preserve"> </w:t>
                  </w:r>
                  <w:r>
                    <w:t xml:space="preserve">Zhang (2026)</w:t>
                  </w:r>
                </w:p>
              </w:tc>
            </w:tr>
            <w:tr>
              <w:tc>
                <w:tcPr/>
                <w:p>
                  <w:pPr>
                    <w:pStyle w:val="Compact"/>
                    <w:jc w:val="left"/>
                    <w:jc w:val="center"/>
                  </w:pPr>
                  <w:r>
                    <w:t xml:space="preserve">Skill</w:t>
                  </w:r>
                </w:p>
              </w:tc>
              <w:tc>
                <w:tcPr/>
                <w:p>
                  <w:pPr>
                    <w:pStyle w:val="Compact"/>
                    <w:jc w:val="left"/>
                    <w:jc w:val="center"/>
                  </w:pPr>
                  <w:r>
                    <w:t xml:space="preserve">manuscript-writing-review</w:t>
                  </w:r>
                </w:p>
              </w:tc>
              <w:tc>
                <w:tcPr/>
                <w:p>
                  <w:pPr>
                    <w:pStyle w:val="Compact"/>
                    <w:jc w:val="left"/>
                    <w:jc w:val="center"/>
                  </w:pPr>
                  <w:r>
                    <w:t xml:space="preserve">Reviews a scientific or engineering manuscript for writing quality, e.g. clutter, passive voice, sentence architecture, keyword consistency, and numerical or citation errors</w:t>
                  </w:r>
                </w:p>
              </w:tc>
              <w:tc>
                <w:tcPr/>
                <w:p>
                  <w:pPr>
                    <w:pStyle w:val="Compact"/>
                    <w:jc w:val="left"/>
                    <w:jc w:val="center"/>
                  </w:pPr>
                  <w:r>
                    <w:t xml:space="preserve">https://github.com/labarba/sciwrite</w:t>
                  </w:r>
                </w:p>
              </w:tc>
            </w:tr>
            <w:tr>
              <w:tc>
                <w:tcPr/>
                <w:p>
                  <w:pPr>
                    <w:pStyle w:val="Compact"/>
                    <w:jc w:val="left"/>
                    <w:jc w:val="center"/>
                  </w:pPr>
                  <w:r>
                    <w:t xml:space="preserve">MCP</w:t>
                  </w:r>
                </w:p>
              </w:tc>
              <w:tc>
                <w:tcPr/>
                <w:p>
                  <w:pPr>
                    <w:pStyle w:val="Compact"/>
                    <w:jc w:val="left"/>
                    <w:jc w:val="center"/>
                  </w:pPr>
                  <w:r>
                    <w:t xml:space="preserve">r-mcptools</w:t>
                  </w:r>
                </w:p>
              </w:tc>
              <w:tc>
                <w:tcPr/>
                <w:p>
                  <w:pPr>
                    <w:pStyle w:val="Compact"/>
                    <w:jc w:val="left"/>
                    <w:jc w:val="center"/>
                  </w:pPr>
                  <w:r>
                    <w:t xml:space="preserve">Exposes a running R session so the agent can execute code and read results</w:t>
                  </w:r>
                </w:p>
              </w:tc>
              <w:tc>
                <w:tcPr/>
                <w:p>
                  <w:pPr>
                    <w:pStyle w:val="Compact"/>
                    <w:jc w:val="left"/>
                    <w:jc w:val="center"/>
                  </w:pPr>
                  <w:r>
                    <w:t xml:space="preserve">https://github.com/posit-dev/mcptools</w:t>
                  </w:r>
                </w:p>
              </w:tc>
            </w:tr>
            <w:tr>
              <w:tc>
                <w:tcPr/>
                <w:p>
                  <w:pPr>
                    <w:pStyle w:val="Compact"/>
                    <w:jc w:val="left"/>
                    <w:jc w:val="center"/>
                  </w:pPr>
                  <w:r>
                    <w:t xml:space="preserve">MCP</w:t>
                  </w:r>
                </w:p>
              </w:tc>
              <w:tc>
                <w:tcPr/>
                <w:p>
                  <w:pPr>
                    <w:pStyle w:val="Compact"/>
                    <w:jc w:val="left"/>
                    <w:jc w:val="center"/>
                  </w:pPr>
                  <w:r>
                    <w:t xml:space="preserve">refcheck</w:t>
                  </w:r>
                </w:p>
              </w:tc>
              <w:tc>
                <w:tcPr/>
                <w:p>
                  <w:pPr>
                    <w:pStyle w:val="Compact"/>
                    <w:jc w:val="left"/>
                    <w:jc w:val="center"/>
                  </w:pPr>
                  <w:r>
                    <w:t xml:space="preserve">Searches publication databases and returns verified references with BibTeX</w:t>
                  </w:r>
                </w:p>
              </w:tc>
              <w:tc>
                <w:tcPr/>
                <w:p>
                  <w:pPr>
                    <w:pStyle w:val="Compact"/>
                    <w:jc w:val="left"/>
                    <w:jc w:val="center"/>
                  </w:pPr>
                  <w:r>
                    <w:t xml:space="preserve">https://github.com/benchoi93/refcheck</w:t>
                  </w:r>
                </w:p>
              </w:tc>
            </w:tr>
            <w:tr>
              <w:tc>
                <w:tcPr/>
                <w:p>
                  <w:pPr>
                    <w:pStyle w:val="Compact"/>
                    <w:jc w:val="left"/>
                    <w:jc w:val="center"/>
                  </w:pPr>
                  <w:r>
                    <w:t xml:space="preserve">MCP</w:t>
                  </w:r>
                </w:p>
              </w:tc>
              <w:tc>
                <w:tcPr/>
                <w:p>
                  <w:pPr>
                    <w:pStyle w:val="Compact"/>
                    <w:jc w:val="left"/>
                    <w:jc w:val="center"/>
                  </w:pPr>
                  <w:r>
                    <w:t xml:space="preserve">scholar_mcp</w:t>
                  </w:r>
                </w:p>
              </w:tc>
              <w:tc>
                <w:tcPr/>
                <w:p>
                  <w:pPr>
                    <w:pStyle w:val="Compact"/>
                    <w:jc w:val="left"/>
                    <w:jc w:val="center"/>
                  </w:pPr>
                  <w:r>
                    <w:t xml:space="preserve">Searches Google Scholar and other sources by keywords and then reads inside papers</w:t>
                  </w:r>
                </w:p>
              </w:tc>
              <w:tc>
                <w:tcPr/>
                <w:p>
                  <w:pPr>
                    <w:pStyle w:val="Compact"/>
                    <w:jc w:val="left"/>
                    <w:jc w:val="center"/>
                  </w:pPr>
                  <w:r>
                    <w:t xml:space="preserve">https://github.com/Liyux3/scholar-mcp</w:t>
                  </w:r>
                </w:p>
              </w:tc>
            </w:tr>
            <w:tr>
              <w:tc>
                <w:tcPr/>
                <w:p>
                  <w:pPr>
                    <w:pStyle w:val="Compact"/>
                    <w:jc w:val="left"/>
                    <w:jc w:val="center"/>
                  </w:pPr>
                  <w:r>
                    <w:t xml:space="preserve">MCP</w:t>
                  </w:r>
                </w:p>
              </w:tc>
              <w:tc>
                <w:tcPr/>
                <w:p>
                  <w:pPr>
                    <w:pStyle w:val="Compact"/>
                    <w:jc w:val="left"/>
                    <w:jc w:val="center"/>
                  </w:pPr>
                  <w:r>
                    <w:t xml:space="preserve">markitdown</w:t>
                  </w:r>
                </w:p>
              </w:tc>
              <w:tc>
                <w:tcPr/>
                <w:p>
                  <w:pPr>
                    <w:pStyle w:val="Compact"/>
                    <w:jc w:val="left"/>
                    <w:jc w:val="center"/>
                  </w:pPr>
                  <w:r>
                    <w:t xml:space="preserve">Converts DOCX files, PDFs and web pages to markdown the agent can read</w:t>
                  </w:r>
                </w:p>
              </w:tc>
              <w:tc>
                <w:tcPr/>
                <w:p>
                  <w:pPr>
                    <w:pStyle w:val="Compact"/>
                    <w:jc w:val="left"/>
                    <w:jc w:val="center"/>
                  </w:pPr>
                  <w:r>
                    <w:t xml:space="preserve">https://github.com/microsoft/markitdown</w:t>
                  </w:r>
                </w:p>
              </w:tc>
            </w:tr>
            <w:tr>
              <w:tc>
                <w:tcPr/>
                <w:p>
                  <w:pPr>
                    <w:pStyle w:val="Compact"/>
                    <w:jc w:val="left"/>
                    <w:jc w:val="center"/>
                  </w:pPr>
                  <w:r>
                    <w:t xml:space="preserve">MCP</w:t>
                  </w:r>
                </w:p>
              </w:tc>
              <w:tc>
                <w:tcPr/>
                <w:p>
                  <w:pPr>
                    <w:pStyle w:val="Compact"/>
                    <w:jc w:val="left"/>
                    <w:jc w:val="center"/>
                  </w:pPr>
                  <w:r>
                    <w:t xml:space="preserve">open-scholar-peer</w:t>
                  </w:r>
                </w:p>
              </w:tc>
              <w:tc>
                <w:tcPr/>
                <w:p>
                  <w:pPr>
                    <w:pStyle w:val="Compact"/>
                    <w:jc w:val="left"/>
                    <w:jc w:val="center"/>
                  </w:pPr>
                  <w:r>
                    <w:t xml:space="preserve">An open source implementation of ScholarPeer: A Context-Aware Multi-Agent Framework for Automated Peer Review</w:t>
                  </w:r>
                </w:p>
              </w:tc>
              <w:tc>
                <w:tcPr/>
                <w:p>
                  <w:pPr>
                    <w:pStyle w:val="Compact"/>
                    <w:jc w:val="left"/>
                    <w:jc w:val="center"/>
                  </w:pPr>
                  <w:r>
                    <w:t xml:space="preserve">https://github.com/amirkiarafiei/open-scholar-peer,</w:t>
                  </w:r>
                  <w:r>
                    <w:t xml:space="preserve"> </w:t>
                  </w:r>
                  <w:r>
                    <w:t xml:space="preserve">Goyal et al. (2026)</w:t>
                  </w:r>
                </w:p>
              </w:tc>
            </w:tr>
            <w:tr>
              <w:tc>
                <w:tcPr/>
                <w:p>
                  <w:pPr>
                    <w:pStyle w:val="Compact"/>
                    <w:jc w:val="left"/>
                    <w:jc w:val="center"/>
                  </w:pPr>
                  <w:r>
                    <w:t xml:space="preserve">MCP</w:t>
                  </w:r>
                </w:p>
              </w:tc>
              <w:tc>
                <w:tcPr/>
                <w:p>
                  <w:pPr>
                    <w:pStyle w:val="Compact"/>
                    <w:jc w:val="left"/>
                    <w:jc w:val="center"/>
                  </w:pPr>
                  <w:r>
                    <w:t xml:space="preserve">playwright</w:t>
                  </w:r>
                </w:p>
              </w:tc>
              <w:tc>
                <w:tcPr/>
                <w:p>
                  <w:pPr>
                    <w:pStyle w:val="Compact"/>
                    <w:jc w:val="left"/>
                    <w:jc w:val="center"/>
                  </w:pPr>
                  <w:r>
                    <w:t xml:space="preserve">Provides browser automation capabilities for LLMs, allowing AI agents to interact with web pages</w:t>
                  </w:r>
                </w:p>
              </w:tc>
              <w:tc>
                <w:tcPr/>
                <w:p>
                  <w:pPr>
                    <w:pStyle w:val="Compact"/>
                    <w:jc w:val="left"/>
                    <w:jc w:val="center"/>
                  </w:pPr>
                  <w:r>
                    <w:t xml:space="preserve">https://github.com/microsoft/playwright-mcp</w:t>
                  </w:r>
                </w:p>
              </w:tc>
            </w:tr>
          </w:tbl>
          <w:bookmarkEnd w:id="31"/>
          <w:p/>
        </w:tc>
      </w:tr>
    </w:tbl>
    <w:p>
      <w:pPr>
        <w:pStyle w:val="BodyText"/>
      </w:pPr>
      <w:r>
        <w:t xml:space="preserve">As an example of how these additions work, consider what happens if we give our agent the command</w:t>
      </w:r>
      <w:r>
        <w:t xml:space="preserve"> </w:t>
      </w:r>
      <w:r>
        <w:t xml:space="preserve">“</w:t>
      </w:r>
      <w:r>
        <w:t xml:space="preserve">deeply research the debates about the peopling of the Americas</w:t>
      </w:r>
      <w:r>
        <w:t xml:space="preserve">”</w:t>
      </w:r>
      <w:r>
        <w:t xml:space="preserve">. This will load the deep-research</w:t>
      </w:r>
      <w:r>
        <w:t xml:space="preserve"> </w:t>
      </w:r>
      <w:r>
        <w:rPr>
          <w:iCs/>
          <w:i/>
        </w:rPr>
        <w:t xml:space="preserve">skill</w:t>
      </w:r>
      <w:r>
        <w:t xml:space="preserve">, whose trigger keywords include that phrase. This specific skill contains instructions that causes the harness to dispatch multiple agents for search, verification, and synthesis. Retrieval</w:t>
      </w:r>
      <w:r>
        <w:t xml:space="preserve"> </w:t>
      </w:r>
      <w:r>
        <w:rPr>
          <w:iCs/>
          <w:i/>
        </w:rPr>
        <w:t xml:space="preserve">tools</w:t>
      </w:r>
      <w:r>
        <w:t xml:space="preserve"> </w:t>
      </w:r>
      <w:r>
        <w:t xml:space="preserve">fetch scholarly papers while verification tools check each citation against publication databases through a reference-verification server. The literature search and verification tools are provided by the refcheck MCP server; they query Crossref and Semantic Scholar. The agent can then write the results of the literature search into your project-level bibtex file or to your Zotero library for reuse across multiple projects. Skills guides the agent but cannot force compliance, so you need to review the completeness and accuracy of results before incorporating them into your work. Skill files can assist with automated manuscript review to prepare your work for human review. For example,</w:t>
      </w:r>
      <w:r>
        <w:t xml:space="preserve"> </w:t>
      </w:r>
      <w:r>
        <w:t xml:space="preserve">Lin et al. (2026)</w:t>
      </w:r>
      <w:r>
        <w:t xml:space="preserve"> </w:t>
      </w:r>
      <w:r>
        <w:t xml:space="preserve">describe PaperDoctor, an agent framework that checks a draft’s claims against its code, prior work, references and visual layout, returns each finding with a pointer to the supporting evidence and a suggested revision. In their evaluation it reached 71% agreement with human advisers across 30 in-progress papers, so you should expect to disagree with some findings and check each one before revising. We recommend multiple iterations with literature search, verification, and manuscript review skills and MCP servers, adjusting the prompt each time to steer the model to focus on different areas of your project</w:t>
      </w:r>
      <w:r>
        <w:t xml:space="preserve"> </w:t>
      </w:r>
      <w:r>
        <w:t xml:space="preserve">(Krishna Moorthy et al. 2026)</w:t>
      </w:r>
      <w:r>
        <w:t xml:space="preserve">.</w:t>
      </w:r>
    </w:p>
    <w:p>
      <w:pPr>
        <w:pStyle w:val="BodyText"/>
      </w:pPr>
      <w:r>
        <w:t xml:space="preserve">Aided by tools, skills and MCP servers, you can direct AI agents to very efficiently and accurately extract data from the full text of publications and archival records</w:t>
      </w:r>
      <w:r>
        <w:t xml:space="preserve"> </w:t>
      </w:r>
      <w:r>
        <w:t xml:space="preserve">(Cootsona et al. 2026; Hariri et al. 2025; Scheepens et al. 2024)</w:t>
      </w:r>
      <w:r>
        <w:t xml:space="preserve">. One LLM extracted ecological data from literature 50 times faster than a human reviewer, with accuracy above 90% on discrete and categorical data</w:t>
      </w:r>
      <w:r>
        <w:t xml:space="preserve"> </w:t>
      </w:r>
      <w:r>
        <w:t xml:space="preserve">(Gougherty and Clipp 2024)</w:t>
      </w:r>
      <w:r>
        <w:t xml:space="preserve">. Human validation is necessary:</w:t>
      </w:r>
      <w:r>
        <w:t xml:space="preserve"> </w:t>
      </w:r>
      <w:r>
        <w:t xml:space="preserve">Ziems et al. (2024)</w:t>
      </w:r>
      <w:r>
        <w:t xml:space="preserve"> </w:t>
      </w:r>
      <w:r>
        <w:t xml:space="preserve">recorded uneven validity across social concepts, and</w:t>
      </w:r>
      <w:r>
        <w:t xml:space="preserve"> </w:t>
      </w:r>
      <w:r>
        <w:t xml:space="preserve">Gougherty and Clipp (2024)</w:t>
      </w:r>
      <w:r>
        <w:t xml:space="preserve"> </w:t>
      </w:r>
      <w:r>
        <w:t xml:space="preserve">observed that AI performed poorly on certain quantitative data. Context-rich prompting improves data extraction results</w:t>
      </w:r>
      <w:r>
        <w:t xml:space="preserve"> </w:t>
      </w:r>
      <w:r>
        <w:t xml:space="preserve">(Krishna Moorthy et al. 2026)</w:t>
      </w:r>
      <w:r>
        <w:t xml:space="preserve">, though no single model dominates all extraction tasks, so you should test several model-prompt pairings. Before using machine-coded variables, you should define them in detail, compare an AI-collected sample against human coding, and document errors.</w:t>
      </w:r>
    </w:p>
    <w:p>
      <w:pPr>
        <w:pStyle w:val="BodyText"/>
      </w:pPr>
      <w:r>
        <w:t xml:space="preserve">Although writing code from plain English prompts is perhaps the single greatest strength of most LLMs</w:t>
      </w:r>
      <w:r>
        <w:t xml:space="preserve"> </w:t>
      </w:r>
      <w:r>
        <w:t xml:space="preserve">(Zheng et al. 2024)</w:t>
      </w:r>
      <w:r>
        <w:t xml:space="preserve">, generating high-quality, real-world code for research still requires your understanding of your project’s context, debugging skills, and integration with the overall goals of your research project. For example, when using an AI agent to plan and write code for data analysis, such as a stone artefact assemblage, we recommend you:</w:t>
      </w:r>
    </w:p>
    <w:p>
      <w:pPr>
        <w:numPr>
          <w:ilvl w:val="0"/>
          <w:numId w:val="1001"/>
        </w:numPr>
        <w:pStyle w:val="Compact"/>
      </w:pPr>
      <w:r>
        <w:t xml:space="preserve">Write a prompt that is detailed and specific about the study’s context, research question, types of variables and data collection methods</w:t>
      </w:r>
      <w:r>
        <w:t xml:space="preserve"> </w:t>
      </w:r>
      <w:r>
        <w:t xml:space="preserve">(Brown and Spillias 2026)</w:t>
      </w:r>
      <w:r>
        <w:t xml:space="preserve">. This might include the geographic location of the assemblage, associated radiocarbon ages, lithic typology, etc. The archaeological expertise you bring to writing this prompt can make a big difference to the quality and consistency of responses to your prompts</w:t>
      </w:r>
      <w:r>
        <w:t xml:space="preserve"> </w:t>
      </w:r>
      <w:r>
        <w:t xml:space="preserve">(Zamfirescu-Pereira et al. 2023)</w:t>
      </w:r>
      <w:r>
        <w:t xml:space="preserve">. Rich context minimizes ambiguity and helps to align the model with your goals.</w:t>
      </w:r>
    </w:p>
    <w:p>
      <w:pPr>
        <w:numPr>
          <w:ilvl w:val="0"/>
          <w:numId w:val="1001"/>
        </w:numPr>
        <w:pStyle w:val="Compact"/>
      </w:pPr>
      <w:r>
        <w:t xml:space="preserve">Include with the prompt the dataset, or a narrative summary of the data or a synthetic version of the data generated by a local LLM. For a stone artefact assemblage this could simply be mentioning the raw data file in your prompt, e.g. </w:t>
      </w:r>
      <w:r>
        <w:t xml:space="preserve">‘</w:t>
      </w:r>
      <w:r>
        <w:t xml:space="preserve">Look at me data in</w:t>
      </w:r>
      <w:r>
        <w:t xml:space="preserve"> </w:t>
      </w:r>
      <w:r>
        <w:rPr>
          <w:rStyle w:val="VerbatimChar"/>
        </w:rPr>
        <w:t xml:space="preserve">@analysis/data/stone-artefact-data.csv</w:t>
      </w:r>
      <w:r>
        <w:t xml:space="preserve">’</w:t>
      </w:r>
      <w:r>
        <w:t xml:space="preserve">, that will direct the agent to read the data file. Include a data dictionary that defines the variables, for example, maximum length, technological length, maximum dimension, etc. Including your data is another form of context and will improve the quality of the model’s output</w:t>
      </w:r>
      <w:r>
        <w:t xml:space="preserve"> </w:t>
      </w:r>
      <w:r>
        <w:t xml:space="preserve">(Jansen et al. 2025)</w:t>
      </w:r>
      <w:r>
        <w:t xml:space="preserve">.</w:t>
      </w:r>
    </w:p>
    <w:p>
      <w:pPr>
        <w:numPr>
          <w:ilvl w:val="0"/>
          <w:numId w:val="1001"/>
        </w:numPr>
        <w:pStyle w:val="Compact"/>
      </w:pPr>
      <w:r>
        <w:t xml:space="preserve">Include high-quality trustworthy reference materials, such as the names of widely used R packages relevant to your work, DOIs to exemplary studies similar to what you want to do, or technical methodological literature that describes relevant methods and best practices in detail</w:t>
      </w:r>
      <w:r>
        <w:t xml:space="preserve"> </w:t>
      </w:r>
      <w:r>
        <w:t xml:space="preserve">(Brown and Spillias 2026)</w:t>
      </w:r>
      <w:r>
        <w:t xml:space="preserve">. For a stone artefact analysis we would request the agent use the FactoMineR and factoextra R packages for the multivariate analyses, and follow the guidance in</w:t>
      </w:r>
      <w:r>
        <w:t xml:space="preserve"> </w:t>
      </w:r>
      <w:r>
        <w:t xml:space="preserve">Greenacre et al. (2022)</w:t>
      </w:r>
      <w:r>
        <w:t xml:space="preserve">. Use the agent’s tools to help you get the literature specific to your analysis.</w:t>
      </w:r>
    </w:p>
    <w:p>
      <w:pPr>
        <w:numPr>
          <w:ilvl w:val="0"/>
          <w:numId w:val="1001"/>
        </w:numPr>
        <w:pStyle w:val="Compact"/>
      </w:pPr>
      <w:r>
        <w:t xml:space="preserve">Include instructions for the model to evaluate its code for correctness and completeness before stopping. This sets the agent to work in a loop: generate code -&gt; run it -&gt; test it -&gt; fix any errors -&gt; repeat until your evaluation criteria have been satisfied. Specifying evaluation criteria and instructing the model to debug itself improves the accuracy of output</w:t>
      </w:r>
      <w:r>
        <w:t xml:space="preserve"> </w:t>
      </w:r>
      <w:r>
        <w:t xml:space="preserve">(Chen et al. 2023)</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5" w:name="fig-workflow"/>
          <w:p>
            <w:pPr>
              <w:pStyle w:val="Compact"/>
              <w:jc w:val="center"/>
            </w:pPr>
            <w:r>
              <w:drawing>
                <wp:inline>
                  <wp:extent cx="5943600" cy="3566160"/>
                  <wp:effectExtent b="0" l="0" r="0" t="0"/>
                  <wp:docPr descr="" title="" id="33" name="Picture"/>
                  <a:graphic>
                    <a:graphicData uri="http://schemas.openxmlformats.org/drawingml/2006/picture">
                      <pic:pic>
                        <pic:nvPicPr>
                          <pic:cNvPr descr="../figures/fig-workflow.png" id="34" name="Picture"/>
                          <pic:cNvPicPr>
                            <a:picLocks noChangeArrowheads="1" noChangeAspect="1"/>
                          </pic:cNvPicPr>
                        </pic:nvPicPr>
                        <pic:blipFill>
                          <a:blip r:embed="rId32"/>
                          <a:stretch>
                            <a:fillRect/>
                          </a:stretch>
                        </pic:blipFill>
                        <pic:spPr bwMode="auto">
                          <a:xfrm>
                            <a:off x="0" y="0"/>
                            <a:ext cx="5943600" cy="35661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researcher-directed agentic workflow. Research, plan, execute, and verify proceed left to right, with the researcher directing at every stage and the agent acting underneath, invoking tools, skills and MCP servers in multi-step, long-running tasks to achieve the goals set by the researchers. The research and planning steps may involve several rounds of interation and refinment, as indicated by the bi-directional arrows between the researcher and agent for those steps. Execution and verification are critical decision points for the researcher. Rejecting the agent’s work includes looping back to update the plan to steer the agent into alignment with you. Each stage writes to a record that is inspectable by you and others: Git commits, updates to plan.md, the Quarto report, and the verified bibliography.”</w:t>
            </w:r>
          </w:p>
          <w:bookmarkEnd w:id="35"/>
        </w:tc>
      </w:tr>
    </w:tbl>
    <w:p>
      <w:pPr>
        <w:pStyle w:val="BodyText"/>
      </w:pPr>
      <w:r>
        <w:t xml:space="preserve">Tools that execute code can expose errors for inspection, but even automated correction still needs expert review.</w:t>
      </w:r>
      <w:r>
        <w:t xml:space="preserve"> </w:t>
      </w:r>
      <w:r>
        <w:t xml:space="preserve">Brown, Aitken, et al. (2026)</w:t>
      </w:r>
      <w:r>
        <w:t xml:space="preserve"> </w:t>
      </w:r>
      <w:r>
        <w:t xml:space="preserve">tested agentic workflows for ecological and fisheries modelling and found variable accuracy and failures to follow instructions. When code fails, check whether the proposed correction preserves the method you planned to use. Do not accept a different analysis simply because it runs. Agents also change methods without flagging it, for example,</w:t>
      </w:r>
      <w:r>
        <w:t xml:space="preserve"> </w:t>
      </w:r>
      <w:r>
        <w:t xml:space="preserve">Brown, Aitken, et al. (2026)</w:t>
      </w:r>
      <w:r>
        <w:t xml:space="preserve"> </w:t>
      </w:r>
      <w:r>
        <w:t xml:space="preserve">found that one agent swapped a requested bootstrap interval for a t-distribution interval, so it is necessary for you to read the code generated by the agent, not just its summary.</w:t>
      </w:r>
    </w:p>
    <w:bookmarkEnd w:id="36"/>
    <w:bookmarkStart w:id="37" w:name="discussion-and-conclusion"/>
    <w:p>
      <w:pPr>
        <w:pStyle w:val="Heading1"/>
      </w:pPr>
      <w:r>
        <w:t xml:space="preserve">Discussion and Conclusion</w:t>
      </w:r>
    </w:p>
    <w:p>
      <w:pPr>
        <w:pStyle w:val="FirstParagraph"/>
      </w:pPr>
      <w:r>
        <w:t xml:space="preserve">The three practices described here assign distinct responsibilities to you as the researcher. Familiarity with R, Quarto, and Git supports efficient and transparent interaction with AI agents, supporting your inspection of calculations, reports, and changes. Harness configuration allows you to define the AI agent’s permissions and work habits to manage privacy, bias, and data sovereignty concerns. Use of tools, skills, and MCP servers expands the capability of the model, and improves the accuracy and usefulness of its work. This sequence is a natural extension of existing scientific-computing best practices to agent-assisted archaeological work</w:t>
      </w:r>
      <w:r>
        <w:t xml:space="preserve"> </w:t>
      </w:r>
      <w:r>
        <w:t xml:space="preserve">(Bridgeford et al. 2026; Marwick 2017)</w:t>
      </w:r>
      <w:r>
        <w:t xml:space="preserve">. Our practices draw on norms emerging from the broad adoption of AI in science, and the broad consensus across diverse research communities that AI should be used appropriately and transparently as a tool that requires expert humans to judge, verify, and take responsibility for the outputs</w:t>
      </w:r>
      <w:r>
        <w:t xml:space="preserve"> </w:t>
      </w:r>
      <w:r>
        <w:t xml:space="preserve">(Codreanu et al. 2026; National Academies of Sciences, Engineering, and Medicine 2026; The Royal Society 2024)</w:t>
      </w:r>
      <w:r>
        <w:t xml:space="preserve">.</w:t>
      </w:r>
    </w:p>
    <w:p>
      <w:pPr>
        <w:pStyle w:val="BodyText"/>
      </w:pPr>
      <w:r>
        <w:t xml:space="preserve">The paper’s specific contribution is an auditable, researcher-directed workflow for AI-assisted archaeological data analysis (</w:t>
      </w:r>
      <w:hyperlink w:anchor="fig-workflow">
        <w:r>
          <w:rPr>
            <w:rStyle w:val="Hyperlink"/>
          </w:rPr>
          <w:t xml:space="preserve">Figure 2</w:t>
        </w:r>
      </w:hyperlink>
      <w:r>
        <w:t xml:space="preserve">). It links archaeological competence, project-level permissions, and checkable agent actions in a project so that the plan, code, source records, and rendered report remain available for review. The advance in this paper comes from the integration of recently developed agentic AI technologies into a three-practice structure for responsible archaeological analysis. Our three practices address a key issue surrounding the adoption of LLMs by archaeologists, namely the integration of AI tools into existing workflows</w:t>
      </w:r>
      <w:r>
        <w:t xml:space="preserve"> </w:t>
      </w:r>
      <w:r>
        <w:t xml:space="preserve">(Cardarelli and Ragno 2026)</w:t>
      </w:r>
      <w:r>
        <w:t xml:space="preserve">.</w:t>
      </w:r>
    </w:p>
    <w:p>
      <w:pPr>
        <w:pStyle w:val="BodyText"/>
      </w:pPr>
      <w:r>
        <w:t xml:space="preserve">Although agentic AI has potential to make research work more efficient, it has some limitations and failure points. It can fail to follow instructions, and its scientific reasoning can be flawed</w:t>
      </w:r>
      <w:r>
        <w:t xml:space="preserve"> </w:t>
      </w:r>
      <w:r>
        <w:t xml:space="preserve">(Brown, Aitken, et al. 2026)</w:t>
      </w:r>
      <w:r>
        <w:t xml:space="preserve">. Furthermore, there is some setup time required to install and configure agentic software, and working with restricted archaeological data requires local-only, non-remote configurations that require some expertise. Unskilled use of AI can result in it generating plans for analyses that are statistically invalid or have low statistical power</w:t>
      </w:r>
      <w:r>
        <w:t xml:space="preserve"> </w:t>
      </w:r>
      <w:r>
        <w:t xml:space="preserve">(Brown, Aitken, et al. 2026; Campbell et al. 2024)</w:t>
      </w:r>
      <w:r>
        <w:t xml:space="preserve">. A key implication here is that we need to teach basic AI literacy in undergraduate curricula in archaeology, alongside statistical literacy and research design</w:t>
      </w:r>
      <w:r>
        <w:t xml:space="preserve"> </w:t>
      </w:r>
      <w:r>
        <w:t xml:space="preserve">(Cardarelli and Ragno 2026)</w:t>
      </w:r>
      <w:r>
        <w:t xml:space="preserve">. This will ensure that future archaeologists are well-equipped to responsibly and effectively use AI in their professional work.</w:t>
      </w:r>
    </w:p>
    <w:p>
      <w:pPr>
        <w:pStyle w:val="BodyText"/>
      </w:pPr>
      <w:r>
        <w:t xml:space="preserve">The adoption of agentic AI into archaeological research processes may change more than just the speed of work. Recent social science scholarship increasingly treats generative AI as a sociotechnical and epistemic force that is reconfiguring research design, evidence production and evaluation, methodologies, authorship, and researcher reflexivity</w:t>
      </w:r>
      <w:r>
        <w:t xml:space="preserve"> </w:t>
      </w:r>
      <w:r>
        <w:t xml:space="preserve">(Abramson et al. 2026; Bail 2024; Grossmann et al. 2023; Longkumer 2025)</w:t>
      </w:r>
      <w:r>
        <w:t xml:space="preserve">.</w:t>
      </w:r>
      <w:r>
        <w:t xml:space="preserve"> </w:t>
      </w:r>
      <w:r>
        <w:t xml:space="preserve">Piper (2026)</w:t>
      </w:r>
      <w:r>
        <w:t xml:space="preserve"> </w:t>
      </w:r>
      <w:r>
        <w:t xml:space="preserve">argues that AI is</w:t>
      </w:r>
      <w:r>
        <w:t xml:space="preserve"> </w:t>
      </w:r>
      <w:r>
        <w:t xml:space="preserve">“</w:t>
      </w:r>
      <w:r>
        <w:t xml:space="preserve">better understood as a methodological environment that changes the conditions under which research questions are formed, constructs are operationalized, evidence is evaluated, and theories are revised.</w:t>
      </w:r>
      <w:r>
        <w:t xml:space="preserve">”</w:t>
      </w:r>
      <w:r>
        <w:t xml:space="preserve"> </w:t>
      </w:r>
      <w:r>
        <w:t xml:space="preserve">For archaeology specifically,</w:t>
      </w:r>
      <w:r>
        <w:t xml:space="preserve"> </w:t>
      </w:r>
      <w:r>
        <w:t xml:space="preserve">Altaweel and Forte (2026)</w:t>
      </w:r>
      <w:r>
        <w:t xml:space="preserve"> </w:t>
      </w:r>
      <w:r>
        <w:t xml:space="preserve">proposes that we</w:t>
      </w:r>
      <w:r>
        <w:t xml:space="preserve"> </w:t>
      </w:r>
      <w:r>
        <w:t xml:space="preserve">“</w:t>
      </w:r>
      <w:r>
        <w:t xml:space="preserve">position AI as a theory-generating and theory-testing instrument… not as a technician of truth, but as a co-creator of interpretive possibility</w:t>
      </w:r>
      <w:r>
        <w:t xml:space="preserve">”</w:t>
      </w:r>
      <w:r>
        <w:t xml:space="preserve">. This potentially expansive role for AI raises the urgency of the need to prepare our students to manage the epistemic risks of heightened vulnerability to illusions of explanatory depth, exploratory breadth, and objectivity that come with using AI</w:t>
      </w:r>
      <w:r>
        <w:t xml:space="preserve"> </w:t>
      </w:r>
      <w:r>
        <w:t xml:space="preserve">(Messeri and Crockett 2024)</w:t>
      </w:r>
      <w:r>
        <w:t xml:space="preserve">.</w:t>
      </w:r>
    </w:p>
    <w:p>
      <w:pPr>
        <w:pStyle w:val="BodyText"/>
      </w:pPr>
      <w:r>
        <w:t xml:space="preserve">By streamlining routine tasks, AI enables us to scale up analytic exploration</w:t>
      </w:r>
      <w:r>
        <w:t xml:space="preserve"> </w:t>
      </w:r>
      <w:r>
        <w:t xml:space="preserve">(Miao et al. 2026)</w:t>
      </w:r>
      <w:r>
        <w:t xml:space="preserve">, and reduces the technical and cognitive burdens of testing whether our substantive claims remain stable across different combinations of assumptions, models, covariates, and parameter settings</w:t>
      </w:r>
      <w:r>
        <w:t xml:space="preserve"> </w:t>
      </w:r>
      <w:r>
        <w:t xml:space="preserve">(Kim et al. 2026; Piper 2026)</w:t>
      </w:r>
      <w:r>
        <w:t xml:space="preserve">. Working with AI, we can implement sensitivity, robustness, and power tests that have been too resource-intensive and impractical in the past. This can help us in the search for claims that robustly persist across different measurement choices, and reduce our vulnerability to selective reporting and cherry-picking</w:t>
      </w:r>
      <w:r>
        <w:t xml:space="preserve"> </w:t>
      </w:r>
      <w:r>
        <w:t xml:space="preserve">(Bertran et al. 2026)</w:t>
      </w:r>
      <w:r>
        <w:t xml:space="preserve">. The workflow presented here points toward a future of more credible and defensible research in which archaeologists combine open source software, tools, skills, and MCP servers to turn AI from an opaque oracle into an auditable research assistant, while protecting data sovereignty and keeping plans, code, sources, and final decisions under researcher control.</w:t>
      </w:r>
    </w:p>
    <w:bookmarkEnd w:id="37"/>
    <w:bookmarkStart w:id="38" w:name="acknowledgments"/>
    <w:p>
      <w:pPr>
        <w:pStyle w:val="Heading1"/>
      </w:pPr>
      <w:r>
        <w:t xml:space="preserve">Acknowledgments</w:t>
      </w:r>
    </w:p>
    <w:p>
      <w:pPr>
        <w:pStyle w:val="FirstParagraph"/>
      </w:pPr>
      <w:r>
        <w:t xml:space="preserve">The author used OpenCode (https://opencode.ai/), an open-source AI harness, and OpenRouter (https://openrouter.ai/) a commercial model provider. AI models used included Nemotron 3 Ultra (NVIDIA), Muse Spark 1.3 (Meta), Qwen3.8 (Alibaba), GLM-5.3 Flash (Zhipu), and MiMo-V2.5 (Xiaomi). Qwen3.8, GLM-5.3 Flash, and MiMo-V2.5 have openly available weights under permissive licenses; Nemotron 3 Ultra was available as an open-weight model under the OpenMDW License Agreement, version 1.1; and Muse Spark 1.3 was a proprietary, closed-weight model accessed through an API. All models were available through OpenRouter at no cost at the time of writing, July-Sept 2026. AI was used to assist with searching for literature, planning, drafting and editing the manuscript and figures, and reference checking. All AI-generated suggestions were reviewed and revised by the author. No permits were required to prepare this manuscript.</w:t>
      </w:r>
    </w:p>
    <w:bookmarkEnd w:id="38"/>
    <w:bookmarkStart w:id="39" w:name="funding-statement"/>
    <w:p>
      <w:pPr>
        <w:pStyle w:val="Heading1"/>
      </w:pPr>
      <w:r>
        <w:t xml:space="preserve">Funding Statement</w:t>
      </w:r>
    </w:p>
    <w:p>
      <w:pPr>
        <w:pStyle w:val="FirstParagraph"/>
      </w:pPr>
      <w:r>
        <w:t xml:space="preserve">This research received no specific grant funding from any funding agency, commercial or not-for-profit sectors.</w:t>
      </w:r>
    </w:p>
    <w:bookmarkEnd w:id="39"/>
    <w:bookmarkStart w:id="40" w:name="data-availability-statement"/>
    <w:p>
      <w:pPr>
        <w:pStyle w:val="Heading1"/>
      </w:pPr>
      <w:r>
        <w:t xml:space="preserve">Data Availability Statement</w:t>
      </w:r>
    </w:p>
    <w:p>
      <w:pPr>
        <w:pStyle w:val="FirstParagraph"/>
      </w:pPr>
      <w:r>
        <w:t xml:space="preserve">No original data were used.</w:t>
      </w:r>
    </w:p>
    <w:bookmarkEnd w:id="40"/>
    <w:bookmarkStart w:id="41" w:name="competing-interests"/>
    <w:p>
      <w:pPr>
        <w:pStyle w:val="Heading1"/>
      </w:pPr>
      <w:r>
        <w:t xml:space="preserve">Competing Interests</w:t>
      </w:r>
    </w:p>
    <w:p>
      <w:pPr>
        <w:pStyle w:val="FirstParagraph"/>
      </w:pPr>
      <w:r>
        <w:t xml:space="preserve">The author declares none.</w:t>
      </w:r>
    </w:p>
    <w:bookmarkEnd w:id="41"/>
    <w:bookmarkStart w:id="203" w:name="references"/>
    <w:p>
      <w:pPr>
        <w:pStyle w:val="Heading1"/>
      </w:pPr>
      <w:r>
        <w:t xml:space="preserve">References</w:t>
      </w:r>
    </w:p>
    <w:bookmarkStart w:id="202" w:name="refs"/>
    <w:bookmarkStart w:id="43" w:name="ref-Abramson2026"/>
    <w:p>
      <w:pPr>
        <w:pStyle w:val="Bibliography"/>
      </w:pPr>
      <w:r>
        <w:t xml:space="preserve">Abramson, Corey M., Tara Prendergast, Zhuofan Li, and Daniel Dohan. 2026. Qualitative Research in an Era of Artificial Intelligence: A Pragmatic Approach to Data Analysis, Workflow, and Computation.</w:t>
      </w:r>
      <w:r>
        <w:t xml:space="preserve"> </w:t>
      </w:r>
      <w:r>
        <w:rPr>
          <w:iCs/>
          <w:i/>
        </w:rPr>
        <w:t xml:space="preserve">Annual Review of Sociology</w:t>
      </w:r>
      <w:r>
        <w:t xml:space="preserve"> </w:t>
      </w:r>
      <w:r>
        <w:t xml:space="preserve">52:35–61.</w:t>
      </w:r>
      <w:r>
        <w:t xml:space="preserve"> </w:t>
      </w:r>
      <w:hyperlink r:id="rId42">
        <w:r>
          <w:rPr>
            <w:rStyle w:val="Hyperlink"/>
          </w:rPr>
          <w:t xml:space="preserve">https://doi.org/10.1146/annurev-soc-011824-104836</w:t>
        </w:r>
      </w:hyperlink>
      <w:r>
        <w:t xml:space="preserve">.</w:t>
      </w:r>
    </w:p>
    <w:bookmarkEnd w:id="43"/>
    <w:bookmarkStart w:id="45" w:name="ref-AltaweelForte2026"/>
    <w:p>
      <w:pPr>
        <w:pStyle w:val="Bibliography"/>
      </w:pPr>
      <w:r>
        <w:t xml:space="preserve">Altaweel, Mark, and Maurizio Forte. 2026. Archeological Theory and</w:t>
      </w:r>
      <w:r>
        <w:t xml:space="preserve"> </w:t>
      </w:r>
      <w:r>
        <w:t xml:space="preserve">AI</w:t>
      </w:r>
      <w:r>
        <w:t xml:space="preserve">: The Potential Past Through Agentic Systems.</w:t>
      </w:r>
      <w:r>
        <w:t xml:space="preserve"> </w:t>
      </w:r>
      <w:r>
        <w:rPr>
          <w:iCs/>
          <w:i/>
        </w:rPr>
        <w:t xml:space="preserve">AI &amp; Society</w:t>
      </w:r>
      <w:r>
        <w:t xml:space="preserve">.</w:t>
      </w:r>
      <w:r>
        <w:t xml:space="preserve"> </w:t>
      </w:r>
      <w:hyperlink r:id="rId44">
        <w:r>
          <w:rPr>
            <w:rStyle w:val="Hyperlink"/>
          </w:rPr>
          <w:t xml:space="preserve">https://doi.org/10.1007/s00146-026-03287-0</w:t>
        </w:r>
      </w:hyperlink>
      <w:r>
        <w:t xml:space="preserve">.</w:t>
      </w:r>
    </w:p>
    <w:bookmarkEnd w:id="45"/>
    <w:bookmarkStart w:id="47" w:name="ref-Bail2024Generative"/>
    <w:p>
      <w:pPr>
        <w:pStyle w:val="Bibliography"/>
      </w:pPr>
      <w:r>
        <w:t xml:space="preserve">Bail, Christopher A. 2024. Can</w:t>
      </w:r>
      <w:r>
        <w:t xml:space="preserve"> </w:t>
      </w:r>
      <w:r>
        <w:t xml:space="preserve">Generative</w:t>
      </w:r>
      <w:r>
        <w:t xml:space="preserve"> </w:t>
      </w:r>
      <w:r>
        <w:t xml:space="preserve">AI</w:t>
      </w:r>
      <w:r>
        <w:t xml:space="preserve"> </w:t>
      </w:r>
      <w:r>
        <w:t xml:space="preserve">Improve</w:t>
      </w:r>
      <w:r>
        <w:t xml:space="preserve"> </w:t>
      </w:r>
      <w:r>
        <w:t xml:space="preserve">Social</w:t>
      </w:r>
      <w:r>
        <w:t xml:space="preserve"> </w:t>
      </w:r>
      <w:r>
        <w:t xml:space="preserve">Science</w:t>
      </w:r>
      <w:r>
        <w:t xml:space="preserve">?</w:t>
      </w:r>
      <w:r>
        <w:t xml:space="preserve"> </w:t>
      </w:r>
      <w:r>
        <w:rPr>
          <w:iCs/>
          <w:i/>
        </w:rPr>
        <w:t xml:space="preserve">Proceedings of the National Academy of Sciences</w:t>
      </w:r>
      <w:r>
        <w:t xml:space="preserve"> </w:t>
      </w:r>
      <w:r>
        <w:t xml:space="preserve">121(21):e2314021121.</w:t>
      </w:r>
      <w:r>
        <w:t xml:space="preserve"> </w:t>
      </w:r>
      <w:hyperlink r:id="rId46">
        <w:r>
          <w:rPr>
            <w:rStyle w:val="Hyperlink"/>
          </w:rPr>
          <w:t xml:space="preserve">https://doi.org/10.1073/pnas.2314021121</w:t>
        </w:r>
      </w:hyperlink>
      <w:r>
        <w:t xml:space="preserve">.</w:t>
      </w:r>
    </w:p>
    <w:bookmarkEnd w:id="47"/>
    <w:bookmarkStart w:id="49" w:name="ref-barbaste2026"/>
    <w:p>
      <w:pPr>
        <w:pStyle w:val="Bibliography"/>
      </w:pPr>
      <w:r>
        <w:t xml:space="preserve">Barbaste, Paul, Tristan Darrigol, Germain Vu, and Tom Wiltberger. 2026.</w:t>
      </w:r>
      <w:r>
        <w:t xml:space="preserve"> </w:t>
      </w:r>
      <w:hyperlink r:id="rId48">
        <w:r>
          <w:rPr>
            <w:rStyle w:val="Hyperlink"/>
          </w:rPr>
          <w:t xml:space="preserve">Harness Engineering: Anatomy, Architecture, and Evolution of Coding Agents – a Source-Code Study of Eleven Systems</w:t>
        </w:r>
      </w:hyperlink>
      <w:r>
        <w:t xml:space="preserve">.</w:t>
      </w:r>
    </w:p>
    <w:bookmarkEnd w:id="49"/>
    <w:bookmarkStart w:id="51" w:name="ref-BeckBurri2024"/>
    <w:p>
      <w:pPr>
        <w:pStyle w:val="Bibliography"/>
      </w:pPr>
      <w:r>
        <w:t xml:space="preserve">Beck, Juliane, and Thomas Burri. 2024.</w:t>
      </w:r>
      <w:r>
        <w:t xml:space="preserve"> </w:t>
      </w:r>
      <w:hyperlink r:id="rId50">
        <w:r>
          <w:rPr>
            <w:rStyle w:val="Hyperlink"/>
          </w:rPr>
          <w:t xml:space="preserve">From</w:t>
        </w:r>
        <w:r>
          <w:rPr>
            <w:rStyle w:val="Hyperlink"/>
          </w:rPr>
          <w:t xml:space="preserve"> </w:t>
        </w:r>
        <w:r>
          <w:rPr>
            <w:rStyle w:val="Hyperlink"/>
          </w:rPr>
          <w:t xml:space="preserve">“Human Control”</w:t>
        </w:r>
        <w:r>
          <w:rPr>
            <w:rStyle w:val="Hyperlink"/>
          </w:rPr>
          <w:t xml:space="preserve"> </w:t>
        </w:r>
        <w:r>
          <w:rPr>
            <w:rStyle w:val="Hyperlink"/>
          </w:rPr>
          <w:t xml:space="preserve">in International Law to</w:t>
        </w:r>
        <w:r>
          <w:rPr>
            <w:rStyle w:val="Hyperlink"/>
          </w:rPr>
          <w:t xml:space="preserve"> </w:t>
        </w:r>
        <w:r>
          <w:rPr>
            <w:rStyle w:val="Hyperlink"/>
          </w:rPr>
          <w:t xml:space="preserve">“Human Oversight”</w:t>
        </w:r>
        <w:r>
          <w:rPr>
            <w:rStyle w:val="Hyperlink"/>
          </w:rPr>
          <w:t xml:space="preserve"> </w:t>
        </w:r>
        <w:r>
          <w:rPr>
            <w:rStyle w:val="Hyperlink"/>
          </w:rPr>
          <w:t xml:space="preserve">in the New</w:t>
        </w:r>
        <w:r>
          <w:rPr>
            <w:rStyle w:val="Hyperlink"/>
          </w:rPr>
          <w:t xml:space="preserve"> </w:t>
        </w:r>
        <w:r>
          <w:rPr>
            <w:rStyle w:val="Hyperlink"/>
          </w:rPr>
          <w:t xml:space="preserve">EU</w:t>
        </w:r>
        <w:r>
          <w:rPr>
            <w:rStyle w:val="Hyperlink"/>
          </w:rPr>
          <w:t xml:space="preserve"> </w:t>
        </w:r>
        <w:r>
          <w:rPr>
            <w:rStyle w:val="Hyperlink"/>
          </w:rPr>
          <w:t xml:space="preserve">Act on Artificial Intelligence</w:t>
        </w:r>
      </w:hyperlink>
      <w:r>
        <w:t xml:space="preserve">. In</w:t>
      </w:r>
      <w:r>
        <w:t xml:space="preserve"> </w:t>
      </w:r>
      <w:r>
        <w:rPr>
          <w:iCs/>
          <w:i/>
        </w:rPr>
        <w:t xml:space="preserve">Research Handbook on Meaningful Human Control of Artificial Intelligence Systems</w:t>
      </w:r>
      <w:r>
        <w:t xml:space="preserve">, pp. 104–130. Edward Elgar Publishing.</w:t>
      </w:r>
    </w:p>
    <w:bookmarkEnd w:id="51"/>
    <w:bookmarkStart w:id="53" w:name="ref-Bertran2026"/>
    <w:p>
      <w:pPr>
        <w:pStyle w:val="Bibliography"/>
      </w:pPr>
      <w:r>
        <w:t xml:space="preserve">Bertran, Martin, Riccardo Fogliato, and Zhiwei Steven Wu. 2026. Many AI Analysts, One Dataset: Navigating the Agentic Data Science Multiverse.</w:t>
      </w:r>
      <w:r>
        <w:t xml:space="preserve"> </w:t>
      </w:r>
      <w:r>
        <w:rPr>
          <w:iCs/>
          <w:i/>
        </w:rPr>
        <w:t xml:space="preserve">Proceedings of the National Academy of Sciences</w:t>
      </w:r>
      <w:r>
        <w:t xml:space="preserve"> </w:t>
      </w:r>
      <w:r>
        <w:t xml:space="preserve">123(29):e2606495123.</w:t>
      </w:r>
      <w:r>
        <w:t xml:space="preserve"> </w:t>
      </w:r>
      <w:hyperlink r:id="rId52">
        <w:r>
          <w:rPr>
            <w:rStyle w:val="Hyperlink"/>
          </w:rPr>
          <w:t xml:space="preserve">https://doi.org/10.1073/pnas.2606495123</w:t>
        </w:r>
      </w:hyperlink>
      <w:r>
        <w:t xml:space="preserve">.</w:t>
      </w:r>
    </w:p>
    <w:bookmarkEnd w:id="53"/>
    <w:bookmarkStart w:id="55" w:name="ref-Bischoff2026LargeLanguageModels"/>
    <w:p>
      <w:pPr>
        <w:pStyle w:val="Bibliography"/>
      </w:pPr>
      <w:r>
        <w:t xml:space="preserve">Bischoff, Robert J. 2026. Large Language Models in Archaeological Practice: Efficacy, Ethics, Risks, and Governance.</w:t>
      </w:r>
      <w:r>
        <w:t xml:space="preserve"> </w:t>
      </w:r>
      <w:r>
        <w:rPr>
          <w:iCs/>
          <w:i/>
        </w:rPr>
        <w:t xml:space="preserve">SocArXiv</w:t>
      </w:r>
      <w:r>
        <w:t xml:space="preserve">.</w:t>
      </w:r>
      <w:r>
        <w:t xml:space="preserve"> </w:t>
      </w:r>
      <w:hyperlink r:id="rId54">
        <w:r>
          <w:rPr>
            <w:rStyle w:val="Hyperlink"/>
          </w:rPr>
          <w:t xml:space="preserve">https://doi.org/10.31235/osf.io/azs6r_v1</w:t>
        </w:r>
      </w:hyperlink>
      <w:r>
        <w:t xml:space="preserve">.</w:t>
      </w:r>
    </w:p>
    <w:bookmarkEnd w:id="55"/>
    <w:bookmarkStart w:id="57" w:name="ref-BlischakDavenportWilson2016"/>
    <w:p>
      <w:pPr>
        <w:pStyle w:val="Bibliography"/>
      </w:pPr>
      <w:r>
        <w:t xml:space="preserve">Blischak, John D., Emily R. Davenport, and Greg Wilson. 2016. A Quick Introduction to Version Control with Git and GitHub.</w:t>
      </w:r>
      <w:r>
        <w:t xml:space="preserve"> </w:t>
      </w:r>
      <w:r>
        <w:rPr>
          <w:iCs/>
          <w:i/>
        </w:rPr>
        <w:t xml:space="preserve">PLOS Computational Biology</w:t>
      </w:r>
      <w:r>
        <w:t xml:space="preserve"> </w:t>
      </w:r>
      <w:r>
        <w:t xml:space="preserve">12(1):1–18.</w:t>
      </w:r>
      <w:r>
        <w:t xml:space="preserve"> </w:t>
      </w:r>
      <w:hyperlink r:id="rId56">
        <w:r>
          <w:rPr>
            <w:rStyle w:val="Hyperlink"/>
          </w:rPr>
          <w:t xml:space="preserve">https://doi.org/10.1371/journal.pcbi.1004668</w:t>
        </w:r>
      </w:hyperlink>
      <w:r>
        <w:t xml:space="preserve">.</w:t>
      </w:r>
    </w:p>
    <w:bookmarkEnd w:id="57"/>
    <w:bookmarkStart w:id="59" w:name="ref-Boiko2023"/>
    <w:p>
      <w:pPr>
        <w:pStyle w:val="Bibliography"/>
      </w:pPr>
      <w:r>
        <w:t xml:space="preserve">Boiko, Daniil A., Robert MacKnight, Ben Kline, and Gabe Gomes. 2023.</w:t>
      </w:r>
      <w:r>
        <w:t xml:space="preserve"> </w:t>
      </w:r>
      <w:r>
        <w:t xml:space="preserve">Autonomous Chemical Research With Large Language Models</w:t>
      </w:r>
      <w:r>
        <w:t xml:space="preserve">.</w:t>
      </w:r>
      <w:r>
        <w:t xml:space="preserve"> </w:t>
      </w:r>
      <w:r>
        <w:rPr>
          <w:iCs/>
          <w:i/>
        </w:rPr>
        <w:t xml:space="preserve">Nature</w:t>
      </w:r>
      <w:r>
        <w:t xml:space="preserve"> </w:t>
      </w:r>
      <w:r>
        <w:t xml:space="preserve">624(7992):570–578.</w:t>
      </w:r>
      <w:r>
        <w:t xml:space="preserve"> </w:t>
      </w:r>
      <w:hyperlink r:id="rId58">
        <w:r>
          <w:rPr>
            <w:rStyle w:val="Hyperlink"/>
          </w:rPr>
          <w:t xml:space="preserve">https://doi.org/10.1038/s41586-023-06792-0</w:t>
        </w:r>
      </w:hyperlink>
      <w:r>
        <w:t xml:space="preserve">.</w:t>
      </w:r>
    </w:p>
    <w:bookmarkEnd w:id="59"/>
    <w:bookmarkStart w:id="61" w:name="ref-Bridgeford2026"/>
    <w:p>
      <w:pPr>
        <w:pStyle w:val="Bibliography"/>
      </w:pPr>
      <w:r>
        <w:t xml:space="preserve">Bridgeford, Eric W., Iain Campbell, Zijao Chen, Zhicheng Lin, Harrison Ritz, Joachim Vandekerckhove, and Russell A. Poldrack. 2026. Twelve Quick Tips for AI-Assisted Coding in Science.</w:t>
      </w:r>
      <w:r>
        <w:t xml:space="preserve"> </w:t>
      </w:r>
      <w:r>
        <w:rPr>
          <w:iCs/>
          <w:i/>
        </w:rPr>
        <w:t xml:space="preserve">PLOS Computational Biology</w:t>
      </w:r>
      <w:r>
        <w:t xml:space="preserve"> </w:t>
      </w:r>
      <w:r>
        <w:t xml:space="preserve">22(7):e1014428.</w:t>
      </w:r>
      <w:r>
        <w:t xml:space="preserve"> </w:t>
      </w:r>
      <w:hyperlink r:id="rId60">
        <w:r>
          <w:rPr>
            <w:rStyle w:val="Hyperlink"/>
          </w:rPr>
          <w:t xml:space="preserve">https://doi.org/10.1371/journal.pcbi.1014428</w:t>
        </w:r>
      </w:hyperlink>
      <w:r>
        <w:t xml:space="preserve">.</w:t>
      </w:r>
    </w:p>
    <w:bookmarkEnd w:id="61"/>
    <w:bookmarkStart w:id="63" w:name="ref-Brown2026book"/>
    <w:p>
      <w:pPr>
        <w:pStyle w:val="Bibliography"/>
      </w:pPr>
      <w:r>
        <w:t xml:space="preserve">Brown, Christopher J. 2026.</w:t>
      </w:r>
      <w:r>
        <w:t xml:space="preserve"> </w:t>
      </w:r>
      <w:r>
        <w:t xml:space="preserve">AI</w:t>
      </w:r>
      <w:r>
        <w:t xml:space="preserve"> </w:t>
      </w:r>
      <w:r>
        <w:t xml:space="preserve">Assistants for Scientific Coding.</w:t>
      </w:r>
      <w:r>
        <w:t xml:space="preserve"> </w:t>
      </w:r>
      <w:hyperlink r:id="rId62">
        <w:r>
          <w:rPr>
            <w:rStyle w:val="Hyperlink"/>
          </w:rPr>
          <w:t xml:space="preserve">https://www.seascapemodels.org/AI-assistants-for-scientific-coding/</w:t>
        </w:r>
      </w:hyperlink>
      <w:r>
        <w:t xml:space="preserve">, accessed September 18, 2026.</w:t>
      </w:r>
    </w:p>
    <w:bookmarkEnd w:id="63"/>
    <w:bookmarkStart w:id="65" w:name="ref-Brown2026a"/>
    <w:p>
      <w:pPr>
        <w:pStyle w:val="Bibliography"/>
      </w:pPr>
      <w:r>
        <w:t xml:space="preserve">Brown, Christopher J., Leigha R. Aitken, Richard Takyi, and Alexandre Tisseaux-Navarro. 2026. Automating Ecological and Fisheries Modelling with Agentic AI.</w:t>
      </w:r>
      <w:r>
        <w:t xml:space="preserve"> </w:t>
      </w:r>
      <w:r>
        <w:rPr>
          <w:iCs/>
          <w:i/>
        </w:rPr>
        <w:t xml:space="preserve">Fish and Fisheries</w:t>
      </w:r>
      <w:r>
        <w:t xml:space="preserve"> </w:t>
      </w:r>
      <w:r>
        <w:t xml:space="preserve">27(3):726–739.</w:t>
      </w:r>
      <w:r>
        <w:t xml:space="preserve"> </w:t>
      </w:r>
      <w:hyperlink r:id="rId64">
        <w:r>
          <w:rPr>
            <w:rStyle w:val="Hyperlink"/>
          </w:rPr>
          <w:t xml:space="preserve">https://doi.org/10.1111/faf.70079</w:t>
        </w:r>
      </w:hyperlink>
      <w:r>
        <w:t xml:space="preserve">.</w:t>
      </w:r>
    </w:p>
    <w:bookmarkEnd w:id="65"/>
    <w:bookmarkStart w:id="67" w:name="ref-Brown2026b"/>
    <w:p>
      <w:pPr>
        <w:pStyle w:val="Bibliography"/>
      </w:pPr>
      <w:r>
        <w:t xml:space="preserve">Brown, Christopher J., and Scott Spillias. 2026. Prompting Large Language Models for Quality Ecological Statistics.</w:t>
      </w:r>
      <w:r>
        <w:t xml:space="preserve"> </w:t>
      </w:r>
      <w:r>
        <w:rPr>
          <w:iCs/>
          <w:i/>
        </w:rPr>
        <w:t xml:space="preserve">Methods in Ecology and Evolution</w:t>
      </w:r>
      <w:r>
        <w:t xml:space="preserve"> </w:t>
      </w:r>
      <w:r>
        <w:t xml:space="preserve">17(4):1012–1021.</w:t>
      </w:r>
      <w:r>
        <w:t xml:space="preserve"> </w:t>
      </w:r>
      <w:hyperlink r:id="rId66">
        <w:r>
          <w:rPr>
            <w:rStyle w:val="Hyperlink"/>
          </w:rPr>
          <w:t xml:space="preserve">https://doi.org/10.1111/2041-210x.70267</w:t>
        </w:r>
      </w:hyperlink>
      <w:r>
        <w:t xml:space="preserve">.</w:t>
      </w:r>
    </w:p>
    <w:bookmarkEnd w:id="67"/>
    <w:bookmarkStart w:id="69" w:name="ref-Brown2026local"/>
    <w:p>
      <w:pPr>
        <w:pStyle w:val="Bibliography"/>
      </w:pPr>
      <w:r>
        <w:t xml:space="preserve">Brown, Christopher J., Scott Spillias, Carla Sbrocchi, and Luis D. Verde Arregoitia. 2026.</w:t>
      </w:r>
      <w:r>
        <w:t xml:space="preserve"> </w:t>
      </w:r>
      <w:r>
        <w:t xml:space="preserve">Running Local Large Language Models: Not as Difficult as You Might Think</w:t>
      </w:r>
      <w:r>
        <w:t xml:space="preserve">. Vita ex machina.</w:t>
      </w:r>
      <w:r>
        <w:t xml:space="preserve"> </w:t>
      </w:r>
      <w:hyperlink r:id="rId68">
        <w:r>
          <w:rPr>
            <w:rStyle w:val="Hyperlink"/>
          </w:rPr>
          <w:t xml:space="preserve">https://vitaexmachina.substack.com/p/running-local-large-language-models</w:t>
        </w:r>
      </w:hyperlink>
      <w:r>
        <w:t xml:space="preserve">, accessed September 18, 2026.</w:t>
      </w:r>
    </w:p>
    <w:bookmarkEnd w:id="69"/>
    <w:bookmarkStart w:id="71" w:name="ref-Campbell2024"/>
    <w:p>
      <w:pPr>
        <w:pStyle w:val="Bibliography"/>
      </w:pPr>
      <w:r>
        <w:t xml:space="preserve">Campbell, Heather, Thomas Bluck, Ella Curry, Derrick Harris, Billie Pike, and Bethany Wright. 2024. Should We Still Teach or Learn Coding? A Postgraduate Student Perspective on the Use of Large Language Models for Coding in Ecology and Evolution.</w:t>
      </w:r>
      <w:r>
        <w:t xml:space="preserve"> </w:t>
      </w:r>
      <w:r>
        <w:rPr>
          <w:iCs/>
          <w:i/>
        </w:rPr>
        <w:t xml:space="preserve">Methods in Ecology and Evolution</w:t>
      </w:r>
      <w:r>
        <w:t xml:space="preserve"> </w:t>
      </w:r>
      <w:r>
        <w:t xml:space="preserve">15(10):1767–1770.</w:t>
      </w:r>
      <w:r>
        <w:t xml:space="preserve"> </w:t>
      </w:r>
      <w:hyperlink r:id="rId70">
        <w:r>
          <w:rPr>
            <w:rStyle w:val="Hyperlink"/>
          </w:rPr>
          <w:t xml:space="preserve">https://doi.org/10.1111/2041-210X.14396</w:t>
        </w:r>
      </w:hyperlink>
      <w:r>
        <w:t xml:space="preserve">.</w:t>
      </w:r>
    </w:p>
    <w:bookmarkEnd w:id="71"/>
    <w:bookmarkStart w:id="73" w:name="ref-CardarelliRagno2026"/>
    <w:p>
      <w:pPr>
        <w:pStyle w:val="Bibliography"/>
      </w:pPr>
      <w:r>
        <w:t xml:space="preserve">Cardarelli, Lorenzo, and Roberto Ragno. 2026. (Whose Defaults?) Is Artificial Intelligence Reorienting Archaeological Methods?</w:t>
      </w:r>
      <w:r>
        <w:t xml:space="preserve"> </w:t>
      </w:r>
      <w:r>
        <w:rPr>
          <w:iCs/>
          <w:i/>
        </w:rPr>
        <w:t xml:space="preserve">arXiv Preprint arXiv:2609.11198</w:t>
      </w:r>
      <w:r>
        <w:t xml:space="preserve">.</w:t>
      </w:r>
      <w:r>
        <w:t xml:space="preserve"> </w:t>
      </w:r>
      <w:hyperlink r:id="rId72">
        <w:r>
          <w:rPr>
            <w:rStyle w:val="Hyperlink"/>
          </w:rPr>
          <w:t xml:space="preserve">https://doi.org/10.48550/arXiv.2609.11198</w:t>
        </w:r>
      </w:hyperlink>
      <w:r>
        <w:t xml:space="preserve">.</w:t>
      </w:r>
    </w:p>
    <w:bookmarkEnd w:id="73"/>
    <w:bookmarkStart w:id="75" w:name="ref-Chen2023"/>
    <w:p>
      <w:pPr>
        <w:pStyle w:val="Bibliography"/>
      </w:pPr>
      <w:r>
        <w:t xml:space="preserve">Chen, Xinyun, Maxwell Lin, Nathanael Schärli, and Denny Zhou. 2023. Teaching Large Language Models to Self-Debug.</w:t>
      </w:r>
      <w:r>
        <w:t xml:space="preserve"> </w:t>
      </w:r>
      <w:r>
        <w:rPr>
          <w:iCs/>
          <w:i/>
        </w:rPr>
        <w:t xml:space="preserve">International Conference on Learning Representations</w:t>
      </w:r>
      <w:r>
        <w:t xml:space="preserve">.</w:t>
      </w:r>
      <w:r>
        <w:t xml:space="preserve"> </w:t>
      </w:r>
      <w:hyperlink r:id="rId74">
        <w:r>
          <w:rPr>
            <w:rStyle w:val="Hyperlink"/>
          </w:rPr>
          <w:t xml:space="preserve">https://doi.org/10.48550/arXiv.2304.05128</w:t>
        </w:r>
      </w:hyperlink>
      <w:r>
        <w:t xml:space="preserve">.</w:t>
      </w:r>
    </w:p>
    <w:bookmarkEnd w:id="75"/>
    <w:bookmarkStart w:id="77" w:name="ref-Codreanu2026"/>
    <w:p>
      <w:pPr>
        <w:pStyle w:val="Bibliography"/>
      </w:pPr>
      <w:r>
        <w:t xml:space="preserve">Codreanu, Mihai, Alex Imas, Juan Mateos-Garcia, Evalyne Muiruri, Ana Trišović, Scott Strand, Arthur Turrell, et al. 2026.</w:t>
      </w:r>
      <w:r>
        <w:t xml:space="preserve"> </w:t>
      </w:r>
      <w:r>
        <w:t xml:space="preserve">AI</w:t>
      </w:r>
      <w:r>
        <w:t xml:space="preserve"> </w:t>
      </w:r>
      <w:r>
        <w:t xml:space="preserve">in</w:t>
      </w:r>
      <w:r>
        <w:t xml:space="preserve"> </w:t>
      </w:r>
      <w:r>
        <w:t xml:space="preserve">Science:</w:t>
      </w:r>
      <w:r>
        <w:t xml:space="preserve"> </w:t>
      </w:r>
      <w:r>
        <w:t xml:space="preserve">Early</w:t>
      </w:r>
      <w:r>
        <w:t xml:space="preserve"> </w:t>
      </w:r>
      <w:r>
        <w:t xml:space="preserve">Insights</w:t>
      </w:r>
      <w:r>
        <w:t xml:space="preserve">.</w:t>
      </w:r>
      <w:r>
        <w:t xml:space="preserve"> </w:t>
      </w:r>
      <w:hyperlink r:id="rId76">
        <w:r>
          <w:rPr>
            <w:rStyle w:val="Hyperlink"/>
          </w:rPr>
          <w:t xml:space="preserve">https://ai.google/static/documents/AI-in-Science.pdf</w:t>
        </w:r>
      </w:hyperlink>
      <w:r>
        <w:t xml:space="preserve">, accessed September 16, 2026.</w:t>
      </w:r>
    </w:p>
    <w:bookmarkEnd w:id="77"/>
    <w:bookmarkStart w:id="79" w:name="ref-Cooper2024"/>
    <w:p>
      <w:pPr>
        <w:pStyle w:val="Bibliography"/>
      </w:pPr>
      <w:r>
        <w:t xml:space="preserve">Cooper, Natalie, Adam T. Clark, Nicolas Lecomte, Huijie Qiao, and Aaron M. Ellison. 2024. Harnessing Large Language Models for Coding, Teaching and Inclusion to Empower Research in Ecology and Evolution.</w:t>
      </w:r>
      <w:r>
        <w:t xml:space="preserve"> </w:t>
      </w:r>
      <w:r>
        <w:rPr>
          <w:iCs/>
          <w:i/>
        </w:rPr>
        <w:t xml:space="preserve">Methods in Ecology and Evolution</w:t>
      </w:r>
      <w:r>
        <w:t xml:space="preserve"> </w:t>
      </w:r>
      <w:r>
        <w:t xml:space="preserve">15(10):1757–1763.</w:t>
      </w:r>
      <w:r>
        <w:t xml:space="preserve"> </w:t>
      </w:r>
      <w:hyperlink r:id="rId78">
        <w:r>
          <w:rPr>
            <w:rStyle w:val="Hyperlink"/>
          </w:rPr>
          <w:t xml:space="preserve">https://doi.org/10.1111/2041-210X.14325</w:t>
        </w:r>
      </w:hyperlink>
      <w:r>
        <w:t xml:space="preserve">.</w:t>
      </w:r>
    </w:p>
    <w:bookmarkEnd w:id="79"/>
    <w:bookmarkStart w:id="81" w:name="ref-CootsonaCastilloSunseri2026"/>
    <w:p>
      <w:pPr>
        <w:pStyle w:val="Bibliography"/>
      </w:pPr>
      <w:r>
        <w:t xml:space="preserve">Cootsona, Melanie G., Mario Alberto Castillo, and Jun Sunseri. 2026. Navigating the AI Revolution in the Era of Community-Accountable Archaeological Praxis.</w:t>
      </w:r>
      <w:r>
        <w:t xml:space="preserve"> </w:t>
      </w:r>
      <w:r>
        <w:rPr>
          <w:iCs/>
          <w:i/>
        </w:rPr>
        <w:t xml:space="preserve">Advances in Archaeological Practice</w:t>
      </w:r>
      <w:r>
        <w:t xml:space="preserve">:1–16.</w:t>
      </w:r>
      <w:r>
        <w:t xml:space="preserve"> </w:t>
      </w:r>
      <w:hyperlink r:id="rId80">
        <w:r>
          <w:rPr>
            <w:rStyle w:val="Hyperlink"/>
          </w:rPr>
          <w:t xml:space="preserve">https://doi.org/10.1017/aap.2026.10173</w:t>
        </w:r>
      </w:hyperlink>
      <w:r>
        <w:t xml:space="preserve">.</w:t>
      </w:r>
    </w:p>
    <w:bookmarkEnd w:id="81"/>
    <w:bookmarkStart w:id="83" w:name="ref-DellAcqua2026"/>
    <w:p>
      <w:pPr>
        <w:pStyle w:val="Bibliography"/>
      </w:pPr>
      <w:r>
        <w:t xml:space="preserve">Dell’Acqua, Fabrizio, Edward McFowland, Ethan Mollick, Hila Lifshitz, Katherine C. Kellogg, Saran Rajendran, Lisa Krayer, et al. 2026. Navigating the Jagged Technological Frontier: Field Experimental Evidence of the Effects of Artificial Intelligence on Knowledge Worker Productivity and Quality.</w:t>
      </w:r>
      <w:r>
        <w:t xml:space="preserve"> </w:t>
      </w:r>
      <w:r>
        <w:rPr>
          <w:iCs/>
          <w:i/>
        </w:rPr>
        <w:t xml:space="preserve">Organization Science</w:t>
      </w:r>
      <w:r>
        <w:t xml:space="preserve"> </w:t>
      </w:r>
      <w:r>
        <w:t xml:space="preserve">37(2):403–423.</w:t>
      </w:r>
      <w:r>
        <w:t xml:space="preserve"> </w:t>
      </w:r>
      <w:hyperlink r:id="rId82">
        <w:r>
          <w:rPr>
            <w:rStyle w:val="Hyperlink"/>
          </w:rPr>
          <w:t xml:space="preserve">https://doi.org/10.1287/orsc.2025.21838</w:t>
        </w:r>
      </w:hyperlink>
      <w:r>
        <w:t xml:space="preserve">.</w:t>
      </w:r>
    </w:p>
    <w:bookmarkEnd w:id="83"/>
    <w:bookmarkStart w:id="85" w:name="ref-Dyck2026"/>
    <w:p>
      <w:pPr>
        <w:pStyle w:val="Bibliography"/>
      </w:pPr>
      <w:r>
        <w:t xml:space="preserve">Dyck, Marissa A. 2026. A Letter to a Young Data Analyst: Learning Before Leaning on AI.</w:t>
      </w:r>
      <w:r>
        <w:t xml:space="preserve"> </w:t>
      </w:r>
      <w:r>
        <w:rPr>
          <w:iCs/>
          <w:i/>
        </w:rPr>
        <w:t xml:space="preserve">Journal of Mammalogy</w:t>
      </w:r>
      <w:r>
        <w:t xml:space="preserve"> </w:t>
      </w:r>
      <w:r>
        <w:t xml:space="preserve">107(1):210–211.</w:t>
      </w:r>
      <w:r>
        <w:t xml:space="preserve"> </w:t>
      </w:r>
      <w:hyperlink r:id="rId84">
        <w:r>
          <w:rPr>
            <w:rStyle w:val="Hyperlink"/>
          </w:rPr>
          <w:t xml:space="preserve">https://doi.org/10.1093/jmammal/gyaf082</w:t>
        </w:r>
      </w:hyperlink>
      <w:r>
        <w:t xml:space="preserve">.</w:t>
      </w:r>
    </w:p>
    <w:bookmarkEnd w:id="85"/>
    <w:bookmarkStart w:id="87" w:name="ref-Feuerriegel2024"/>
    <w:p>
      <w:pPr>
        <w:pStyle w:val="Bibliography"/>
      </w:pPr>
      <w:r>
        <w:t xml:space="preserve">Feuerriegel, Stefan, Jochen Hartmann, Christian Janiesch, and Patrick Zschech. 2024.</w:t>
      </w:r>
      <w:r>
        <w:t xml:space="preserve"> </w:t>
      </w:r>
      <w:r>
        <w:t xml:space="preserve">Generative AI</w:t>
      </w:r>
      <w:r>
        <w:t xml:space="preserve">.</w:t>
      </w:r>
      <w:r>
        <w:t xml:space="preserve"> </w:t>
      </w:r>
      <w:r>
        <w:rPr>
          <w:iCs/>
          <w:i/>
        </w:rPr>
        <w:t xml:space="preserve">Business &amp; Information Systems Engineering</w:t>
      </w:r>
      <w:r>
        <w:t xml:space="preserve"> </w:t>
      </w:r>
      <w:r>
        <w:t xml:space="preserve">66(1):111–126.</w:t>
      </w:r>
      <w:r>
        <w:t xml:space="preserve"> </w:t>
      </w:r>
      <w:hyperlink r:id="rId86">
        <w:r>
          <w:rPr>
            <w:rStyle w:val="Hyperlink"/>
          </w:rPr>
          <w:t xml:space="preserve">https://doi.org/10.1007/s12599-023-00834-7</w:t>
        </w:r>
      </w:hyperlink>
      <w:r>
        <w:t xml:space="preserve">.</w:t>
      </w:r>
    </w:p>
    <w:bookmarkEnd w:id="87"/>
    <w:bookmarkStart w:id="89" w:name="ref-Gattiglia2025"/>
    <w:p>
      <w:pPr>
        <w:pStyle w:val="Bibliography"/>
      </w:pPr>
      <w:r>
        <w:t xml:space="preserve">Gattiglia, Gabriele. 2025. Managing Artificial Intelligence in Archeology: An Overview.</w:t>
      </w:r>
      <w:r>
        <w:t xml:space="preserve"> </w:t>
      </w:r>
      <w:r>
        <w:rPr>
          <w:iCs/>
          <w:i/>
        </w:rPr>
        <w:t xml:space="preserve">Journal of Cultural Heritage</w:t>
      </w:r>
      <w:r>
        <w:t xml:space="preserve"> </w:t>
      </w:r>
      <w:r>
        <w:t xml:space="preserve">71:225–233.</w:t>
      </w:r>
      <w:r>
        <w:t xml:space="preserve"> </w:t>
      </w:r>
      <w:hyperlink r:id="rId88">
        <w:r>
          <w:rPr>
            <w:rStyle w:val="Hyperlink"/>
          </w:rPr>
          <w:t xml:space="preserve">https://doi.org/10.1016/j.culher.2024.11.020</w:t>
        </w:r>
      </w:hyperlink>
      <w:r>
        <w:t xml:space="preserve">.</w:t>
      </w:r>
    </w:p>
    <w:bookmarkEnd w:id="89"/>
    <w:bookmarkStart w:id="91" w:name="ref-GildeZuniga2024"/>
    <w:p>
      <w:pPr>
        <w:pStyle w:val="Bibliography"/>
      </w:pPr>
      <w:r>
        <w:t xml:space="preserve">Gil de Zúñiga, Homero, Manuel Goyanes, and Timilehin Durotoye. 2024.</w:t>
      </w:r>
      <w:r>
        <w:t xml:space="preserve"> </w:t>
      </w:r>
      <w:r>
        <w:t xml:space="preserve">A Scholarly Definition of Artificial Intelligence (AI): Advancing AI as a Conceptual Framework in Communication Research</w:t>
      </w:r>
      <w:r>
        <w:t xml:space="preserve">.</w:t>
      </w:r>
      <w:r>
        <w:t xml:space="preserve"> </w:t>
      </w:r>
      <w:r>
        <w:rPr>
          <w:iCs/>
          <w:i/>
        </w:rPr>
        <w:t xml:space="preserve">Political Communication</w:t>
      </w:r>
      <w:r>
        <w:t xml:space="preserve"> </w:t>
      </w:r>
      <w:r>
        <w:t xml:space="preserve">41(2):317–334.</w:t>
      </w:r>
      <w:r>
        <w:t xml:space="preserve"> </w:t>
      </w:r>
      <w:hyperlink r:id="rId90">
        <w:r>
          <w:rPr>
            <w:rStyle w:val="Hyperlink"/>
          </w:rPr>
          <w:t xml:space="preserve">https://doi.org/10.1080/10584609.2023.2290497</w:t>
        </w:r>
      </w:hyperlink>
      <w:r>
        <w:t xml:space="preserve">.</w:t>
      </w:r>
    </w:p>
    <w:bookmarkEnd w:id="91"/>
    <w:bookmarkStart w:id="93" w:name="ref-Gougherty2024"/>
    <w:p>
      <w:pPr>
        <w:pStyle w:val="Bibliography"/>
      </w:pPr>
      <w:r>
        <w:t xml:space="preserve">Gougherty, Andrew V., and Hannah L. Clipp. 2024. Testing the Reliability of an</w:t>
      </w:r>
      <w:r>
        <w:t xml:space="preserve"> </w:t>
      </w:r>
      <w:r>
        <w:t xml:space="preserve">AI</w:t>
      </w:r>
      <w:r>
        <w:t xml:space="preserve">-Based</w:t>
      </w:r>
      <w:r>
        <w:t xml:space="preserve"> </w:t>
      </w:r>
      <w:r>
        <w:t xml:space="preserve">Large Language Model</w:t>
      </w:r>
      <w:r>
        <w:t xml:space="preserve"> </w:t>
      </w:r>
      <w:r>
        <w:t xml:space="preserve">to Extract Ecological Information from the Scientific Literature.</w:t>
      </w:r>
      <w:r>
        <w:t xml:space="preserve"> </w:t>
      </w:r>
      <w:r>
        <w:rPr>
          <w:iCs/>
          <w:i/>
        </w:rPr>
        <w:t xml:space="preserve">Npj Biodiversity</w:t>
      </w:r>
      <w:r>
        <w:t xml:space="preserve"> </w:t>
      </w:r>
      <w:r>
        <w:t xml:space="preserve">3(1):13.</w:t>
      </w:r>
      <w:r>
        <w:t xml:space="preserve"> </w:t>
      </w:r>
      <w:hyperlink r:id="rId92">
        <w:r>
          <w:rPr>
            <w:rStyle w:val="Hyperlink"/>
          </w:rPr>
          <w:t xml:space="preserve">https://doi.org/10.1038/s44185-024-00043-9</w:t>
        </w:r>
      </w:hyperlink>
      <w:r>
        <w:t xml:space="preserve">.</w:t>
      </w:r>
    </w:p>
    <w:bookmarkEnd w:id="93"/>
    <w:bookmarkStart w:id="95" w:name="ref-Goyal2026"/>
    <w:p>
      <w:pPr>
        <w:pStyle w:val="Bibliography"/>
      </w:pPr>
      <w:r>
        <w:t xml:space="preserve">Goyal, Palash, Mihir Parmar, Yiwen Song, Hamid Palangi, Tomas Pfister, and Jinsung Yoon. 2026.</w:t>
      </w:r>
      <w:r>
        <w:t xml:space="preserve"> </w:t>
      </w:r>
      <w:r>
        <w:t xml:space="preserve">ScholarPeer</w:t>
      </w:r>
      <w:r>
        <w:t xml:space="preserve">: A Context-Aware Multi-Agent Framework for Automated Peer Review.</w:t>
      </w:r>
      <w:r>
        <w:t xml:space="preserve"> </w:t>
      </w:r>
      <w:r>
        <w:rPr>
          <w:iCs/>
          <w:i/>
        </w:rPr>
        <w:t xml:space="preserve">arXiv Preprint arXiv:2601.22638</w:t>
      </w:r>
      <w:r>
        <w:t xml:space="preserve">.</w:t>
      </w:r>
      <w:r>
        <w:t xml:space="preserve"> </w:t>
      </w:r>
      <w:hyperlink r:id="rId94">
        <w:r>
          <w:rPr>
            <w:rStyle w:val="Hyperlink"/>
          </w:rPr>
          <w:t xml:space="preserve">https://doi.org/10.48550/arXiv.2601.22638</w:t>
        </w:r>
      </w:hyperlink>
      <w:r>
        <w:t xml:space="preserve">.</w:t>
      </w:r>
    </w:p>
    <w:bookmarkEnd w:id="95"/>
    <w:bookmarkStart w:id="97" w:name="ref-Greenacre2022Principal"/>
    <w:p>
      <w:pPr>
        <w:pStyle w:val="Bibliography"/>
      </w:pPr>
      <w:r>
        <w:t xml:space="preserve">Greenacre, Michael, Patrick J. F. Groenen, Trevor Hastie, Alfonso Iodice D’Enza, Angelos Markos, and Elena Tuzhilina. 2022. Principal Component Analysis.</w:t>
      </w:r>
      <w:r>
        <w:t xml:space="preserve"> </w:t>
      </w:r>
      <w:r>
        <w:rPr>
          <w:iCs/>
          <w:i/>
        </w:rPr>
        <w:t xml:space="preserve">Nature Reviews Methods Primers</w:t>
      </w:r>
      <w:r>
        <w:t xml:space="preserve"> </w:t>
      </w:r>
      <w:r>
        <w:t xml:space="preserve">2(1):100.</w:t>
      </w:r>
      <w:r>
        <w:t xml:space="preserve"> </w:t>
      </w:r>
      <w:hyperlink r:id="rId96">
        <w:r>
          <w:rPr>
            <w:rStyle w:val="Hyperlink"/>
          </w:rPr>
          <w:t xml:space="preserve">https://doi.org/10.1038/s43586-022-00184-w</w:t>
        </w:r>
      </w:hyperlink>
      <w:r>
        <w:t xml:space="preserve">.</w:t>
      </w:r>
    </w:p>
    <w:bookmarkEnd w:id="97"/>
    <w:bookmarkStart w:id="99" w:name="ref-Grossmann2023Transformation"/>
    <w:p>
      <w:pPr>
        <w:pStyle w:val="Bibliography"/>
      </w:pPr>
      <w:r>
        <w:t xml:space="preserve">Grossmann, Igor, Matthew Feinberg, Dawn C. Parker, Nicholas A. Christakis, Philip E. Tetlock, and William A. Cunningham. 2023.</w:t>
      </w:r>
      <w:r>
        <w:t xml:space="preserve"> </w:t>
      </w:r>
      <w:r>
        <w:t xml:space="preserve">AI</w:t>
      </w:r>
      <w:r>
        <w:t xml:space="preserve"> </w:t>
      </w:r>
      <w:r>
        <w:t xml:space="preserve">and the Transformation of Social Science Research.</w:t>
      </w:r>
      <w:r>
        <w:t xml:space="preserve"> </w:t>
      </w:r>
      <w:r>
        <w:rPr>
          <w:iCs/>
          <w:i/>
        </w:rPr>
        <w:t xml:space="preserve">Science</w:t>
      </w:r>
      <w:r>
        <w:t xml:space="preserve"> </w:t>
      </w:r>
      <w:r>
        <w:t xml:space="preserve">380(6650):1108–1109.</w:t>
      </w:r>
      <w:r>
        <w:t xml:space="preserve"> </w:t>
      </w:r>
      <w:hyperlink r:id="rId98">
        <w:r>
          <w:rPr>
            <w:rStyle w:val="Hyperlink"/>
          </w:rPr>
          <w:t xml:space="preserve">https://doi.org/10.1126/science.adi1778</w:t>
        </w:r>
      </w:hyperlink>
      <w:r>
        <w:t xml:space="preserve">.</w:t>
      </w:r>
    </w:p>
    <w:bookmarkEnd w:id="99"/>
    <w:bookmarkStart w:id="101" w:name="ref-Guo2024"/>
    <w:p>
      <w:pPr>
        <w:pStyle w:val="Bibliography"/>
      </w:pPr>
      <w:r>
        <w:t xml:space="preserve">Guo, Taicheng, Xiuying Chen, Yaqi Wang, Ruidi Chang, Shichao Pei, Nitesh V. Chawla, Olaf Wiest, et al. 2024.</w:t>
      </w:r>
      <w:r>
        <w:t xml:space="preserve"> </w:t>
      </w:r>
      <w:hyperlink r:id="rId100">
        <w:r>
          <w:rPr>
            <w:rStyle w:val="Hyperlink"/>
          </w:rPr>
          <w:t xml:space="preserve">Large Language Model Based Multi-Agents: A Survey of Progress and Challenges</w:t>
        </w:r>
      </w:hyperlink>
      <w:r>
        <w:t xml:space="preserve">, pp. 8048–8057.</w:t>
      </w:r>
    </w:p>
    <w:bookmarkEnd w:id="101"/>
    <w:bookmarkStart w:id="103" w:name="ref-Haase2026"/>
    <w:p>
      <w:pPr>
        <w:pStyle w:val="Bibliography"/>
      </w:pPr>
      <w:r>
        <w:t xml:space="preserve">Haase, Jennifer, and Sebastian Pokutta. 2026. Beyond Static Responses: Multi-Agent LLM Systems as a New Paradigm for Social Science Research.</w:t>
      </w:r>
      <w:r>
        <w:t xml:space="preserve"> </w:t>
      </w:r>
      <w:r>
        <w:rPr>
          <w:iCs/>
          <w:i/>
        </w:rPr>
        <w:t xml:space="preserve">Humanities and Social Sciences Communications</w:t>
      </w:r>
      <w:r>
        <w:t xml:space="preserve"> </w:t>
      </w:r>
      <w:r>
        <w:t xml:space="preserve">13:1490.</w:t>
      </w:r>
      <w:r>
        <w:t xml:space="preserve"> </w:t>
      </w:r>
      <w:hyperlink r:id="rId102">
        <w:r>
          <w:rPr>
            <w:rStyle w:val="Hyperlink"/>
          </w:rPr>
          <w:t xml:space="preserve">https://doi.org/10.1057/s41599-026-08832-2</w:t>
        </w:r>
      </w:hyperlink>
      <w:r>
        <w:t xml:space="preserve">.</w:t>
      </w:r>
    </w:p>
    <w:bookmarkEnd w:id="103"/>
    <w:bookmarkStart w:id="105" w:name="ref-Hao2025"/>
    <w:p>
      <w:pPr>
        <w:pStyle w:val="Bibliography"/>
      </w:pPr>
      <w:r>
        <w:t xml:space="preserve">Hao, Xinyue, Emrah Demir, and Daniel Eyers. 2025. Beyond</w:t>
      </w:r>
      <w:r>
        <w:t xml:space="preserve"> </w:t>
      </w:r>
      <w:r>
        <w:t xml:space="preserve">Human-in-the-Loop</w:t>
      </w:r>
      <w:r>
        <w:t xml:space="preserve">: Sensemaking Between Artificial Intelligence and Human Intelligence Collaboration.</w:t>
      </w:r>
      <w:r>
        <w:t xml:space="preserve"> </w:t>
      </w:r>
      <w:r>
        <w:rPr>
          <w:iCs/>
          <w:i/>
        </w:rPr>
        <w:t xml:space="preserve">Sustainable Futures</w:t>
      </w:r>
      <w:r>
        <w:t xml:space="preserve"> </w:t>
      </w:r>
      <w:r>
        <w:t xml:space="preserve">10:101152.</w:t>
      </w:r>
      <w:r>
        <w:t xml:space="preserve"> </w:t>
      </w:r>
      <w:hyperlink r:id="rId104">
        <w:r>
          <w:rPr>
            <w:rStyle w:val="Hyperlink"/>
          </w:rPr>
          <w:t xml:space="preserve">https://doi.org/10.1016/j.sftr.2025.101152</w:t>
        </w:r>
      </w:hyperlink>
      <w:r>
        <w:t xml:space="preserve">.</w:t>
      </w:r>
    </w:p>
    <w:bookmarkEnd w:id="105"/>
    <w:bookmarkStart w:id="107" w:name="ref-Hariri2025"/>
    <w:p>
      <w:pPr>
        <w:pStyle w:val="Bibliography"/>
      </w:pPr>
      <w:r>
        <w:t xml:space="preserve">Hariri, Ali, Stéphane Jean, and Mickaël Baron. 2025.</w:t>
      </w:r>
      <w:r>
        <w:t xml:space="preserve"> </w:t>
      </w:r>
      <w:hyperlink r:id="rId106">
        <w:r>
          <w:rPr>
            <w:rStyle w:val="Hyperlink"/>
          </w:rPr>
          <w:t xml:space="preserve">Towards Automating RDF Extraction for Archaeological Knowledge Graphs with LLMs</w:t>
        </w:r>
      </w:hyperlink>
      <w:r>
        <w:t xml:space="preserve">. In</w:t>
      </w:r>
      <w:r>
        <w:t xml:space="preserve"> </w:t>
      </w:r>
      <w:r>
        <w:rPr>
          <w:iCs/>
          <w:i/>
        </w:rPr>
        <w:t xml:space="preserve">Database and Expert Systems Applications</w:t>
      </w:r>
      <w:r>
        <w:t xml:space="preserve">, pp. 83–97. Lecture Notes in Computer Science. Springer Nature Switzerland.</w:t>
      </w:r>
    </w:p>
    <w:bookmarkEnd w:id="107"/>
    <w:bookmarkStart w:id="109" w:name="ref-Hou2025"/>
    <w:p>
      <w:pPr>
        <w:pStyle w:val="Bibliography"/>
      </w:pPr>
      <w:r>
        <w:t xml:space="preserve">Hou, Xinyi, Yanjie Zhao, Shenao Wang, and Haoyu Wang. 2026.</w:t>
      </w:r>
      <w:r>
        <w:t xml:space="preserve"> </w:t>
      </w:r>
      <w:r>
        <w:t xml:space="preserve">Model Context Protocol (MCP)</w:t>
      </w:r>
      <w:r>
        <w:t xml:space="preserve">: Landscape, Security Threats, and Future Research Directions.</w:t>
      </w:r>
      <w:r>
        <w:t xml:space="preserve"> </w:t>
      </w:r>
      <w:r>
        <w:rPr>
          <w:iCs/>
          <w:i/>
        </w:rPr>
        <w:t xml:space="preserve">ACM Transactions on Software Engineering and Methodology</w:t>
      </w:r>
      <w:r>
        <w:t xml:space="preserve"> </w:t>
      </w:r>
      <w:r>
        <w:t xml:space="preserve">35(10):1–37.</w:t>
      </w:r>
      <w:r>
        <w:t xml:space="preserve"> </w:t>
      </w:r>
      <w:hyperlink r:id="rId108">
        <w:r>
          <w:rPr>
            <w:rStyle w:val="Hyperlink"/>
          </w:rPr>
          <w:t xml:space="preserve">https://doi.org/10.1145/3796519</w:t>
        </w:r>
      </w:hyperlink>
      <w:r>
        <w:t xml:space="preserve">.</w:t>
      </w:r>
    </w:p>
    <w:bookmarkEnd w:id="109"/>
    <w:bookmarkStart w:id="111" w:name="ref-Jansen2025"/>
    <w:p>
      <w:pPr>
        <w:pStyle w:val="Bibliography"/>
      </w:pPr>
      <w:r>
        <w:t xml:space="preserve">Jansen, Jacqueline A., Artür Manukyan, Nour Al Khoury, and Altuna Akalin. 2025. Leveraging Large Language Models for Data Analysis Automation.</w:t>
      </w:r>
      <w:r>
        <w:t xml:space="preserve"> </w:t>
      </w:r>
      <w:r>
        <w:rPr>
          <w:iCs/>
          <w:i/>
        </w:rPr>
        <w:t xml:space="preserve">PLOS ONE</w:t>
      </w:r>
      <w:r>
        <w:t xml:space="preserve"> </w:t>
      </w:r>
      <w:r>
        <w:t xml:space="preserve">20(2):e0317084.</w:t>
      </w:r>
      <w:r>
        <w:t xml:space="preserve"> </w:t>
      </w:r>
      <w:hyperlink r:id="rId110">
        <w:r>
          <w:rPr>
            <w:rStyle w:val="Hyperlink"/>
          </w:rPr>
          <w:t xml:space="preserve">https://doi.org/10.1371/journal.pone.0317084</w:t>
        </w:r>
      </w:hyperlink>
      <w:r>
        <w:t xml:space="preserve">.</w:t>
      </w:r>
    </w:p>
    <w:bookmarkEnd w:id="111"/>
    <w:bookmarkStart w:id="113" w:name="ref-JohnsonEberl2026"/>
    <w:p>
      <w:pPr>
        <w:pStyle w:val="Bibliography"/>
      </w:pPr>
      <w:r>
        <w:t xml:space="preserve">Johnson, Phyllis S., and Markus Eberl. 2026. Ethical and Environmental Considerations for the Application of Artificial Intelligence in Archaeological Research.</w:t>
      </w:r>
      <w:r>
        <w:t xml:space="preserve"> </w:t>
      </w:r>
      <w:r>
        <w:rPr>
          <w:iCs/>
          <w:i/>
        </w:rPr>
        <w:t xml:space="preserve">Human Organization</w:t>
      </w:r>
      <w:r>
        <w:t xml:space="preserve"> </w:t>
      </w:r>
      <w:r>
        <w:t xml:space="preserve">85(3):333–346.</w:t>
      </w:r>
      <w:r>
        <w:t xml:space="preserve"> </w:t>
      </w:r>
      <w:hyperlink r:id="rId112">
        <w:r>
          <w:rPr>
            <w:rStyle w:val="Hyperlink"/>
          </w:rPr>
          <w:t xml:space="preserve">https://doi.org/10.1080/00187259.2026.2714301</w:t>
        </w:r>
      </w:hyperlink>
      <w:r>
        <w:t xml:space="preserve">.</w:t>
      </w:r>
    </w:p>
    <w:bookmarkEnd w:id="113"/>
    <w:bookmarkStart w:id="115" w:name="ref-Jonker2024"/>
    <w:p>
      <w:pPr>
        <w:pStyle w:val="Bibliography"/>
      </w:pPr>
      <w:r>
        <w:t xml:space="preserve">Jonker, Catholijn M., Luciano Cavalcante Siebert, and Pradeep K. Murukannaiah. 2024.</w:t>
      </w:r>
      <w:r>
        <w:t xml:space="preserve"> </w:t>
      </w:r>
      <w:hyperlink r:id="rId114">
        <w:r>
          <w:rPr>
            <w:rStyle w:val="Hyperlink"/>
          </w:rPr>
          <w:t xml:space="preserve">Reflective Hybrid Intelligence for Meaningful</w:t>
        </w:r>
        <w:r>
          <w:rPr>
            <w:rStyle w:val="Hyperlink"/>
          </w:rPr>
          <w:t xml:space="preserve"> </w:t>
        </w:r>
        <w:r>
          <w:rPr>
            <w:rStyle w:val="Hyperlink"/>
          </w:rPr>
          <w:t xml:space="preserve">Human Control</w:t>
        </w:r>
        <w:r>
          <w:rPr>
            <w:rStyle w:val="Hyperlink"/>
          </w:rPr>
          <w:t xml:space="preserve"> </w:t>
        </w:r>
        <w:r>
          <w:rPr>
            <w:rStyle w:val="Hyperlink"/>
          </w:rPr>
          <w:t xml:space="preserve">in Decision-Support Systems</w:t>
        </w:r>
      </w:hyperlink>
      <w:r>
        <w:t xml:space="preserve">. In</w:t>
      </w:r>
      <w:r>
        <w:t xml:space="preserve"> </w:t>
      </w:r>
      <w:r>
        <w:rPr>
          <w:iCs/>
          <w:i/>
        </w:rPr>
        <w:t xml:space="preserve">Research Handbook on Meaningful Human Control of Artificial Intelligence Systems</w:t>
      </w:r>
      <w:r>
        <w:t xml:space="preserve">, pp. 188–204. Edward Elgar Publishing.</w:t>
      </w:r>
    </w:p>
    <w:bookmarkEnd w:id="115"/>
    <w:bookmarkStart w:id="117" w:name="ref-Kansa2026"/>
    <w:p>
      <w:pPr>
        <w:pStyle w:val="Bibliography"/>
      </w:pPr>
      <w:r>
        <w:t xml:space="preserve">Kansa, Eric. 2026. Archaeology in the</w:t>
      </w:r>
      <w:r>
        <w:t xml:space="preserve"> </w:t>
      </w:r>
      <w:r>
        <w:t xml:space="preserve">AI</w:t>
      </w:r>
      <w:r>
        <w:t xml:space="preserve"> </w:t>
      </w:r>
      <w:r>
        <w:t xml:space="preserve">Era: Demystifying Powerful and Problematic Systems Shaping the Future of the Past.</w:t>
      </w:r>
      <w:r>
        <w:t xml:space="preserve"> </w:t>
      </w:r>
      <w:r>
        <w:rPr>
          <w:iCs/>
          <w:i/>
        </w:rPr>
        <w:t xml:space="preserve">Internet Archaeology</w:t>
      </w:r>
      <w:r>
        <w:t xml:space="preserve">(71).</w:t>
      </w:r>
      <w:r>
        <w:t xml:space="preserve"> </w:t>
      </w:r>
      <w:hyperlink r:id="rId116">
        <w:r>
          <w:rPr>
            <w:rStyle w:val="Hyperlink"/>
          </w:rPr>
          <w:t xml:space="preserve">https://doi.org/10.11141/ia.71.15</w:t>
        </w:r>
      </w:hyperlink>
      <w:r>
        <w:t xml:space="preserve">.</w:t>
      </w:r>
    </w:p>
    <w:bookmarkEnd w:id="117"/>
    <w:bookmarkStart w:id="119" w:name="ref-Kasneci2023"/>
    <w:p>
      <w:pPr>
        <w:pStyle w:val="Bibliography"/>
      </w:pPr>
      <w:r>
        <w:t xml:space="preserve">Kasneci, Enkelejda, Kathrin Sessler, Stefan Küchemann, Maria Bannert, Daryna Dementieva, Frank Fischer, Urs Gasser, et al. 2023.</w:t>
      </w:r>
      <w:r>
        <w:t xml:space="preserve"> </w:t>
      </w:r>
      <w:r>
        <w:t xml:space="preserve">ChatGPT for Good? On Opportunities and Challenges of Large Language Models for Education</w:t>
      </w:r>
      <w:r>
        <w:t xml:space="preserve">.</w:t>
      </w:r>
      <w:r>
        <w:t xml:space="preserve"> </w:t>
      </w:r>
      <w:r>
        <w:rPr>
          <w:iCs/>
          <w:i/>
        </w:rPr>
        <w:t xml:space="preserve">Learning and Individual Differences</w:t>
      </w:r>
      <w:r>
        <w:t xml:space="preserve"> </w:t>
      </w:r>
      <w:r>
        <w:t xml:space="preserve">103:102274.</w:t>
      </w:r>
      <w:r>
        <w:t xml:space="preserve"> </w:t>
      </w:r>
      <w:hyperlink r:id="rId118">
        <w:r>
          <w:rPr>
            <w:rStyle w:val="Hyperlink"/>
          </w:rPr>
          <w:t xml:space="preserve">https://doi.org/10.1016/j.lindif.2023.102274</w:t>
        </w:r>
      </w:hyperlink>
      <w:r>
        <w:t xml:space="preserve">.</w:t>
      </w:r>
    </w:p>
    <w:bookmarkEnd w:id="119"/>
    <w:bookmarkStart w:id="121" w:name="ref-Kim2026Power"/>
    <w:p>
      <w:pPr>
        <w:pStyle w:val="Bibliography"/>
      </w:pPr>
      <w:r>
        <w:t xml:space="preserve">Kim, Hajung, Jia Qi, Zhe Feng, Xiaoya Zhang, Yuting Han, Jinbo He, and Feng Ji. 2026. Can Large Language Models (</w:t>
      </w:r>
      <w:r>
        <w:t xml:space="preserve">LLMs</w:t>
      </w:r>
      <w:r>
        <w:t xml:space="preserve">) Be Trusted for Power Analysis? An Empirical Evaluation.</w:t>
      </w:r>
      <w:r>
        <w:t xml:space="preserve"> </w:t>
      </w:r>
      <w:r>
        <w:rPr>
          <w:iCs/>
          <w:i/>
        </w:rPr>
        <w:t xml:space="preserve">Journal of Behavioral Data Science</w:t>
      </w:r>
      <w:r>
        <w:t xml:space="preserve"> </w:t>
      </w:r>
      <w:r>
        <w:t xml:space="preserve">6(2):173–184.</w:t>
      </w:r>
      <w:r>
        <w:t xml:space="preserve"> </w:t>
      </w:r>
      <w:hyperlink r:id="rId120">
        <w:r>
          <w:rPr>
            <w:rStyle w:val="Hyperlink"/>
          </w:rPr>
          <w:t xml:space="preserve">https://doi.org/10.35566/jbds/jikim</w:t>
        </w:r>
      </w:hyperlink>
      <w:r>
        <w:t xml:space="preserve">.</w:t>
      </w:r>
    </w:p>
    <w:bookmarkEnd w:id="121"/>
    <w:bookmarkStart w:id="123" w:name="ref-Korinek2023"/>
    <w:p>
      <w:pPr>
        <w:pStyle w:val="Bibliography"/>
      </w:pPr>
      <w:r>
        <w:t xml:space="preserve">Korinek, Anton. 2023. Generative AI for Economic Research: Use Cases and Implications for Economists.</w:t>
      </w:r>
      <w:r>
        <w:t xml:space="preserve"> </w:t>
      </w:r>
      <w:r>
        <w:rPr>
          <w:iCs/>
          <w:i/>
        </w:rPr>
        <w:t xml:space="preserve">Journal of Economic Literature</w:t>
      </w:r>
      <w:r>
        <w:t xml:space="preserve"> </w:t>
      </w:r>
      <w:r>
        <w:t xml:space="preserve">61(4):1281–1317.</w:t>
      </w:r>
      <w:r>
        <w:t xml:space="preserve"> </w:t>
      </w:r>
      <w:hyperlink r:id="rId122">
        <w:r>
          <w:rPr>
            <w:rStyle w:val="Hyperlink"/>
          </w:rPr>
          <w:t xml:space="preserve">https://doi.org/10.1257/jel.20231736</w:t>
        </w:r>
      </w:hyperlink>
      <w:r>
        <w:t xml:space="preserve">.</w:t>
      </w:r>
    </w:p>
    <w:bookmarkEnd w:id="123"/>
    <w:bookmarkStart w:id="125" w:name="ref-Korinek2025"/>
    <w:p>
      <w:pPr>
        <w:pStyle w:val="Bibliography"/>
      </w:pPr>
      <w:r>
        <w:t xml:space="preserve">Korinek, Anton. 2025.</w:t>
      </w:r>
      <w:r>
        <w:t xml:space="preserve"> </w:t>
      </w:r>
      <w:hyperlink r:id="rId124">
        <w:r>
          <w:rPr>
            <w:rStyle w:val="Hyperlink"/>
            <w:iCs/>
            <w:i/>
          </w:rPr>
          <w:t xml:space="preserve">AI</w:t>
        </w:r>
        <w:r>
          <w:rPr>
            <w:rStyle w:val="Hyperlink"/>
            <w:iCs/>
            <w:i/>
          </w:rPr>
          <w:t xml:space="preserve"> </w:t>
        </w:r>
        <w:r>
          <w:rPr>
            <w:rStyle w:val="Hyperlink"/>
            <w:iCs/>
            <w:i/>
          </w:rPr>
          <w:t xml:space="preserve">Agents for Economic Research</w:t>
        </w:r>
      </w:hyperlink>
      <w:r>
        <w:t xml:space="preserve">. National Bureau of Economic Research.</w:t>
      </w:r>
    </w:p>
    <w:bookmarkEnd w:id="125"/>
    <w:bookmarkStart w:id="127" w:name="ref-Moorthy2026"/>
    <w:p>
      <w:pPr>
        <w:pStyle w:val="Bibliography"/>
      </w:pPr>
      <w:r>
        <w:t xml:space="preserve">Krishna Moorthy, Sruthi M., Man Qi, Alice Rosen, Yadvinder Malhi, and Roberto Salguero-Gómez. 2026.</w:t>
      </w:r>
      <w:r>
        <w:t xml:space="preserve"> </w:t>
      </w:r>
      <w:r>
        <w:t xml:space="preserve">Context</w:t>
      </w:r>
      <w:r>
        <w:t xml:space="preserve">-Engineering</w:t>
      </w:r>
      <w:r>
        <w:t xml:space="preserve"> </w:t>
      </w:r>
      <w:r>
        <w:t xml:space="preserve">Large Language Models</w:t>
      </w:r>
      <w:r>
        <w:t xml:space="preserve"> </w:t>
      </w:r>
      <w:r>
        <w:t xml:space="preserve">for Scalable Structured Metadata Extraction in Ecological Literature Reviews.</w:t>
      </w:r>
      <w:r>
        <w:t xml:space="preserve"> </w:t>
      </w:r>
      <w:r>
        <w:rPr>
          <w:iCs/>
          <w:i/>
        </w:rPr>
        <w:t xml:space="preserve">Methods in Ecology and Evolution</w:t>
      </w:r>
      <w:r>
        <w:t xml:space="preserve">.</w:t>
      </w:r>
      <w:r>
        <w:t xml:space="preserve"> </w:t>
      </w:r>
      <w:hyperlink r:id="rId126">
        <w:r>
          <w:rPr>
            <w:rStyle w:val="Hyperlink"/>
          </w:rPr>
          <w:t xml:space="preserve">https://doi.org/10.1111/2041-210x.70403</w:t>
        </w:r>
      </w:hyperlink>
      <w:r>
        <w:t xml:space="preserve">.</w:t>
      </w:r>
    </w:p>
    <w:bookmarkEnd w:id="127"/>
    <w:bookmarkStart w:id="129" w:name="ref-Laban2025"/>
    <w:p>
      <w:pPr>
        <w:pStyle w:val="Bibliography"/>
      </w:pPr>
      <w:r>
        <w:t xml:space="preserve">Laban, Philippe, Hiroaki Hayashi, Yingbo Zhou, and Jennifer Neville. 2025.</w:t>
      </w:r>
      <w:r>
        <w:t xml:space="preserve"> </w:t>
      </w:r>
      <w:r>
        <w:t xml:space="preserve">LLMs</w:t>
      </w:r>
      <w:r>
        <w:t xml:space="preserve"> </w:t>
      </w:r>
      <w:r>
        <w:t xml:space="preserve">Get Lost in Multi-Turn Conversation.</w:t>
      </w:r>
      <w:r>
        <w:t xml:space="preserve"> </w:t>
      </w:r>
      <w:r>
        <w:rPr>
          <w:iCs/>
          <w:i/>
        </w:rPr>
        <w:t xml:space="preserve">arXiv.org</w:t>
      </w:r>
      <w:r>
        <w:t xml:space="preserve">.</w:t>
      </w:r>
      <w:r>
        <w:t xml:space="preserve"> </w:t>
      </w:r>
      <w:hyperlink r:id="rId128">
        <w:r>
          <w:rPr>
            <w:rStyle w:val="Hyperlink"/>
          </w:rPr>
          <w:t xml:space="preserve">https://doi.org/10.48550/arXiv.2505.06120</w:t>
        </w:r>
      </w:hyperlink>
      <w:r>
        <w:t xml:space="preserve">.</w:t>
      </w:r>
    </w:p>
    <w:bookmarkEnd w:id="129"/>
    <w:bookmarkStart w:id="131" w:name="ref-Leung2023"/>
    <w:p>
      <w:pPr>
        <w:pStyle w:val="Bibliography"/>
      </w:pPr>
      <w:r>
        <w:t xml:space="preserve">Leung, Tiffany I., Taiane de Azevedo Cardoso, Amaryllis Mavragani, and Gunther Eysenbach. 2023. Best Practices for Using AI Tools as an Author, Peer Reviewer, or Editor.</w:t>
      </w:r>
      <w:r>
        <w:t xml:space="preserve"> </w:t>
      </w:r>
      <w:r>
        <w:rPr>
          <w:iCs/>
          <w:i/>
        </w:rPr>
        <w:t xml:space="preserve">Journal of Medical Internet Research</w:t>
      </w:r>
      <w:r>
        <w:t xml:space="preserve"> </w:t>
      </w:r>
      <w:r>
        <w:t xml:space="preserve">25:e51584.</w:t>
      </w:r>
      <w:r>
        <w:t xml:space="preserve"> </w:t>
      </w:r>
      <w:hyperlink r:id="rId130">
        <w:r>
          <w:rPr>
            <w:rStyle w:val="Hyperlink"/>
          </w:rPr>
          <w:t xml:space="preserve">https://doi.org/10.2196/51584</w:t>
        </w:r>
      </w:hyperlink>
      <w:r>
        <w:t xml:space="preserve">.</w:t>
      </w:r>
    </w:p>
    <w:bookmarkEnd w:id="131"/>
    <w:bookmarkStart w:id="133" w:name="ref-Lin2026"/>
    <w:p>
      <w:pPr>
        <w:pStyle w:val="Bibliography"/>
      </w:pPr>
      <w:r>
        <w:t xml:space="preserve">Lin, Kevin Qinghong, Siyuan Hu, Pan Lu, Yu Chen, Yanzhe Chen, Owen Queen, Yupeng Chen, et al. 2026.</w:t>
      </w:r>
      <w:r>
        <w:t xml:space="preserve"> </w:t>
      </w:r>
      <w:r>
        <w:t xml:space="preserve">PaperDoctor</w:t>
      </w:r>
      <w:r>
        <w:t xml:space="preserve">: Evidence-Grounded and Actionable Feedback for Scientific Papers in Progress.</w:t>
      </w:r>
      <w:r>
        <w:t xml:space="preserve"> </w:t>
      </w:r>
      <w:r>
        <w:rPr>
          <w:iCs/>
          <w:i/>
        </w:rPr>
        <w:t xml:space="preserve">arXiv Preprint arXiv:2609.16995</w:t>
      </w:r>
      <w:r>
        <w:t xml:space="preserve">.</w:t>
      </w:r>
      <w:r>
        <w:t xml:space="preserve"> </w:t>
      </w:r>
      <w:hyperlink r:id="rId132">
        <w:r>
          <w:rPr>
            <w:rStyle w:val="Hyperlink"/>
          </w:rPr>
          <w:t xml:space="preserve">https://doi.org/10.48550/arXiv.2609.16995</w:t>
        </w:r>
      </w:hyperlink>
      <w:r>
        <w:t xml:space="preserve">.</w:t>
      </w:r>
    </w:p>
    <w:bookmarkEnd w:id="133"/>
    <w:bookmarkStart w:id="135" w:name="ref-Liu2026Dive"/>
    <w:p>
      <w:pPr>
        <w:pStyle w:val="Bibliography"/>
      </w:pPr>
      <w:r>
        <w:t xml:space="preserve">Liu, Jiacheng, Xiaohan Zhao, Xinyi Shang, and Zhiqiang Shen. 2026. Dive into</w:t>
      </w:r>
      <w:r>
        <w:t xml:space="preserve"> </w:t>
      </w:r>
      <w:r>
        <w:t xml:space="preserve">Claude Code</w:t>
      </w:r>
      <w:r>
        <w:t xml:space="preserve">: The Design Space of Today’s and Future</w:t>
      </w:r>
      <w:r>
        <w:t xml:space="preserve"> </w:t>
      </w:r>
      <w:r>
        <w:t xml:space="preserve">AI</w:t>
      </w:r>
      <w:r>
        <w:t xml:space="preserve"> </w:t>
      </w:r>
      <w:r>
        <w:t xml:space="preserve">Agent Systems.</w:t>
      </w:r>
      <w:r>
        <w:t xml:space="preserve"> </w:t>
      </w:r>
      <w:r>
        <w:rPr>
          <w:iCs/>
          <w:i/>
        </w:rPr>
        <w:t xml:space="preserve">arXiv Preprint arXiv:2604.14228</w:t>
      </w:r>
      <w:r>
        <w:t xml:space="preserve">.</w:t>
      </w:r>
      <w:r>
        <w:t xml:space="preserve"> </w:t>
      </w:r>
      <w:hyperlink r:id="rId134">
        <w:r>
          <w:rPr>
            <w:rStyle w:val="Hyperlink"/>
          </w:rPr>
          <w:t xml:space="preserve">https://doi.org/10.48550/arXiv.2604.14228</w:t>
        </w:r>
      </w:hyperlink>
      <w:r>
        <w:t xml:space="preserve">.</w:t>
      </w:r>
    </w:p>
    <w:bookmarkEnd w:id="135"/>
    <w:bookmarkStart w:id="137" w:name="ref-Longkumer2025Generative"/>
    <w:p>
      <w:pPr>
        <w:pStyle w:val="Bibliography"/>
      </w:pPr>
      <w:r>
        <w:t xml:space="preserve">Longkumer, Tiatemsu. 2025. Generative</w:t>
      </w:r>
      <w:r>
        <w:t xml:space="preserve"> </w:t>
      </w:r>
      <w:r>
        <w:t xml:space="preserve">AI</w:t>
      </w:r>
      <w:r>
        <w:t xml:space="preserve"> </w:t>
      </w:r>
      <w:r>
        <w:t xml:space="preserve">in</w:t>
      </w:r>
      <w:r>
        <w:t xml:space="preserve"> </w:t>
      </w:r>
      <w:r>
        <w:t xml:space="preserve">Anthropology</w:t>
      </w:r>
      <w:r>
        <w:t xml:space="preserve">: Redefining</w:t>
      </w:r>
      <w:r>
        <w:t xml:space="preserve"> </w:t>
      </w:r>
      <w:r>
        <w:t xml:space="preserve">Fieldwork</w:t>
      </w:r>
      <w:r>
        <w:t xml:space="preserve">,</w:t>
      </w:r>
      <w:r>
        <w:t xml:space="preserve"> </w:t>
      </w:r>
      <w:r>
        <w:t xml:space="preserve">Textualisation</w:t>
      </w:r>
      <w:r>
        <w:t xml:space="preserve">, and</w:t>
      </w:r>
      <w:r>
        <w:t xml:space="preserve"> </w:t>
      </w:r>
      <w:r>
        <w:t xml:space="preserve">Collaborative</w:t>
      </w:r>
      <w:r>
        <w:t xml:space="preserve"> </w:t>
      </w:r>
      <w:r>
        <w:t xml:space="preserve">Knowledge</w:t>
      </w:r>
      <w:r>
        <w:t xml:space="preserve"> </w:t>
      </w:r>
      <w:r>
        <w:t xml:space="preserve">Production</w:t>
      </w:r>
      <w:r>
        <w:t xml:space="preserve">.</w:t>
      </w:r>
      <w:r>
        <w:t xml:space="preserve"> </w:t>
      </w:r>
      <w:r>
        <w:rPr>
          <w:iCs/>
          <w:i/>
        </w:rPr>
        <w:t xml:space="preserve">Teaching Anthropology</w:t>
      </w:r>
      <w:r>
        <w:t xml:space="preserve"> </w:t>
      </w:r>
      <w:r>
        <w:t xml:space="preserve">14(2):118–130.</w:t>
      </w:r>
      <w:r>
        <w:t xml:space="preserve"> </w:t>
      </w:r>
      <w:hyperlink r:id="rId136">
        <w:r>
          <w:rPr>
            <w:rStyle w:val="Hyperlink"/>
          </w:rPr>
          <w:t xml:space="preserve">https://doi.org/10.22582/ta.v14i2.778</w:t>
        </w:r>
      </w:hyperlink>
      <w:r>
        <w:t xml:space="preserve">.</w:t>
      </w:r>
    </w:p>
    <w:bookmarkEnd w:id="137"/>
    <w:bookmarkStart w:id="139" w:name="ref-Lu2026"/>
    <w:p>
      <w:pPr>
        <w:pStyle w:val="Bibliography"/>
      </w:pPr>
      <w:r>
        <w:t xml:space="preserve">Lu, Chris, Cong Lu, Robert Tjarko Lange, Yutaro Yamada, Shengran Hu, Jakob Foerster, David Ha, et al. 2026. Towards End-to-End Automation of</w:t>
      </w:r>
      <w:r>
        <w:t xml:space="preserve"> </w:t>
      </w:r>
      <w:r>
        <w:t xml:space="preserve">AI</w:t>
      </w:r>
      <w:r>
        <w:t xml:space="preserve"> </w:t>
      </w:r>
      <w:r>
        <w:t xml:space="preserve">Research.</w:t>
      </w:r>
      <w:r>
        <w:t xml:space="preserve"> </w:t>
      </w:r>
      <w:r>
        <w:rPr>
          <w:iCs/>
          <w:i/>
        </w:rPr>
        <w:t xml:space="preserve">Nature</w:t>
      </w:r>
      <w:r>
        <w:t xml:space="preserve"> </w:t>
      </w:r>
      <w:r>
        <w:t xml:space="preserve">651:914–919.</w:t>
      </w:r>
      <w:r>
        <w:t xml:space="preserve"> </w:t>
      </w:r>
      <w:hyperlink r:id="rId138">
        <w:r>
          <w:rPr>
            <w:rStyle w:val="Hyperlink"/>
          </w:rPr>
          <w:t xml:space="preserve">https://doi.org/10.1038/s41586-026-10265-5</w:t>
        </w:r>
      </w:hyperlink>
      <w:r>
        <w:t xml:space="preserve">.</w:t>
      </w:r>
    </w:p>
    <w:bookmarkEnd w:id="139"/>
    <w:bookmarkStart w:id="141" w:name="ref-MBran2024"/>
    <w:p>
      <w:pPr>
        <w:pStyle w:val="Bibliography"/>
      </w:pPr>
      <w:r>
        <w:t xml:space="preserve">M. Bran, Andres, Sam Cox, Oliver Schilter, Carlo Baldassari, Andrew D. White, and Philippe Schwaller. 2024.</w:t>
      </w:r>
      <w:r>
        <w:t xml:space="preserve"> </w:t>
      </w:r>
      <w:r>
        <w:t xml:space="preserve">Augmenting Large Language Models With Chemistry Tools</w:t>
      </w:r>
      <w:r>
        <w:t xml:space="preserve">.</w:t>
      </w:r>
      <w:r>
        <w:t xml:space="preserve"> </w:t>
      </w:r>
      <w:r>
        <w:rPr>
          <w:iCs/>
          <w:i/>
        </w:rPr>
        <w:t xml:space="preserve">Nature Machine Intelligence</w:t>
      </w:r>
      <w:r>
        <w:t xml:space="preserve"> </w:t>
      </w:r>
      <w:r>
        <w:t xml:space="preserve">6(5):525–535.</w:t>
      </w:r>
      <w:r>
        <w:t xml:space="preserve"> </w:t>
      </w:r>
      <w:hyperlink r:id="rId140">
        <w:r>
          <w:rPr>
            <w:rStyle w:val="Hyperlink"/>
          </w:rPr>
          <w:t xml:space="preserve">https://doi.org/10.1038/s42256-024-00832-8</w:t>
        </w:r>
      </w:hyperlink>
      <w:r>
        <w:t xml:space="preserve">.</w:t>
      </w:r>
    </w:p>
    <w:bookmarkEnd w:id="141"/>
    <w:bookmarkStart w:id="143" w:name="ref-Marwick2017"/>
    <w:p>
      <w:pPr>
        <w:pStyle w:val="Bibliography"/>
      </w:pPr>
      <w:r>
        <w:t xml:space="preserve">Marwick, Ben. 2017. Computational Reproducibility in Archaeological Research: Basic Principles and a Case Study of Their Implementation.</w:t>
      </w:r>
      <w:r>
        <w:t xml:space="preserve"> </w:t>
      </w:r>
      <w:r>
        <w:rPr>
          <w:iCs/>
          <w:i/>
        </w:rPr>
        <w:t xml:space="preserve">Journal of Archaeological Method and Theory</w:t>
      </w:r>
      <w:r>
        <w:t xml:space="preserve"> </w:t>
      </w:r>
      <w:r>
        <w:t xml:space="preserve">24(2):424–450.</w:t>
      </w:r>
      <w:r>
        <w:t xml:space="preserve"> </w:t>
      </w:r>
      <w:hyperlink r:id="rId142">
        <w:r>
          <w:rPr>
            <w:rStyle w:val="Hyperlink"/>
          </w:rPr>
          <w:t xml:space="preserve">https://doi.org/10.1007/s10816-015-9272-9</w:t>
        </w:r>
      </w:hyperlink>
      <w:r>
        <w:t xml:space="preserve">.</w:t>
      </w:r>
    </w:p>
    <w:bookmarkEnd w:id="143"/>
    <w:bookmarkStart w:id="145" w:name="ref-Messeri2024"/>
    <w:p>
      <w:pPr>
        <w:pStyle w:val="Bibliography"/>
      </w:pPr>
      <w:r>
        <w:t xml:space="preserve">Messeri, Lisa, and M. J. Crockett. 2024. Artificial Intelligence and Illusions of Understanding in Scientific Research.</w:t>
      </w:r>
      <w:r>
        <w:t xml:space="preserve"> </w:t>
      </w:r>
      <w:r>
        <w:rPr>
          <w:iCs/>
          <w:i/>
        </w:rPr>
        <w:t xml:space="preserve">Nature</w:t>
      </w:r>
      <w:r>
        <w:t xml:space="preserve"> </w:t>
      </w:r>
      <w:r>
        <w:t xml:space="preserve">627(8002):49–58.</w:t>
      </w:r>
      <w:r>
        <w:t xml:space="preserve"> </w:t>
      </w:r>
      <w:hyperlink r:id="rId144">
        <w:r>
          <w:rPr>
            <w:rStyle w:val="Hyperlink"/>
          </w:rPr>
          <w:t xml:space="preserve">https://doi.org/10.1038/s41586-024-07146-0</w:t>
        </w:r>
      </w:hyperlink>
      <w:r>
        <w:t xml:space="preserve">.</w:t>
      </w:r>
    </w:p>
    <w:bookmarkEnd w:id="145"/>
    <w:bookmarkStart w:id="147" w:name="ref-Miao2026"/>
    <w:p>
      <w:pPr>
        <w:pStyle w:val="Bibliography"/>
      </w:pPr>
      <w:r>
        <w:t xml:space="preserve">Miao, Jiacheng, Jonathan K. Pritchard, and James Zou. 2026. The Agentic Garden of Forking Paths.</w:t>
      </w:r>
      <w:r>
        <w:t xml:space="preserve"> </w:t>
      </w:r>
      <w:r>
        <w:rPr>
          <w:iCs/>
          <w:i/>
        </w:rPr>
        <w:t xml:space="preserve">arXiv Preprint arXiv:2607.01507</w:t>
      </w:r>
      <w:r>
        <w:t xml:space="preserve">.</w:t>
      </w:r>
      <w:r>
        <w:t xml:space="preserve"> </w:t>
      </w:r>
      <w:hyperlink r:id="rId146">
        <w:r>
          <w:rPr>
            <w:rStyle w:val="Hyperlink"/>
          </w:rPr>
          <w:t xml:space="preserve">https://doi.org/10.48550/arXiv.2607.01507</w:t>
        </w:r>
      </w:hyperlink>
      <w:r>
        <w:t xml:space="preserve">.</w:t>
      </w:r>
    </w:p>
    <w:bookmarkEnd w:id="147"/>
    <w:bookmarkStart w:id="149" w:name="ref-Monakhov2026"/>
    <w:p>
      <w:pPr>
        <w:pStyle w:val="Bibliography"/>
      </w:pPr>
      <w:r>
        <w:t xml:space="preserve">Monakhov, Alexander Yu. 2026.</w:t>
      </w:r>
      <w:r>
        <w:t xml:space="preserve"> </w:t>
      </w:r>
      <w:hyperlink r:id="rId148">
        <w:r>
          <w:rPr>
            <w:rStyle w:val="Hyperlink"/>
          </w:rPr>
          <w:t xml:space="preserve">Governance as Cybernetics: Feedback, Control, and the</w:t>
        </w:r>
        <w:r>
          <w:rPr>
            <w:rStyle w:val="Hyperlink"/>
          </w:rPr>
          <w:t xml:space="preserve"> </w:t>
        </w:r>
        <w:r>
          <w:rPr>
            <w:rStyle w:val="Hyperlink"/>
          </w:rPr>
          <w:t xml:space="preserve">Human at the Helm</w:t>
        </w:r>
        <w:r>
          <w:rPr>
            <w:rStyle w:val="Hyperlink"/>
          </w:rPr>
          <w:t xml:space="preserve"> </w:t>
        </w:r>
        <w:r>
          <w:rPr>
            <w:rStyle w:val="Hyperlink"/>
          </w:rPr>
          <w:t xml:space="preserve">in the Regulation of Artificial Intelligence</w:t>
        </w:r>
      </w:hyperlink>
      <w:r>
        <w:t xml:space="preserve">. Elsevier BV.</w:t>
      </w:r>
    </w:p>
    <w:bookmarkEnd w:id="149"/>
    <w:bookmarkStart w:id="151" w:name="ref-NationalAcademies2026"/>
    <w:p>
      <w:pPr>
        <w:pStyle w:val="Bibliography"/>
      </w:pPr>
      <w:r>
        <w:t xml:space="preserve">National Academies of Sciences, Engineering, and Medicine. 2026.</w:t>
      </w:r>
      <w:r>
        <w:t xml:space="preserve"> </w:t>
      </w:r>
      <w:hyperlink r:id="rId150">
        <w:r>
          <w:rPr>
            <w:rStyle w:val="Hyperlink"/>
            <w:iCs/>
            <w:i/>
          </w:rPr>
          <w:t xml:space="preserve">On Being a Scientist: A Guide to the Responsible and Ethical Conduct of Research: Fourth Edition</w:t>
        </w:r>
      </w:hyperlink>
      <w:r>
        <w:t xml:space="preserve">. The National Academies Press, Washington, DC.</w:t>
      </w:r>
    </w:p>
    <w:bookmarkEnd w:id="151"/>
    <w:bookmarkStart w:id="153" w:name="ref-Nejjar2025"/>
    <w:p>
      <w:pPr>
        <w:pStyle w:val="Bibliography"/>
      </w:pPr>
      <w:r>
        <w:t xml:space="preserve">Nejjar, Mohamed, Luca Zacharias, Fabian Stiehle, and Ingo Weber. 2025.</w:t>
      </w:r>
      <w:r>
        <w:t xml:space="preserve"> </w:t>
      </w:r>
      <w:r>
        <w:t xml:space="preserve">LLMs for Science: Usage for Code Generation and Data Analysis</w:t>
      </w:r>
      <w:r>
        <w:t xml:space="preserve">.</w:t>
      </w:r>
      <w:r>
        <w:t xml:space="preserve"> </w:t>
      </w:r>
      <w:r>
        <w:rPr>
          <w:iCs/>
          <w:i/>
        </w:rPr>
        <w:t xml:space="preserve">Journal of Software: Evolution and Process</w:t>
      </w:r>
      <w:r>
        <w:t xml:space="preserve"> </w:t>
      </w:r>
      <w:r>
        <w:t xml:space="preserve">37:e2723.</w:t>
      </w:r>
      <w:r>
        <w:t xml:space="preserve"> </w:t>
      </w:r>
      <w:hyperlink r:id="rId152">
        <w:r>
          <w:rPr>
            <w:rStyle w:val="Hyperlink"/>
          </w:rPr>
          <w:t xml:space="preserve">https://doi.org/10.1002/smr.2723</w:t>
        </w:r>
      </w:hyperlink>
      <w:r>
        <w:t xml:space="preserve">.</w:t>
      </w:r>
    </w:p>
    <w:bookmarkEnd w:id="153"/>
    <w:bookmarkStart w:id="155" w:name="ref-Park2023"/>
    <w:p>
      <w:pPr>
        <w:pStyle w:val="Bibliography"/>
      </w:pPr>
      <w:r>
        <w:t xml:space="preserve">Park, Joon Sung, Joseph O’Brien, Carrie Jun Cai, Meredith Ringel Morris, Percy Liang, and Michael S. Bernstein. 2023.</w:t>
      </w:r>
      <w:r>
        <w:t xml:space="preserve"> </w:t>
      </w:r>
      <w:hyperlink r:id="rId154">
        <w:r>
          <w:rPr>
            <w:rStyle w:val="Hyperlink"/>
          </w:rPr>
          <w:t xml:space="preserve">Generative Agents: Interactive Simulacra of Human Behavior</w:t>
        </w:r>
      </w:hyperlink>
      <w:r>
        <w:t xml:space="preserve">, pp. 1–22.</w:t>
      </w:r>
    </w:p>
    <w:bookmarkEnd w:id="155"/>
    <w:bookmarkStart w:id="157" w:name="ref-Piper2026"/>
    <w:p>
      <w:pPr>
        <w:pStyle w:val="Bibliography"/>
      </w:pPr>
      <w:r>
        <w:t xml:space="preserve">Piper, Andrew. 2026. A Theory-First Approach Toward Using Generative AI for Humanities Research.</w:t>
      </w:r>
      <w:r>
        <w:t xml:space="preserve"> </w:t>
      </w:r>
      <w:r>
        <w:rPr>
          <w:iCs/>
          <w:i/>
        </w:rPr>
        <w:t xml:space="preserve">Computational Humanities Research</w:t>
      </w:r>
      <w:r>
        <w:t xml:space="preserve"> </w:t>
      </w:r>
      <w:r>
        <w:t xml:space="preserve">2:e18.</w:t>
      </w:r>
      <w:r>
        <w:t xml:space="preserve"> </w:t>
      </w:r>
      <w:hyperlink r:id="rId156">
        <w:r>
          <w:rPr>
            <w:rStyle w:val="Hyperlink"/>
          </w:rPr>
          <w:t xml:space="preserve">https://doi.org/10.1017/chr.2026.10039</w:t>
        </w:r>
      </w:hyperlink>
      <w:r>
        <w:t xml:space="preserve">.</w:t>
      </w:r>
    </w:p>
    <w:bookmarkEnd w:id="157"/>
    <w:bookmarkStart w:id="159" w:name="ref-QuartoDocs2026"/>
    <w:p>
      <w:pPr>
        <w:pStyle w:val="Bibliography"/>
      </w:pPr>
      <w:r>
        <w:t xml:space="preserve">Quarto.</w:t>
      </w:r>
      <w:r>
        <w:t xml:space="preserve"> </w:t>
      </w:r>
      <w:r>
        <w:t xml:space="preserve">Tutorial: Hello, Quarto</w:t>
      </w:r>
      <w:r>
        <w:t xml:space="preserve">.</w:t>
      </w:r>
      <w:r>
        <w:t xml:space="preserve"> </w:t>
      </w:r>
      <w:hyperlink r:id="rId158">
        <w:r>
          <w:rPr>
            <w:rStyle w:val="Hyperlink"/>
          </w:rPr>
          <w:t xml:space="preserve">https://quarto.org/docs/get-started/hello/rstudio.html</w:t>
        </w:r>
      </w:hyperlink>
      <w:r>
        <w:t xml:space="preserve">, accessed September 17, 2026.</w:t>
      </w:r>
    </w:p>
    <w:bookmarkEnd w:id="159"/>
    <w:bookmarkStart w:id="161" w:name="ref-Rafiee2025"/>
    <w:p>
      <w:pPr>
        <w:pStyle w:val="Bibliography"/>
      </w:pPr>
      <w:r>
        <w:t xml:space="preserve">Rafiee, Gholamreza, and Wai Lok Woo. 2025.</w:t>
      </w:r>
      <w:r>
        <w:t xml:space="preserve"> </w:t>
      </w:r>
      <w:r>
        <w:t xml:space="preserve">Agentic AI: A Review of Architecture, Governance, and Sustainable Goal-Directed Autonomy</w:t>
      </w:r>
      <w:r>
        <w:t xml:space="preserve">.</w:t>
      </w:r>
      <w:r>
        <w:t xml:space="preserve"> </w:t>
      </w:r>
      <w:r>
        <w:rPr>
          <w:iCs/>
          <w:i/>
        </w:rPr>
        <w:t xml:space="preserve">TechRxiv Preprint</w:t>
      </w:r>
      <w:r>
        <w:t xml:space="preserve">.</w:t>
      </w:r>
      <w:r>
        <w:t xml:space="preserve"> </w:t>
      </w:r>
      <w:hyperlink r:id="rId160">
        <w:r>
          <w:rPr>
            <w:rStyle w:val="Hyperlink"/>
          </w:rPr>
          <w:t xml:space="preserve">https://doi.org/10.36227/techrxiv.176703982.24212722/v1</w:t>
        </w:r>
      </w:hyperlink>
      <w:r>
        <w:t xml:space="preserve">.</w:t>
      </w:r>
    </w:p>
    <w:bookmarkEnd w:id="161"/>
    <w:bookmarkStart w:id="163" w:name="ref-Scheepens2024"/>
    <w:p>
      <w:pPr>
        <w:pStyle w:val="Bibliography"/>
      </w:pPr>
      <w:r>
        <w:t xml:space="preserve">Scheepens, Daan, Joseph Millard, Maxwell Farrell, and Tim Newbold. 2024.</w:t>
      </w:r>
      <w:r>
        <w:t xml:space="preserve"> </w:t>
      </w:r>
      <w:r>
        <w:t xml:space="preserve">Large Language Models</w:t>
      </w:r>
      <w:r>
        <w:t xml:space="preserve"> </w:t>
      </w:r>
      <w:r>
        <w:t xml:space="preserve">Help Facilitate the Automated Synthesis of Information on Potential Pest Controllers.</w:t>
      </w:r>
      <w:r>
        <w:t xml:space="preserve"> </w:t>
      </w:r>
      <w:r>
        <w:rPr>
          <w:iCs/>
          <w:i/>
        </w:rPr>
        <w:t xml:space="preserve">Methods in Ecology and Evolution</w:t>
      </w:r>
      <w:r>
        <w:t xml:space="preserve"> </w:t>
      </w:r>
      <w:r>
        <w:t xml:space="preserve">15(7):1261–1273.</w:t>
      </w:r>
      <w:r>
        <w:t xml:space="preserve"> </w:t>
      </w:r>
      <w:hyperlink r:id="rId162">
        <w:r>
          <w:rPr>
            <w:rStyle w:val="Hyperlink"/>
          </w:rPr>
          <w:t xml:space="preserve">https://doi.org/10.1111/2041-210X.14341</w:t>
        </w:r>
      </w:hyperlink>
      <w:r>
        <w:t xml:space="preserve">.</w:t>
      </w:r>
    </w:p>
    <w:bookmarkEnd w:id="163"/>
    <w:bookmarkStart w:id="165" w:name="ref-Schick2023"/>
    <w:p>
      <w:pPr>
        <w:pStyle w:val="Bibliography"/>
      </w:pPr>
      <w:r>
        <w:t xml:space="preserve">Schick, Timo, Jane Dwivedi-Yu, Roberto Dessi, Roberta Raileanu, Maria Lomeli, Eric Hambro, Luke Zettlemoyer, et al. 2023.</w:t>
      </w:r>
      <w:r>
        <w:t xml:space="preserve"> </w:t>
      </w:r>
      <w:hyperlink r:id="rId164">
        <w:r>
          <w:rPr>
            <w:rStyle w:val="Hyperlink"/>
          </w:rPr>
          <w:t xml:space="preserve">Toolformer: Language Models Can Teach Themselves to Use Tools</w:t>
        </w:r>
      </w:hyperlink>
      <w:r>
        <w:t xml:space="preserve">, pp. 68539–68551.</w:t>
      </w:r>
    </w:p>
    <w:bookmarkEnd w:id="165"/>
    <w:bookmarkStart w:id="167" w:name="ref-Schweinberger2026privacy"/>
    <w:p>
      <w:pPr>
        <w:pStyle w:val="Bibliography"/>
      </w:pPr>
      <w:r>
        <w:t xml:space="preserve">Schweinberger, Martin. 2026.</w:t>
      </w:r>
      <w:r>
        <w:t xml:space="preserve"> </w:t>
      </w:r>
      <w:r>
        <w:t xml:space="preserve">Privacy-Preserving Analysis with Local LLMs: Generating Synthetic Data Proxies</w:t>
      </w:r>
      <w:r>
        <w:t xml:space="preserve">.</w:t>
      </w:r>
      <w:r>
        <w:t xml:space="preserve"> </w:t>
      </w:r>
      <w:r>
        <w:t xml:space="preserve">The Language Technology and Data Analysis Laboratory (LADAL), The University of Queensland, Australia</w:t>
      </w:r>
      <w:r>
        <w:t xml:space="preserve">.</w:t>
      </w:r>
      <w:r>
        <w:t xml:space="preserve"> </w:t>
      </w:r>
      <w:hyperlink r:id="rId166">
        <w:r>
          <w:rPr>
            <w:rStyle w:val="Hyperlink"/>
          </w:rPr>
          <w:t xml:space="preserve">https://ladal.edu.au/tutorials/llm_privacy/llm_privacy.html</w:t>
        </w:r>
      </w:hyperlink>
      <w:r>
        <w:t xml:space="preserve">, accessed September 18, 2026.</w:t>
      </w:r>
    </w:p>
    <w:bookmarkEnd w:id="167"/>
    <w:bookmarkStart w:id="169" w:name="ref-Shaikhon2025"/>
    <w:p>
      <w:pPr>
        <w:pStyle w:val="Bibliography"/>
      </w:pPr>
      <w:r>
        <w:t xml:space="preserve">Shaikhon, Ahmed Motawea Hussein. 2025. Contextual Ethical Framework for Artificial Intelligence in the Management of Cultural Heritage.</w:t>
      </w:r>
      <w:r>
        <w:t xml:space="preserve"> </w:t>
      </w:r>
      <w:r>
        <w:rPr>
          <w:iCs/>
          <w:i/>
        </w:rPr>
        <w:t xml:space="preserve">STAR: Science and Technology of Archaeological Research</w:t>
      </w:r>
      <w:r>
        <w:t xml:space="preserve"> </w:t>
      </w:r>
      <w:r>
        <w:t xml:space="preserve">11(1).</w:t>
      </w:r>
      <w:r>
        <w:t xml:space="preserve"> </w:t>
      </w:r>
      <w:hyperlink r:id="rId168">
        <w:r>
          <w:rPr>
            <w:rStyle w:val="Hyperlink"/>
          </w:rPr>
          <w:t xml:space="preserve">https://doi.org/10.1080/20548923.2025.2564519</w:t>
        </w:r>
      </w:hyperlink>
      <w:r>
        <w:t xml:space="preserve">.</w:t>
      </w:r>
    </w:p>
    <w:bookmarkEnd w:id="169"/>
    <w:bookmarkStart w:id="171" w:name="ref-Taylor2023"/>
    <w:p>
      <w:pPr>
        <w:pStyle w:val="Bibliography"/>
      </w:pPr>
      <w:r>
        <w:t xml:space="preserve">Taylor, Matthew E. 2023.</w:t>
      </w:r>
      <w:r>
        <w:t xml:space="preserve"> </w:t>
      </w:r>
      <w:hyperlink r:id="rId170">
        <w:r>
          <w:rPr>
            <w:rStyle w:val="Hyperlink"/>
          </w:rPr>
          <w:t xml:space="preserve">Reinforcement Learning Requires</w:t>
        </w:r>
        <w:r>
          <w:rPr>
            <w:rStyle w:val="Hyperlink"/>
          </w:rPr>
          <w:t xml:space="preserve"> </w:t>
        </w:r>
        <w:r>
          <w:rPr>
            <w:rStyle w:val="Hyperlink"/>
          </w:rPr>
          <w:t xml:space="preserve">Human-in-the-Loop</w:t>
        </w:r>
        <w:r>
          <w:rPr>
            <w:rStyle w:val="Hyperlink"/>
          </w:rPr>
          <w:t xml:space="preserve"> </w:t>
        </w:r>
        <w:r>
          <w:rPr>
            <w:rStyle w:val="Hyperlink"/>
          </w:rPr>
          <w:t xml:space="preserve">Framing and Approaches</w:t>
        </w:r>
      </w:hyperlink>
      <w:r>
        <w:t xml:space="preserve">. In</w:t>
      </w:r>
      <w:r>
        <w:t xml:space="preserve"> </w:t>
      </w:r>
      <w:r>
        <w:rPr>
          <w:iCs/>
          <w:i/>
        </w:rPr>
        <w:t xml:space="preserve">HHAI 2023: Augmenting Human Intellect</w:t>
      </w:r>
      <w:r>
        <w:t xml:space="preserve">. IOS Press.</w:t>
      </w:r>
    </w:p>
    <w:bookmarkEnd w:id="171"/>
    <w:bookmarkStart w:id="173" w:name="ref-Tenzer2024"/>
    <w:p>
      <w:pPr>
        <w:pStyle w:val="Bibliography"/>
      </w:pPr>
      <w:r>
        <w:t xml:space="preserve">Tenzer, Martina, Giada Pistilli, Alex Bransden, and Alex Shenfield. 2024. Debating</w:t>
      </w:r>
      <w:r>
        <w:t xml:space="preserve"> </w:t>
      </w:r>
      <w:r>
        <w:t xml:space="preserve">AI</w:t>
      </w:r>
      <w:r>
        <w:t xml:space="preserve"> </w:t>
      </w:r>
      <w:r>
        <w:t xml:space="preserve">in Archaeology: Applications, Implications, and Ethical Considerations.</w:t>
      </w:r>
      <w:r>
        <w:t xml:space="preserve"> </w:t>
      </w:r>
      <w:r>
        <w:rPr>
          <w:iCs/>
          <w:i/>
        </w:rPr>
        <w:t xml:space="preserve">Internet Archaeology</w:t>
      </w:r>
      <w:r>
        <w:t xml:space="preserve">(67).</w:t>
      </w:r>
      <w:r>
        <w:t xml:space="preserve"> </w:t>
      </w:r>
      <w:hyperlink r:id="rId172">
        <w:r>
          <w:rPr>
            <w:rStyle w:val="Hyperlink"/>
          </w:rPr>
          <w:t xml:space="preserve">https://doi.org/10.11141/ia.67.8</w:t>
        </w:r>
      </w:hyperlink>
      <w:r>
        <w:t xml:space="preserve">.</w:t>
      </w:r>
    </w:p>
    <w:bookmarkEnd w:id="173"/>
    <w:bookmarkStart w:id="175" w:name="ref-RoyalSociety2024"/>
    <w:p>
      <w:pPr>
        <w:pStyle w:val="Bibliography"/>
      </w:pPr>
      <w:r>
        <w:t xml:space="preserve">The Royal Society. 2024.</w:t>
      </w:r>
      <w:r>
        <w:t xml:space="preserve"> </w:t>
      </w:r>
      <w:hyperlink r:id="rId174">
        <w:r>
          <w:rPr>
            <w:rStyle w:val="Hyperlink"/>
            <w:iCs/>
            <w:i/>
          </w:rPr>
          <w:t xml:space="preserve">Science</w:t>
        </w:r>
        <w:r>
          <w:rPr>
            <w:rStyle w:val="Hyperlink"/>
            <w:iCs/>
            <w:i/>
          </w:rPr>
          <w:t xml:space="preserve"> </w:t>
        </w:r>
        <w:r>
          <w:rPr>
            <w:rStyle w:val="Hyperlink"/>
            <w:iCs/>
            <w:i/>
          </w:rPr>
          <w:t xml:space="preserve">in the</w:t>
        </w:r>
        <w:r>
          <w:rPr>
            <w:rStyle w:val="Hyperlink"/>
            <w:iCs/>
            <w:i/>
          </w:rPr>
          <w:t xml:space="preserve"> </w:t>
        </w:r>
        <w:r>
          <w:rPr>
            <w:rStyle w:val="Hyperlink"/>
            <w:iCs/>
            <w:i/>
          </w:rPr>
          <w:t xml:space="preserve">Age</w:t>
        </w:r>
        <w:r>
          <w:rPr>
            <w:rStyle w:val="Hyperlink"/>
            <w:iCs/>
            <w:i/>
          </w:rPr>
          <w:t xml:space="preserve"> </w:t>
        </w:r>
        <w:r>
          <w:rPr>
            <w:rStyle w:val="Hyperlink"/>
            <w:iCs/>
            <w:i/>
          </w:rPr>
          <w:t xml:space="preserve">of</w:t>
        </w:r>
        <w:r>
          <w:rPr>
            <w:rStyle w:val="Hyperlink"/>
            <w:iCs/>
            <w:i/>
          </w:rPr>
          <w:t xml:space="preserve"> </w:t>
        </w:r>
        <w:r>
          <w:rPr>
            <w:rStyle w:val="Hyperlink"/>
            <w:iCs/>
            <w:i/>
          </w:rPr>
          <w:t xml:space="preserve">AI</w:t>
        </w:r>
        <w:r>
          <w:rPr>
            <w:rStyle w:val="Hyperlink"/>
            <w:iCs/>
            <w:i/>
          </w:rPr>
          <w:t xml:space="preserve">:</w:t>
        </w:r>
        <w:r>
          <w:rPr>
            <w:rStyle w:val="Hyperlink"/>
            <w:iCs/>
            <w:i/>
          </w:rPr>
          <w:t xml:space="preserve"> </w:t>
        </w:r>
        <w:r>
          <w:rPr>
            <w:rStyle w:val="Hyperlink"/>
            <w:iCs/>
            <w:i/>
          </w:rPr>
          <w:t xml:space="preserve">How</w:t>
        </w:r>
        <w:r>
          <w:rPr>
            <w:rStyle w:val="Hyperlink"/>
            <w:iCs/>
            <w:i/>
          </w:rPr>
          <w:t xml:space="preserve"> </w:t>
        </w:r>
        <w:r>
          <w:rPr>
            <w:rStyle w:val="Hyperlink"/>
            <w:iCs/>
            <w:i/>
          </w:rPr>
          <w:t xml:space="preserve">Artificial Intelligence Is Changing the Nature and Method of Scientific Research</w:t>
        </w:r>
      </w:hyperlink>
      <w:r>
        <w:t xml:space="preserve">. The Royal Society, London.</w:t>
      </w:r>
    </w:p>
    <w:bookmarkEnd w:id="175"/>
    <w:bookmarkStart w:id="177" w:name="ref-Walters2023"/>
    <w:p>
      <w:pPr>
        <w:pStyle w:val="Bibliography"/>
      </w:pPr>
      <w:r>
        <w:t xml:space="preserve">Walters, William H., and Esther Isabelle Wilder. 2023. Fabrication and Errors in the Bibliographic Citations Generated by</w:t>
      </w:r>
      <w:r>
        <w:t xml:space="preserve"> </w:t>
      </w:r>
      <w:r>
        <w:t xml:space="preserve">ChatGPT</w:t>
      </w:r>
      <w:r>
        <w:t xml:space="preserve">.</w:t>
      </w:r>
      <w:r>
        <w:t xml:space="preserve"> </w:t>
      </w:r>
      <w:r>
        <w:rPr>
          <w:iCs/>
          <w:i/>
        </w:rPr>
        <w:t xml:space="preserve">Scientific Reports</w:t>
      </w:r>
      <w:r>
        <w:t xml:space="preserve"> </w:t>
      </w:r>
      <w:r>
        <w:t xml:space="preserve">13(1).</w:t>
      </w:r>
      <w:r>
        <w:t xml:space="preserve"> </w:t>
      </w:r>
      <w:hyperlink r:id="rId176">
        <w:r>
          <w:rPr>
            <w:rStyle w:val="Hyperlink"/>
          </w:rPr>
          <w:t xml:space="preserve">https://doi.org/10.1038/s41598-023-41032-5</w:t>
        </w:r>
      </w:hyperlink>
      <w:r>
        <w:t xml:space="preserve">.</w:t>
      </w:r>
    </w:p>
    <w:bookmarkEnd w:id="177"/>
    <w:bookmarkStart w:id="179" w:name="ref-Wang2024"/>
    <w:p>
      <w:pPr>
        <w:pStyle w:val="Bibliography"/>
      </w:pPr>
      <w:r>
        <w:t xml:space="preserve">Wang, Lei, Chen Ma, Xueyang Feng, Zeyu Zhang, Hao Yang, Jingsen Zhang, Zhiyuan Chen, et al. 2024.</w:t>
      </w:r>
      <w:r>
        <w:t xml:space="preserve"> </w:t>
      </w:r>
      <w:r>
        <w:t xml:space="preserve">A Survey on Large Language Model Based Autonomous Agents</w:t>
      </w:r>
      <w:r>
        <w:t xml:space="preserve">.</w:t>
      </w:r>
      <w:r>
        <w:t xml:space="preserve"> </w:t>
      </w:r>
      <w:r>
        <w:rPr>
          <w:iCs/>
          <w:i/>
        </w:rPr>
        <w:t xml:space="preserve">Frontiers of Computer Science</w:t>
      </w:r>
      <w:r>
        <w:t xml:space="preserve"> </w:t>
      </w:r>
      <w:r>
        <w:t xml:space="preserve">18(6).</w:t>
      </w:r>
      <w:r>
        <w:t xml:space="preserve"> </w:t>
      </w:r>
      <w:hyperlink r:id="rId178">
        <w:r>
          <w:rPr>
            <w:rStyle w:val="Hyperlink"/>
          </w:rPr>
          <w:t xml:space="preserve">https://doi.org/10.1007/s11704-024-40231-1</w:t>
        </w:r>
      </w:hyperlink>
      <w:r>
        <w:t xml:space="preserve">.</w:t>
      </w:r>
    </w:p>
    <w:bookmarkEnd w:id="179"/>
    <w:bookmarkStart w:id="181" w:name="ref-Wickham2019"/>
    <w:p>
      <w:pPr>
        <w:pStyle w:val="Bibliography"/>
      </w:pPr>
      <w:r>
        <w:t xml:space="preserve">Wickham, Hadley, Mara Averick, Jennifer Bryan, Winston Chang, Lucy D’Agostino McGowan, Romain François, Garrett Grolemund, et al. 2019. Welcome to the</w:t>
      </w:r>
      <w:r>
        <w:t xml:space="preserve"> </w:t>
      </w:r>
      <w:r>
        <w:t xml:space="preserve">Tidyverse</w:t>
      </w:r>
      <w:r>
        <w:t xml:space="preserve">.</w:t>
      </w:r>
      <w:r>
        <w:t xml:space="preserve"> </w:t>
      </w:r>
      <w:r>
        <w:rPr>
          <w:iCs/>
          <w:i/>
        </w:rPr>
        <w:t xml:space="preserve">Journal of Open Source Software</w:t>
      </w:r>
      <w:r>
        <w:t xml:space="preserve"> </w:t>
      </w:r>
      <w:r>
        <w:t xml:space="preserve">4(43):1686.</w:t>
      </w:r>
      <w:r>
        <w:t xml:space="preserve"> </w:t>
      </w:r>
      <w:hyperlink r:id="rId180">
        <w:r>
          <w:rPr>
            <w:rStyle w:val="Hyperlink"/>
          </w:rPr>
          <w:t xml:space="preserve">https://doi.org/10.21105/joss.01686</w:t>
        </w:r>
      </w:hyperlink>
      <w:r>
        <w:t xml:space="preserve">.</w:t>
      </w:r>
    </w:p>
    <w:bookmarkEnd w:id="181"/>
    <w:bookmarkStart w:id="183" w:name="ref-Wiest2024"/>
    <w:p>
      <w:pPr>
        <w:pStyle w:val="Bibliography"/>
      </w:pPr>
      <w:r>
        <w:t xml:space="preserve">Wiest, Isabella Catharina, Dyke Ferber, Jiefu Zhu, Marko van Treeck, Sonja K. Meyer, Radhika Juglan, Zunamys I. Carrero, et al. 2024.</w:t>
      </w:r>
      <w:r>
        <w:t xml:space="preserve"> </w:t>
      </w:r>
      <w:r>
        <w:t xml:space="preserve">Privacy-Preserving Large Language Models for Structured Medical Information Retrieval</w:t>
      </w:r>
      <w:r>
        <w:t xml:space="preserve">.</w:t>
      </w:r>
      <w:r>
        <w:t xml:space="preserve"> </w:t>
      </w:r>
      <w:r>
        <w:rPr>
          <w:iCs/>
          <w:i/>
        </w:rPr>
        <w:t xml:space="preserve">Npj Digital Medicine</w:t>
      </w:r>
      <w:r>
        <w:t xml:space="preserve"> </w:t>
      </w:r>
      <w:r>
        <w:t xml:space="preserve">7(1):257.</w:t>
      </w:r>
      <w:r>
        <w:t xml:space="preserve"> </w:t>
      </w:r>
      <w:hyperlink r:id="rId182">
        <w:r>
          <w:rPr>
            <w:rStyle w:val="Hyperlink"/>
          </w:rPr>
          <w:t xml:space="preserve">https://doi.org/10.1038/s41746-024-01233-2</w:t>
        </w:r>
      </w:hyperlink>
      <w:r>
        <w:t xml:space="preserve">.</w:t>
      </w:r>
    </w:p>
    <w:bookmarkEnd w:id="183"/>
    <w:bookmarkStart w:id="185" w:name="ref-Xu2026"/>
    <w:p>
      <w:pPr>
        <w:pStyle w:val="Bibliography"/>
      </w:pPr>
      <w:r>
        <w:t xml:space="preserve">Xu, Renjun, and Yang Yan. 2026. Agent</w:t>
      </w:r>
      <w:r>
        <w:t xml:space="preserve"> </w:t>
      </w:r>
      <w:r>
        <w:t xml:space="preserve">Skills</w:t>
      </w:r>
      <w:r>
        <w:t xml:space="preserve"> </w:t>
      </w:r>
      <w:r>
        <w:t xml:space="preserve">for</w:t>
      </w:r>
      <w:r>
        <w:t xml:space="preserve"> </w:t>
      </w:r>
      <w:r>
        <w:t xml:space="preserve">Large Language Models</w:t>
      </w:r>
      <w:r>
        <w:t xml:space="preserve">: Architecture, Acquisition, Security, and the Path Forward.</w:t>
      </w:r>
      <w:r>
        <w:t xml:space="preserve"> </w:t>
      </w:r>
      <w:r>
        <w:rPr>
          <w:iCs/>
          <w:i/>
        </w:rPr>
        <w:t xml:space="preserve">arXiv.org</w:t>
      </w:r>
      <w:r>
        <w:t xml:space="preserve">.</w:t>
      </w:r>
      <w:r>
        <w:t xml:space="preserve"> </w:t>
      </w:r>
      <w:hyperlink r:id="rId184">
        <w:r>
          <w:rPr>
            <w:rStyle w:val="Hyperlink"/>
          </w:rPr>
          <w:t xml:space="preserve">https://doi.org/10.48550/arXiv.2602.12430</w:t>
        </w:r>
      </w:hyperlink>
      <w:r>
        <w:t xml:space="preserve">.</w:t>
      </w:r>
    </w:p>
    <w:bookmarkEnd w:id="185"/>
    <w:bookmarkStart w:id="187" w:name="ref-Xu2024"/>
    <w:p>
      <w:pPr>
        <w:pStyle w:val="Bibliography"/>
      </w:pPr>
      <w:r>
        <w:t xml:space="preserve">Xu, Xiaojun, Yixiao Chen, and Jing Miao. 2024.</w:t>
      </w:r>
      <w:r>
        <w:t xml:space="preserve"> </w:t>
      </w:r>
      <w:r>
        <w:t xml:space="preserve">Opportunities, Challenges, and Future Directions of Large Language Models, Including ChatGPT in Medical Education: A Systematic Scoping Review</w:t>
      </w:r>
      <w:r>
        <w:t xml:space="preserve">.</w:t>
      </w:r>
      <w:r>
        <w:t xml:space="preserve"> </w:t>
      </w:r>
      <w:r>
        <w:rPr>
          <w:iCs/>
          <w:i/>
        </w:rPr>
        <w:t xml:space="preserve">Journal of Educational Evaluation for Health Professions</w:t>
      </w:r>
      <w:r>
        <w:t xml:space="preserve"> </w:t>
      </w:r>
      <w:r>
        <w:t xml:space="preserve">21:6.</w:t>
      </w:r>
      <w:r>
        <w:t xml:space="preserve"> </w:t>
      </w:r>
      <w:hyperlink r:id="rId186">
        <w:r>
          <w:rPr>
            <w:rStyle w:val="Hyperlink"/>
          </w:rPr>
          <w:t xml:space="preserve">https://doi.org/10.3352/jeehp.2024.21.6</w:t>
        </w:r>
      </w:hyperlink>
      <w:r>
        <w:t xml:space="preserve">.</w:t>
      </w:r>
    </w:p>
    <w:bookmarkEnd w:id="187"/>
    <w:bookmarkStart w:id="189" w:name="ref-ZamfirescuPereira2023"/>
    <w:p>
      <w:pPr>
        <w:pStyle w:val="Bibliography"/>
      </w:pPr>
      <w:r>
        <w:t xml:space="preserve">Zamfirescu-Pereira, J. D., Richmond Y. Wong, Bjoern Hartmann, and Qian Yang. 2023.</w:t>
      </w:r>
      <w:r>
        <w:t xml:space="preserve"> </w:t>
      </w:r>
      <w:hyperlink r:id="rId188">
        <w:r>
          <w:rPr>
            <w:rStyle w:val="Hyperlink"/>
          </w:rPr>
          <w:t xml:space="preserve">Why Johnny Can’t Prompt: How Non-AI Experts Try (and Fail) to Design LLM Prompts</w:t>
        </w:r>
      </w:hyperlink>
      <w:r>
        <w:t xml:space="preserve">, New York, NY, USA.</w:t>
      </w:r>
    </w:p>
    <w:bookmarkEnd w:id="189"/>
    <w:bookmarkStart w:id="191" w:name="ref-Zanzotto2019"/>
    <w:p>
      <w:pPr>
        <w:pStyle w:val="Bibliography"/>
      </w:pPr>
      <w:r>
        <w:t xml:space="preserve">Zanzotto, Fabio Massimo. 2019. Viewpoint:</w:t>
      </w:r>
      <w:r>
        <w:t xml:space="preserve"> </w:t>
      </w:r>
      <w:r>
        <w:t xml:space="preserve">Human-in-the-loop Artificial Intelligence</w:t>
      </w:r>
      <w:r>
        <w:t xml:space="preserve">.</w:t>
      </w:r>
      <w:r>
        <w:t xml:space="preserve"> </w:t>
      </w:r>
      <w:r>
        <w:rPr>
          <w:iCs/>
          <w:i/>
        </w:rPr>
        <w:t xml:space="preserve">Journal of Artificial Intelligence Research</w:t>
      </w:r>
      <w:r>
        <w:t xml:space="preserve"> </w:t>
      </w:r>
      <w:r>
        <w:t xml:space="preserve">64:243–252.</w:t>
      </w:r>
      <w:r>
        <w:t xml:space="preserve"> </w:t>
      </w:r>
      <w:hyperlink r:id="rId190">
        <w:r>
          <w:rPr>
            <w:rStyle w:val="Hyperlink"/>
          </w:rPr>
          <w:t xml:space="preserve">https://doi.org/10.1613/jair.1.11345</w:t>
        </w:r>
      </w:hyperlink>
      <w:r>
        <w:t xml:space="preserve">.</w:t>
      </w:r>
    </w:p>
    <w:bookmarkEnd w:id="191"/>
    <w:bookmarkStart w:id="193" w:name="ref-Zhang2025"/>
    <w:p>
      <w:pPr>
        <w:pStyle w:val="Bibliography"/>
      </w:pPr>
      <w:r>
        <w:t xml:space="preserve">Zhang, Yanbo, Sumeer A. Khan, Adnan Mahmud, Huck Yang, Alexander Lavin, Michael Levin, Jeremy Frey, et al. 2025.</w:t>
      </w:r>
      <w:r>
        <w:t xml:space="preserve"> </w:t>
      </w:r>
      <w:r>
        <w:t xml:space="preserve">Exploring the Role of Large Language Models in the Scientific Method: From Hypothesis to Discovery</w:t>
      </w:r>
      <w:r>
        <w:t xml:space="preserve">.</w:t>
      </w:r>
      <w:r>
        <w:t xml:space="preserve"> </w:t>
      </w:r>
      <w:r>
        <w:rPr>
          <w:iCs/>
          <w:i/>
        </w:rPr>
        <w:t xml:space="preserve">Npj Artificial Intelligence</w:t>
      </w:r>
      <w:r>
        <w:t xml:space="preserve"> </w:t>
      </w:r>
      <w:r>
        <w:t xml:space="preserve">1:14.</w:t>
      </w:r>
      <w:r>
        <w:t xml:space="preserve"> </w:t>
      </w:r>
      <w:hyperlink r:id="rId192">
        <w:r>
          <w:rPr>
            <w:rStyle w:val="Hyperlink"/>
          </w:rPr>
          <w:t xml:space="preserve">https://doi.org/10.1038/s44387-025-00019-5</w:t>
        </w:r>
      </w:hyperlink>
      <w:r>
        <w:t xml:space="preserve">.</w:t>
      </w:r>
    </w:p>
    <w:bookmarkEnd w:id="193"/>
    <w:bookmarkStart w:id="195" w:name="ref-Zhang2026Vibe"/>
    <w:p>
      <w:pPr>
        <w:pStyle w:val="Bibliography"/>
      </w:pPr>
      <w:r>
        <w:t xml:space="preserve">Zhang, Yongjun. 2026. Vibe Researching: Can</w:t>
      </w:r>
      <w:r>
        <w:t xml:space="preserve"> </w:t>
      </w:r>
      <w:r>
        <w:t xml:space="preserve">AI</w:t>
      </w:r>
      <w:r>
        <w:t xml:space="preserve"> </w:t>
      </w:r>
      <w:r>
        <w:t xml:space="preserve">Agents with Skills Replace or Augment Social Scientists?</w:t>
      </w:r>
      <w:r>
        <w:t xml:space="preserve"> </w:t>
      </w:r>
      <w:r>
        <w:rPr>
          <w:iCs/>
          <w:i/>
        </w:rPr>
        <w:t xml:space="preserve">Chinese Sociological Review</w:t>
      </w:r>
      <w:r>
        <w:t xml:space="preserve">:1–36.</w:t>
      </w:r>
      <w:r>
        <w:t xml:space="preserve"> </w:t>
      </w:r>
      <w:hyperlink r:id="rId194">
        <w:r>
          <w:rPr>
            <w:rStyle w:val="Hyperlink"/>
          </w:rPr>
          <w:t xml:space="preserve">https://doi.org/10.1080/21620555.2026.2707167</w:t>
        </w:r>
      </w:hyperlink>
      <w:r>
        <w:t xml:space="preserve">.</w:t>
      </w:r>
    </w:p>
    <w:bookmarkEnd w:id="195"/>
    <w:bookmarkStart w:id="197" w:name="ref-Zheng2024"/>
    <w:p>
      <w:pPr>
        <w:pStyle w:val="Bibliography"/>
      </w:pPr>
      <w:r>
        <w:t xml:space="preserve">Zheng, Zibin, Kaiwen Ning, Yanlin Wang, Jingwen Zhang, Dewu Zheng, Mingxi Ye, and Jiachi Chen. 2024. A Survey of Large Language Models for Code: Evolution, Benchmarking, and Future Trends.</w:t>
      </w:r>
      <w:r>
        <w:t xml:space="preserve"> </w:t>
      </w:r>
      <w:r>
        <w:rPr>
          <w:iCs/>
          <w:i/>
        </w:rPr>
        <w:t xml:space="preserve">arXiv Preprint arXiv:2311.10372</w:t>
      </w:r>
      <w:r>
        <w:t xml:space="preserve">.</w:t>
      </w:r>
      <w:r>
        <w:t xml:space="preserve"> </w:t>
      </w:r>
      <w:hyperlink r:id="rId196">
        <w:r>
          <w:rPr>
            <w:rStyle w:val="Hyperlink"/>
          </w:rPr>
          <w:t xml:space="preserve">https://doi.org/10.48550/arXiv.2311.10372</w:t>
        </w:r>
      </w:hyperlink>
      <w:r>
        <w:t xml:space="preserve">.</w:t>
      </w:r>
    </w:p>
    <w:bookmarkEnd w:id="197"/>
    <w:bookmarkStart w:id="199" w:name="ref-Ziems2024"/>
    <w:p>
      <w:pPr>
        <w:pStyle w:val="Bibliography"/>
      </w:pPr>
      <w:r>
        <w:t xml:space="preserve">Ziems, Caleb, William Held, Omar Shaikh, Jiaao Chen, Zhehao Zhang, and Diyi Yang. 2024. Can Large Language Models Transform Computational Social Science?</w:t>
      </w:r>
      <w:r>
        <w:t xml:space="preserve"> </w:t>
      </w:r>
      <w:r>
        <w:rPr>
          <w:iCs/>
          <w:i/>
        </w:rPr>
        <w:t xml:space="preserve">Computational Linguistics</w:t>
      </w:r>
      <w:r>
        <w:t xml:space="preserve"> </w:t>
      </w:r>
      <w:r>
        <w:t xml:space="preserve">50(1):237–291.</w:t>
      </w:r>
      <w:r>
        <w:t xml:space="preserve"> </w:t>
      </w:r>
      <w:hyperlink r:id="rId198">
        <w:r>
          <w:rPr>
            <w:rStyle w:val="Hyperlink"/>
          </w:rPr>
          <w:t xml:space="preserve">https://doi.org/10.1162/coli_a_00502</w:t>
        </w:r>
      </w:hyperlink>
      <w:r>
        <w:t xml:space="preserve">.</w:t>
      </w:r>
    </w:p>
    <w:bookmarkEnd w:id="199"/>
    <w:bookmarkStart w:id="201" w:name="ref-Zimmer2026"/>
    <w:p>
      <w:pPr>
        <w:pStyle w:val="Bibliography"/>
      </w:pPr>
      <w:r>
        <w:t xml:space="preserve">Zimmer, Max, Nico Pelleriti, Christophe Roux, and Sebastian Pokutta. 2026. The Agentic Researcher: A Practical Guide to AI-Assisted Research in Mathematics and Machine Learning.</w:t>
      </w:r>
      <w:r>
        <w:t xml:space="preserve"> </w:t>
      </w:r>
      <w:r>
        <w:rPr>
          <w:iCs/>
          <w:i/>
        </w:rPr>
        <w:t xml:space="preserve">arXiv Preprint arXiv:2603.15914</w:t>
      </w:r>
      <w:r>
        <w:t xml:space="preserve">.</w:t>
      </w:r>
      <w:r>
        <w:t xml:space="preserve"> </w:t>
      </w:r>
      <w:hyperlink r:id="rId200">
        <w:r>
          <w:rPr>
            <w:rStyle w:val="Hyperlink"/>
          </w:rPr>
          <w:t xml:space="preserve">https://doi.org/10.48550/arXiv.2603.15914</w:t>
        </w:r>
      </w:hyperlink>
      <w:r>
        <w:t xml:space="preserve">.</w:t>
      </w:r>
    </w:p>
    <w:bookmarkEnd w:id="201"/>
    <w:bookmarkEnd w:id="202"/>
    <w:bookmarkEnd w:id="203"/>
    <w:sectPr w:rsidR="00BB20FA" w:rsidSect="004E284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FD048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4B2267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57734625" w:numId="1">
    <w:abstractNumId w:val="0"/>
  </w:num>
  <w:num w16cid:durableId="488792786"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9A0D53"/>
    <w:pPr>
      <w:keepNext/>
      <w:keepLines/>
      <w:pageBreakBefore/>
      <w:spacing w:after="40" w:before="80" w:line="20" w:lineRule="exact"/>
      <w:outlineLvl w:val="4"/>
    </w:pPr>
    <w:rPr>
      <w:rFonts w:cstheme="majorBidi" w:eastAsiaTheme="majorEastAsia"/>
      <w:color w:themeColor="background1" w:val="FFFFFF"/>
      <w:sz w:val="1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8A21D1"/>
    <w:pPr>
      <w:spacing w:after="36" w:before="36"/>
    </w:pPr>
    <w:rPr>
      <w:rFonts w:ascii="Arial" w:hAnsi="Arial"/>
      <w:sz w:val="16"/>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9A0D53"/>
    <w:rPr>
      <w:rFonts w:cstheme="majorBidi" w:eastAsiaTheme="majorEastAsia"/>
      <w:color w:themeColor="background1" w:val="FFFFFF"/>
      <w:sz w:val="1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A87B81"/>
    <w:rPr>
      <w:rFonts w:ascii="Arial" w:hAnsi="Arial"/>
      <w:sz w:val="16"/>
      <w:szCs w:val="20"/>
      <w:lang w:eastAsia="en-US"/>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4E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hyperlink" Id="rId76" Target="https://ai.google/static/documents/AI-in-Science.pdf" TargetMode="External" /><Relationship Type="http://schemas.openxmlformats.org/officeDocument/2006/relationships/hyperlink" Id="rId48" Target="https://arxiv.org/abs/2609.00006" TargetMode="External" /><Relationship Type="http://schemas.openxmlformats.org/officeDocument/2006/relationships/hyperlink" Id="rId152" Target="https://doi.org/10.1002/smr.2723" TargetMode="External" /><Relationship Type="http://schemas.openxmlformats.org/officeDocument/2006/relationships/hyperlink" Id="rId106" Target="https://doi.org/10.1007/978-3-032-02049-9_6" TargetMode="External" /><Relationship Type="http://schemas.openxmlformats.org/officeDocument/2006/relationships/hyperlink" Id="rId44" Target="https://doi.org/10.1007/s00146-026-03287-0" TargetMode="External" /><Relationship Type="http://schemas.openxmlformats.org/officeDocument/2006/relationships/hyperlink" Id="rId142" Target="https://doi.org/10.1007/s10816-015-9272-9" TargetMode="External" /><Relationship Type="http://schemas.openxmlformats.org/officeDocument/2006/relationships/hyperlink" Id="rId178" Target="https://doi.org/10.1007/s11704-024-40231-1" TargetMode="External" /><Relationship Type="http://schemas.openxmlformats.org/officeDocument/2006/relationships/hyperlink" Id="rId86" Target="https://doi.org/10.1007/s12599-023-00834-7" TargetMode="External" /><Relationship Type="http://schemas.openxmlformats.org/officeDocument/2006/relationships/hyperlink" Id="rId88" Target="https://doi.org/10.1016/j.culher.2024.11.020" TargetMode="External" /><Relationship Type="http://schemas.openxmlformats.org/officeDocument/2006/relationships/hyperlink" Id="rId118" Target="https://doi.org/10.1016/j.lindif.2023.102274" TargetMode="External" /><Relationship Type="http://schemas.openxmlformats.org/officeDocument/2006/relationships/hyperlink" Id="rId104" Target="https://doi.org/10.1016/j.sftr.2025.101152" TargetMode="External" /><Relationship Type="http://schemas.openxmlformats.org/officeDocument/2006/relationships/hyperlink" Id="rId80" Target="https://doi.org/10.1017/aap.2026.10173" TargetMode="External" /><Relationship Type="http://schemas.openxmlformats.org/officeDocument/2006/relationships/hyperlink" Id="rId156" Target="https://doi.org/10.1017/chr.2026.10039" TargetMode="External" /><Relationship Type="http://schemas.openxmlformats.org/officeDocument/2006/relationships/hyperlink" Id="rId58" Target="https://doi.org/10.1038/s41586-023-06792-0" TargetMode="External" /><Relationship Type="http://schemas.openxmlformats.org/officeDocument/2006/relationships/hyperlink" Id="rId144" Target="https://doi.org/10.1038/s41586-024-07146-0" TargetMode="External" /><Relationship Type="http://schemas.openxmlformats.org/officeDocument/2006/relationships/hyperlink" Id="rId138" Target="https://doi.org/10.1038/s41586-026-10265-5" TargetMode="External" /><Relationship Type="http://schemas.openxmlformats.org/officeDocument/2006/relationships/hyperlink" Id="rId176" Target="https://doi.org/10.1038/s41598-023-41032-5" TargetMode="External" /><Relationship Type="http://schemas.openxmlformats.org/officeDocument/2006/relationships/hyperlink" Id="rId182" Target="https://doi.org/10.1038/s41746-024-01233-2" TargetMode="External" /><Relationship Type="http://schemas.openxmlformats.org/officeDocument/2006/relationships/hyperlink" Id="rId140" Target="https://doi.org/10.1038/s42256-024-00832-8" TargetMode="External" /><Relationship Type="http://schemas.openxmlformats.org/officeDocument/2006/relationships/hyperlink" Id="rId96" Target="https://doi.org/10.1038/s43586-022-00184-w" TargetMode="External" /><Relationship Type="http://schemas.openxmlformats.org/officeDocument/2006/relationships/hyperlink" Id="rId92" Target="https://doi.org/10.1038/s44185-024-00043-9" TargetMode="External" /><Relationship Type="http://schemas.openxmlformats.org/officeDocument/2006/relationships/hyperlink" Id="rId192" Target="https://doi.org/10.1038/s44387-025-00019-5" TargetMode="External" /><Relationship Type="http://schemas.openxmlformats.org/officeDocument/2006/relationships/hyperlink" Id="rId102" Target="https://doi.org/10.1057/s41599-026-08832-2" TargetMode="External" /><Relationship Type="http://schemas.openxmlformats.org/officeDocument/2006/relationships/hyperlink" Id="rId46" Target="https://doi.org/10.1073/pnas.2314021121" TargetMode="External" /><Relationship Type="http://schemas.openxmlformats.org/officeDocument/2006/relationships/hyperlink" Id="rId52" Target="https://doi.org/10.1073/pnas.2606495123" TargetMode="External" /><Relationship Type="http://schemas.openxmlformats.org/officeDocument/2006/relationships/hyperlink" Id="rId112" Target="https://doi.org/10.1080/00187259.2026.2714301" TargetMode="External" /><Relationship Type="http://schemas.openxmlformats.org/officeDocument/2006/relationships/hyperlink" Id="rId90" Target="https://doi.org/10.1080/10584609.2023.2290497" TargetMode="External" /><Relationship Type="http://schemas.openxmlformats.org/officeDocument/2006/relationships/hyperlink" Id="rId168" Target="https://doi.org/10.1080/20548923.2025.2564519" TargetMode="External" /><Relationship Type="http://schemas.openxmlformats.org/officeDocument/2006/relationships/hyperlink" Id="rId194" Target="https://doi.org/10.1080/21620555.2026.2707167" TargetMode="External" /><Relationship Type="http://schemas.openxmlformats.org/officeDocument/2006/relationships/hyperlink" Id="rId84" Target="https://doi.org/10.1093/jmammal/gyaf082" TargetMode="External" /><Relationship Type="http://schemas.openxmlformats.org/officeDocument/2006/relationships/hyperlink" Id="rId174" Target="https://doi.org/10.1098/rs-policy.2026-31" TargetMode="External" /><Relationship Type="http://schemas.openxmlformats.org/officeDocument/2006/relationships/hyperlink" Id="rId78" Target="https://doi.org/10.1111/2041-210X.14325" TargetMode="External" /><Relationship Type="http://schemas.openxmlformats.org/officeDocument/2006/relationships/hyperlink" Id="rId162" Target="https://doi.org/10.1111/2041-210X.14341" TargetMode="External" /><Relationship Type="http://schemas.openxmlformats.org/officeDocument/2006/relationships/hyperlink" Id="rId70" Target="https://doi.org/10.1111/2041-210X.14396" TargetMode="External" /><Relationship Type="http://schemas.openxmlformats.org/officeDocument/2006/relationships/hyperlink" Id="rId66" Target="https://doi.org/10.1111/2041-210x.70267" TargetMode="External" /><Relationship Type="http://schemas.openxmlformats.org/officeDocument/2006/relationships/hyperlink" Id="rId126" Target="https://doi.org/10.1111/2041-210x.70403" TargetMode="External" /><Relationship Type="http://schemas.openxmlformats.org/officeDocument/2006/relationships/hyperlink" Id="rId64" Target="https://doi.org/10.1111/faf.70079" TargetMode="External" /><Relationship Type="http://schemas.openxmlformats.org/officeDocument/2006/relationships/hyperlink" Id="rId172" Target="https://doi.org/10.11141/ia.67.8" TargetMode="External" /><Relationship Type="http://schemas.openxmlformats.org/officeDocument/2006/relationships/hyperlink" Id="rId116" Target="https://doi.org/10.11141/ia.71.15" TargetMode="External" /><Relationship Type="http://schemas.openxmlformats.org/officeDocument/2006/relationships/hyperlink" Id="rId98" Target="https://doi.org/10.1126/science.adi1778" TargetMode="External" /><Relationship Type="http://schemas.openxmlformats.org/officeDocument/2006/relationships/hyperlink" Id="rId188" Target="https://doi.org/10.1145/3544548.3581388" TargetMode="External" /><Relationship Type="http://schemas.openxmlformats.org/officeDocument/2006/relationships/hyperlink" Id="rId154" Target="https://doi.org/10.1145/3586183.3606763" TargetMode="External" /><Relationship Type="http://schemas.openxmlformats.org/officeDocument/2006/relationships/hyperlink" Id="rId108" Target="https://doi.org/10.1145/3796519" TargetMode="External" /><Relationship Type="http://schemas.openxmlformats.org/officeDocument/2006/relationships/hyperlink" Id="rId42" Target="https://doi.org/10.1146/annurev-soc-011824-104836" TargetMode="External" /><Relationship Type="http://schemas.openxmlformats.org/officeDocument/2006/relationships/hyperlink" Id="rId198" Target="https://doi.org/10.1162/coli_a_00502" TargetMode="External" /><Relationship Type="http://schemas.openxmlformats.org/officeDocument/2006/relationships/hyperlink" Id="rId122" Target="https://doi.org/10.1257/jel.20231736" TargetMode="External" /><Relationship Type="http://schemas.openxmlformats.org/officeDocument/2006/relationships/hyperlink" Id="rId82" Target="https://doi.org/10.1287/orsc.2025.21838" TargetMode="External" /><Relationship Type="http://schemas.openxmlformats.org/officeDocument/2006/relationships/hyperlink" Id="rId56" Target="https://doi.org/10.1371/journal.pcbi.1004668" TargetMode="External" /><Relationship Type="http://schemas.openxmlformats.org/officeDocument/2006/relationships/hyperlink" Id="rId60" Target="https://doi.org/10.1371/journal.pcbi.1014428" TargetMode="External" /><Relationship Type="http://schemas.openxmlformats.org/officeDocument/2006/relationships/hyperlink" Id="rId110" Target="https://doi.org/10.1371/journal.pone.0317084" TargetMode="External" /><Relationship Type="http://schemas.openxmlformats.org/officeDocument/2006/relationships/hyperlink" Id="rId190" Target="https://doi.org/10.1613/jair.1.11345" TargetMode="External" /><Relationship Type="http://schemas.openxmlformats.org/officeDocument/2006/relationships/hyperlink" Id="rId150" Target="https://doi.org/10.17226/29488" TargetMode="External" /><Relationship Type="http://schemas.openxmlformats.org/officeDocument/2006/relationships/hyperlink" Id="rId180" Target="https://doi.org/10.21105/joss.01686" TargetMode="External" /><Relationship Type="http://schemas.openxmlformats.org/officeDocument/2006/relationships/hyperlink" Id="rId148" Target="https://doi.org/10.2139/ssrn.7011058" TargetMode="External" /><Relationship Type="http://schemas.openxmlformats.org/officeDocument/2006/relationships/hyperlink" Id="rId130" Target="https://doi.org/10.2196/51584" TargetMode="External" /><Relationship Type="http://schemas.openxmlformats.org/officeDocument/2006/relationships/hyperlink" Id="rId136" Target="https://doi.org/10.22582/ta.v14i2.778" TargetMode="External" /><Relationship Type="http://schemas.openxmlformats.org/officeDocument/2006/relationships/hyperlink" Id="rId100" Target="https://doi.org/10.24963/ijcai.2024/890" TargetMode="External" /><Relationship Type="http://schemas.openxmlformats.org/officeDocument/2006/relationships/hyperlink" Id="rId54" Target="https://doi.org/10.31235/osf.io/azs6r_v1" TargetMode="External" /><Relationship Type="http://schemas.openxmlformats.org/officeDocument/2006/relationships/hyperlink" Id="rId170" Target="https://doi.org/10.3233/faia230098" TargetMode="External" /><Relationship Type="http://schemas.openxmlformats.org/officeDocument/2006/relationships/hyperlink" Id="rId186" Target="https://doi.org/10.3352/jeehp.2024.21.6" TargetMode="External" /><Relationship Type="http://schemas.openxmlformats.org/officeDocument/2006/relationships/hyperlink" Id="rId120" Target="https://doi.org/10.35566/jbds/jikim" TargetMode="External" /><Relationship Type="http://schemas.openxmlformats.org/officeDocument/2006/relationships/hyperlink" Id="rId160" Target="https://doi.org/10.36227/techrxiv.176703982.24212722/v1" TargetMode="External" /><Relationship Type="http://schemas.openxmlformats.org/officeDocument/2006/relationships/hyperlink" Id="rId50" Target="https://doi.org/10.4337/9781802204131.00014" TargetMode="External" /><Relationship Type="http://schemas.openxmlformats.org/officeDocument/2006/relationships/hyperlink" Id="rId114" Target="https://doi.org/10.4337/9781802204131.00019" TargetMode="External" /><Relationship Type="http://schemas.openxmlformats.org/officeDocument/2006/relationships/hyperlink" Id="rId74" Target="https://doi.org/10.48550/arXiv.2304.05128" TargetMode="External" /><Relationship Type="http://schemas.openxmlformats.org/officeDocument/2006/relationships/hyperlink" Id="rId196" Target="https://doi.org/10.48550/arXiv.2311.10372" TargetMode="External" /><Relationship Type="http://schemas.openxmlformats.org/officeDocument/2006/relationships/hyperlink" Id="rId128" Target="https://doi.org/10.48550/arXiv.2505.06120" TargetMode="External" /><Relationship Type="http://schemas.openxmlformats.org/officeDocument/2006/relationships/hyperlink" Id="rId94" Target="https://doi.org/10.48550/arXiv.2601.22638" TargetMode="External" /><Relationship Type="http://schemas.openxmlformats.org/officeDocument/2006/relationships/hyperlink" Id="rId184" Target="https://doi.org/10.48550/arXiv.2602.12430" TargetMode="External" /><Relationship Type="http://schemas.openxmlformats.org/officeDocument/2006/relationships/hyperlink" Id="rId200" Target="https://doi.org/10.48550/arXiv.2603.15914" TargetMode="External" /><Relationship Type="http://schemas.openxmlformats.org/officeDocument/2006/relationships/hyperlink" Id="rId134" Target="https://doi.org/10.48550/arXiv.2604.14228" TargetMode="External" /><Relationship Type="http://schemas.openxmlformats.org/officeDocument/2006/relationships/hyperlink" Id="rId146" Target="https://doi.org/10.48550/arXiv.2607.01507" TargetMode="External" /><Relationship Type="http://schemas.openxmlformats.org/officeDocument/2006/relationships/hyperlink" Id="rId72" Target="https://doi.org/10.48550/arXiv.2609.11198" TargetMode="External" /><Relationship Type="http://schemas.openxmlformats.org/officeDocument/2006/relationships/hyperlink" Id="rId132" Target="https://doi.org/10.48550/arXiv.2609.16995" TargetMode="External" /><Relationship Type="http://schemas.openxmlformats.org/officeDocument/2006/relationships/hyperlink" Id="rId164" Target="https://doi.org/10.52202/075280-2997" TargetMode="External" /><Relationship Type="http://schemas.openxmlformats.org/officeDocument/2006/relationships/hyperlink" Id="rId166" Target="https://ladal.edu.au/tutorials/llm_privacy/llm_privacy.html" TargetMode="External" /><Relationship Type="http://schemas.openxmlformats.org/officeDocument/2006/relationships/hyperlink" Id="rId158" Target="https://quarto.org/docs/get-started/hello/rstudio.html" TargetMode="External" /><Relationship Type="http://schemas.openxmlformats.org/officeDocument/2006/relationships/hyperlink" Id="rId68" Target="https://vitaexmachina.substack.com/p/running-local-large-language-models" TargetMode="External" /><Relationship Type="http://schemas.openxmlformats.org/officeDocument/2006/relationships/hyperlink" Id="rId124" Target="https://www.nber.org/papers/w34202" TargetMode="External" /><Relationship Type="http://schemas.openxmlformats.org/officeDocument/2006/relationships/hyperlink" Id="rId62" Target="https://www.seascapemodels.org/AI-assistants-for-scientific-coding/" TargetMode="External" /></Relationships>
</file>

<file path=word/_rels/footnotes.xml.rels><?xml version="1.0" encoding="UTF-8"?><Relationships xmlns="http://schemas.openxmlformats.org/package/2006/relationships"><Relationship Type="http://schemas.openxmlformats.org/officeDocument/2006/relationships/hyperlink" Id="rId76" Target="https://ai.google/static/documents/AI-in-Science.pdf" TargetMode="External" /><Relationship Type="http://schemas.openxmlformats.org/officeDocument/2006/relationships/hyperlink" Id="rId48" Target="https://arxiv.org/abs/2609.00006" TargetMode="External" /><Relationship Type="http://schemas.openxmlformats.org/officeDocument/2006/relationships/hyperlink" Id="rId152" Target="https://doi.org/10.1002/smr.2723" TargetMode="External" /><Relationship Type="http://schemas.openxmlformats.org/officeDocument/2006/relationships/hyperlink" Id="rId106" Target="https://doi.org/10.1007/978-3-032-02049-9_6" TargetMode="External" /><Relationship Type="http://schemas.openxmlformats.org/officeDocument/2006/relationships/hyperlink" Id="rId44" Target="https://doi.org/10.1007/s00146-026-03287-0" TargetMode="External" /><Relationship Type="http://schemas.openxmlformats.org/officeDocument/2006/relationships/hyperlink" Id="rId142" Target="https://doi.org/10.1007/s10816-015-9272-9" TargetMode="External" /><Relationship Type="http://schemas.openxmlformats.org/officeDocument/2006/relationships/hyperlink" Id="rId178" Target="https://doi.org/10.1007/s11704-024-40231-1" TargetMode="External" /><Relationship Type="http://schemas.openxmlformats.org/officeDocument/2006/relationships/hyperlink" Id="rId86" Target="https://doi.org/10.1007/s12599-023-00834-7" TargetMode="External" /><Relationship Type="http://schemas.openxmlformats.org/officeDocument/2006/relationships/hyperlink" Id="rId88" Target="https://doi.org/10.1016/j.culher.2024.11.020" TargetMode="External" /><Relationship Type="http://schemas.openxmlformats.org/officeDocument/2006/relationships/hyperlink" Id="rId118" Target="https://doi.org/10.1016/j.lindif.2023.102274" TargetMode="External" /><Relationship Type="http://schemas.openxmlformats.org/officeDocument/2006/relationships/hyperlink" Id="rId104" Target="https://doi.org/10.1016/j.sftr.2025.101152" TargetMode="External" /><Relationship Type="http://schemas.openxmlformats.org/officeDocument/2006/relationships/hyperlink" Id="rId80" Target="https://doi.org/10.1017/aap.2026.10173" TargetMode="External" /><Relationship Type="http://schemas.openxmlformats.org/officeDocument/2006/relationships/hyperlink" Id="rId156" Target="https://doi.org/10.1017/chr.2026.10039" TargetMode="External" /><Relationship Type="http://schemas.openxmlformats.org/officeDocument/2006/relationships/hyperlink" Id="rId58" Target="https://doi.org/10.1038/s41586-023-06792-0" TargetMode="External" /><Relationship Type="http://schemas.openxmlformats.org/officeDocument/2006/relationships/hyperlink" Id="rId144" Target="https://doi.org/10.1038/s41586-024-07146-0" TargetMode="External" /><Relationship Type="http://schemas.openxmlformats.org/officeDocument/2006/relationships/hyperlink" Id="rId138" Target="https://doi.org/10.1038/s41586-026-10265-5" TargetMode="External" /><Relationship Type="http://schemas.openxmlformats.org/officeDocument/2006/relationships/hyperlink" Id="rId176" Target="https://doi.org/10.1038/s41598-023-41032-5" TargetMode="External" /><Relationship Type="http://schemas.openxmlformats.org/officeDocument/2006/relationships/hyperlink" Id="rId182" Target="https://doi.org/10.1038/s41746-024-01233-2" TargetMode="External" /><Relationship Type="http://schemas.openxmlformats.org/officeDocument/2006/relationships/hyperlink" Id="rId140" Target="https://doi.org/10.1038/s42256-024-00832-8" TargetMode="External" /><Relationship Type="http://schemas.openxmlformats.org/officeDocument/2006/relationships/hyperlink" Id="rId96" Target="https://doi.org/10.1038/s43586-022-00184-w" TargetMode="External" /><Relationship Type="http://schemas.openxmlformats.org/officeDocument/2006/relationships/hyperlink" Id="rId92" Target="https://doi.org/10.1038/s44185-024-00043-9" TargetMode="External" /><Relationship Type="http://schemas.openxmlformats.org/officeDocument/2006/relationships/hyperlink" Id="rId192" Target="https://doi.org/10.1038/s44387-025-00019-5" TargetMode="External" /><Relationship Type="http://schemas.openxmlformats.org/officeDocument/2006/relationships/hyperlink" Id="rId102" Target="https://doi.org/10.1057/s41599-026-08832-2" TargetMode="External" /><Relationship Type="http://schemas.openxmlformats.org/officeDocument/2006/relationships/hyperlink" Id="rId46" Target="https://doi.org/10.1073/pnas.2314021121" TargetMode="External" /><Relationship Type="http://schemas.openxmlformats.org/officeDocument/2006/relationships/hyperlink" Id="rId52" Target="https://doi.org/10.1073/pnas.2606495123" TargetMode="External" /><Relationship Type="http://schemas.openxmlformats.org/officeDocument/2006/relationships/hyperlink" Id="rId112" Target="https://doi.org/10.1080/00187259.2026.2714301" TargetMode="External" /><Relationship Type="http://schemas.openxmlformats.org/officeDocument/2006/relationships/hyperlink" Id="rId90" Target="https://doi.org/10.1080/10584609.2023.2290497" TargetMode="External" /><Relationship Type="http://schemas.openxmlformats.org/officeDocument/2006/relationships/hyperlink" Id="rId168" Target="https://doi.org/10.1080/20548923.2025.2564519" TargetMode="External" /><Relationship Type="http://schemas.openxmlformats.org/officeDocument/2006/relationships/hyperlink" Id="rId194" Target="https://doi.org/10.1080/21620555.2026.2707167" TargetMode="External" /><Relationship Type="http://schemas.openxmlformats.org/officeDocument/2006/relationships/hyperlink" Id="rId84" Target="https://doi.org/10.1093/jmammal/gyaf082" TargetMode="External" /><Relationship Type="http://schemas.openxmlformats.org/officeDocument/2006/relationships/hyperlink" Id="rId174" Target="https://doi.org/10.1098/rs-policy.2026-31" TargetMode="External" /><Relationship Type="http://schemas.openxmlformats.org/officeDocument/2006/relationships/hyperlink" Id="rId78" Target="https://doi.org/10.1111/2041-210X.14325" TargetMode="External" /><Relationship Type="http://schemas.openxmlformats.org/officeDocument/2006/relationships/hyperlink" Id="rId162" Target="https://doi.org/10.1111/2041-210X.14341" TargetMode="External" /><Relationship Type="http://schemas.openxmlformats.org/officeDocument/2006/relationships/hyperlink" Id="rId70" Target="https://doi.org/10.1111/2041-210X.14396" TargetMode="External" /><Relationship Type="http://schemas.openxmlformats.org/officeDocument/2006/relationships/hyperlink" Id="rId66" Target="https://doi.org/10.1111/2041-210x.70267" TargetMode="External" /><Relationship Type="http://schemas.openxmlformats.org/officeDocument/2006/relationships/hyperlink" Id="rId126" Target="https://doi.org/10.1111/2041-210x.70403" TargetMode="External" /><Relationship Type="http://schemas.openxmlformats.org/officeDocument/2006/relationships/hyperlink" Id="rId64" Target="https://doi.org/10.1111/faf.70079" TargetMode="External" /><Relationship Type="http://schemas.openxmlformats.org/officeDocument/2006/relationships/hyperlink" Id="rId172" Target="https://doi.org/10.11141/ia.67.8" TargetMode="External" /><Relationship Type="http://schemas.openxmlformats.org/officeDocument/2006/relationships/hyperlink" Id="rId116" Target="https://doi.org/10.11141/ia.71.15" TargetMode="External" /><Relationship Type="http://schemas.openxmlformats.org/officeDocument/2006/relationships/hyperlink" Id="rId98" Target="https://doi.org/10.1126/science.adi1778" TargetMode="External" /><Relationship Type="http://schemas.openxmlformats.org/officeDocument/2006/relationships/hyperlink" Id="rId188" Target="https://doi.org/10.1145/3544548.3581388" TargetMode="External" /><Relationship Type="http://schemas.openxmlformats.org/officeDocument/2006/relationships/hyperlink" Id="rId154" Target="https://doi.org/10.1145/3586183.3606763" TargetMode="External" /><Relationship Type="http://schemas.openxmlformats.org/officeDocument/2006/relationships/hyperlink" Id="rId108" Target="https://doi.org/10.1145/3796519" TargetMode="External" /><Relationship Type="http://schemas.openxmlformats.org/officeDocument/2006/relationships/hyperlink" Id="rId42" Target="https://doi.org/10.1146/annurev-soc-011824-104836" TargetMode="External" /><Relationship Type="http://schemas.openxmlformats.org/officeDocument/2006/relationships/hyperlink" Id="rId198" Target="https://doi.org/10.1162/coli_a_00502" TargetMode="External" /><Relationship Type="http://schemas.openxmlformats.org/officeDocument/2006/relationships/hyperlink" Id="rId122" Target="https://doi.org/10.1257/jel.20231736" TargetMode="External" /><Relationship Type="http://schemas.openxmlformats.org/officeDocument/2006/relationships/hyperlink" Id="rId82" Target="https://doi.org/10.1287/orsc.2025.21838" TargetMode="External" /><Relationship Type="http://schemas.openxmlformats.org/officeDocument/2006/relationships/hyperlink" Id="rId56" Target="https://doi.org/10.1371/journal.pcbi.1004668" TargetMode="External" /><Relationship Type="http://schemas.openxmlformats.org/officeDocument/2006/relationships/hyperlink" Id="rId60" Target="https://doi.org/10.1371/journal.pcbi.1014428" TargetMode="External" /><Relationship Type="http://schemas.openxmlformats.org/officeDocument/2006/relationships/hyperlink" Id="rId110" Target="https://doi.org/10.1371/journal.pone.0317084" TargetMode="External" /><Relationship Type="http://schemas.openxmlformats.org/officeDocument/2006/relationships/hyperlink" Id="rId190" Target="https://doi.org/10.1613/jair.1.11345" TargetMode="External" /><Relationship Type="http://schemas.openxmlformats.org/officeDocument/2006/relationships/hyperlink" Id="rId150" Target="https://doi.org/10.17226/29488" TargetMode="External" /><Relationship Type="http://schemas.openxmlformats.org/officeDocument/2006/relationships/hyperlink" Id="rId180" Target="https://doi.org/10.21105/joss.01686" TargetMode="External" /><Relationship Type="http://schemas.openxmlformats.org/officeDocument/2006/relationships/hyperlink" Id="rId148" Target="https://doi.org/10.2139/ssrn.7011058" TargetMode="External" /><Relationship Type="http://schemas.openxmlformats.org/officeDocument/2006/relationships/hyperlink" Id="rId130" Target="https://doi.org/10.2196/51584" TargetMode="External" /><Relationship Type="http://schemas.openxmlformats.org/officeDocument/2006/relationships/hyperlink" Id="rId136" Target="https://doi.org/10.22582/ta.v14i2.778" TargetMode="External" /><Relationship Type="http://schemas.openxmlformats.org/officeDocument/2006/relationships/hyperlink" Id="rId100" Target="https://doi.org/10.24963/ijcai.2024/890" TargetMode="External" /><Relationship Type="http://schemas.openxmlformats.org/officeDocument/2006/relationships/hyperlink" Id="rId54" Target="https://doi.org/10.31235/osf.io/azs6r_v1" TargetMode="External" /><Relationship Type="http://schemas.openxmlformats.org/officeDocument/2006/relationships/hyperlink" Id="rId170" Target="https://doi.org/10.3233/faia230098" TargetMode="External" /><Relationship Type="http://schemas.openxmlformats.org/officeDocument/2006/relationships/hyperlink" Id="rId186" Target="https://doi.org/10.3352/jeehp.2024.21.6" TargetMode="External" /><Relationship Type="http://schemas.openxmlformats.org/officeDocument/2006/relationships/hyperlink" Id="rId120" Target="https://doi.org/10.35566/jbds/jikim" TargetMode="External" /><Relationship Type="http://schemas.openxmlformats.org/officeDocument/2006/relationships/hyperlink" Id="rId160" Target="https://doi.org/10.36227/techrxiv.176703982.24212722/v1" TargetMode="External" /><Relationship Type="http://schemas.openxmlformats.org/officeDocument/2006/relationships/hyperlink" Id="rId50" Target="https://doi.org/10.4337/9781802204131.00014" TargetMode="External" /><Relationship Type="http://schemas.openxmlformats.org/officeDocument/2006/relationships/hyperlink" Id="rId114" Target="https://doi.org/10.4337/9781802204131.00019" TargetMode="External" /><Relationship Type="http://schemas.openxmlformats.org/officeDocument/2006/relationships/hyperlink" Id="rId74" Target="https://doi.org/10.48550/arXiv.2304.05128" TargetMode="External" /><Relationship Type="http://schemas.openxmlformats.org/officeDocument/2006/relationships/hyperlink" Id="rId196" Target="https://doi.org/10.48550/arXiv.2311.10372" TargetMode="External" /><Relationship Type="http://schemas.openxmlformats.org/officeDocument/2006/relationships/hyperlink" Id="rId128" Target="https://doi.org/10.48550/arXiv.2505.06120" TargetMode="External" /><Relationship Type="http://schemas.openxmlformats.org/officeDocument/2006/relationships/hyperlink" Id="rId94" Target="https://doi.org/10.48550/arXiv.2601.22638" TargetMode="External" /><Relationship Type="http://schemas.openxmlformats.org/officeDocument/2006/relationships/hyperlink" Id="rId184" Target="https://doi.org/10.48550/arXiv.2602.12430" TargetMode="External" /><Relationship Type="http://schemas.openxmlformats.org/officeDocument/2006/relationships/hyperlink" Id="rId200" Target="https://doi.org/10.48550/arXiv.2603.15914" TargetMode="External" /><Relationship Type="http://schemas.openxmlformats.org/officeDocument/2006/relationships/hyperlink" Id="rId134" Target="https://doi.org/10.48550/arXiv.2604.14228" TargetMode="External" /><Relationship Type="http://schemas.openxmlformats.org/officeDocument/2006/relationships/hyperlink" Id="rId146" Target="https://doi.org/10.48550/arXiv.2607.01507" TargetMode="External" /><Relationship Type="http://schemas.openxmlformats.org/officeDocument/2006/relationships/hyperlink" Id="rId72" Target="https://doi.org/10.48550/arXiv.2609.11198" TargetMode="External" /><Relationship Type="http://schemas.openxmlformats.org/officeDocument/2006/relationships/hyperlink" Id="rId132" Target="https://doi.org/10.48550/arXiv.2609.16995" TargetMode="External" /><Relationship Type="http://schemas.openxmlformats.org/officeDocument/2006/relationships/hyperlink" Id="rId164" Target="https://doi.org/10.52202/075280-2997" TargetMode="External" /><Relationship Type="http://schemas.openxmlformats.org/officeDocument/2006/relationships/hyperlink" Id="rId166" Target="https://ladal.edu.au/tutorials/llm_privacy/llm_privacy.html" TargetMode="External" /><Relationship Type="http://schemas.openxmlformats.org/officeDocument/2006/relationships/hyperlink" Id="rId158" Target="https://quarto.org/docs/get-started/hello/rstudio.html" TargetMode="External" /><Relationship Type="http://schemas.openxmlformats.org/officeDocument/2006/relationships/hyperlink" Id="rId68" Target="https://vitaexmachina.substack.com/p/running-local-large-language-models" TargetMode="External" /><Relationship Type="http://schemas.openxmlformats.org/officeDocument/2006/relationships/hyperlink" Id="rId124" Target="https://www.nber.org/papers/w34202" TargetMode="External" /><Relationship Type="http://schemas.openxmlformats.org/officeDocument/2006/relationships/hyperlink" Id="rId62" Target="https://www.seascapemodels.org/AI-assistants-for-scientific-co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Agentic AI for Responsible Archaeological Data Analysis</dc:title>
  <dc:creator/>
  <cp:keywords/>
  <dcterms:created xsi:type="dcterms:W3CDTF">2026-09-28T00:12:41Z</dcterms:created>
  <dcterms:modified xsi:type="dcterms:W3CDTF">2026-09-28T00:12:41Z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Archaeologists increasingly ask computers to help with research tasks, from searching literature to writing analysis code. Generative artificial intelligence promises to accelerate this work. These systems can draft code, extract data from publications, and summarize sources quickly. But they also produce deceptively fluent errors: invented citations, unsound statistics, and explanations that fall apart on inspection. Existing prompting advice and reproducibility checklists do not say how to configure and supervise an AI agent across a full analysis. The practical problem is how to keep the researcher responsible for every analytical decision while gaining speed. Here we describe how to use a researcher-directed workflow built from three practices. Researchers learn an open source toolkit for reproducible research (e.g. R, Quarto, Git); configure a local harness with instructions and permissions; and use skills and verification tools that research, plan, execute, and check each analysis. Unlike chatbot use, every plan, command, and file change becomes reviewable, and restricted data stay protected through retention controls, local models, or synthetic stand-ins. Getting reliable help from agentic AI has costs that include setup time and expert oversight, but the result is analysis others can inspect, rerun, and trust.</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sl">
    <vt:lpwstr>../templates/society-for-american-archaeology.csl</vt:lpwstr>
  </property>
  <property fmtid="{D5CDD505-2E9C-101B-9397-08002B2CF9AE}" pid="6" name="date">
    <vt:lpwstr>September 27, 2026</vt:lpwstr>
  </property>
  <property fmtid="{D5CDD505-2E9C-101B-9397-08002B2CF9AE}" pid="7" name="date-format">
    <vt:lpwstr>long</vt:lpwstr>
  </property>
  <property fmtid="{D5CDD505-2E9C-101B-9397-08002B2CF9AE}" pid="8" name="execute">
    <vt:lpwstr/>
  </property>
  <property fmtid="{D5CDD505-2E9C-101B-9397-08002B2CF9AE}" pid="9" name="header-includes">
    <vt:lpwstr/>
  </property>
  <property fmtid="{D5CDD505-2E9C-101B-9397-08002B2CF9AE}" pid="10" name="highlights">
    <vt:lpwstr>Learn R, Quarto, and Git to inspect analyses, regenerate reports, and review changesConfigure an agent harness with project instructions and explicit permissionsUse tested skills and tools to research, plan, execute, and verify analyses</vt:lpwstr>
  </property>
  <property fmtid="{D5CDD505-2E9C-101B-9397-08002B2CF9AE}" pid="11" name="include-after">
    <vt:lpwstr/>
  </property>
  <property fmtid="{D5CDD505-2E9C-101B-9397-08002B2CF9AE}" pid="12" name="include-before">
    <vt:lpwstr/>
  </property>
  <property fmtid="{D5CDD505-2E9C-101B-9397-08002B2CF9AE}" pid="13" name="institute">
    <vt:lpwstr/>
  </property>
  <property fmtid="{D5CDD505-2E9C-101B-9397-08002B2CF9AE}" pid="14" name="labels">
    <vt:lpwstr/>
  </property>
  <property fmtid="{D5CDD505-2E9C-101B-9397-08002B2CF9AE}" pid="15" name="title-block-published">
    <vt:lpwstr>Last updated</vt:lpwstr>
  </property>
  <property fmtid="{D5CDD505-2E9C-101B-9397-08002B2CF9AE}" pid="16" name="toc-title">
    <vt:lpwstr>Table of contents</vt:lpwstr>
  </property>
</Properties>
</file>