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27,</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However, relatively few researchers have adopted agentic AI: in their survey of 1,260 social scientists,</w:t>
      </w:r>
      <w:r>
        <w:t xml:space="preserve"> </w:t>
      </w:r>
      <w:r>
        <w:t xml:space="preserve">Lyttelton et al. (2026)</w:t>
      </w:r>
      <w:r>
        <w:t xml:space="preserve"> </w:t>
      </w:r>
      <w:r>
        <w:t xml:space="preserve">found only 20% use agents. Our guide focuses on how archaeologists can use agentic AI so that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Comparison of web-based chat and agentic AI</w:t>
            </w:r>
            <w:r>
              <w:t xml:space="preserve"> </w:t>
            </w:r>
            <w:r>
              <w:t xml:space="preserve">(Boiko et al. 2023; Bran et al. 2024; Guo et al. 2024; Kasneci et al. 2023; Park et al. 2023; Rafiee and Woo 2025; Schick et al. 2023; Wang et al. 2024; Xu et al. 2024)</w:t>
            </w:r>
          </w:p>
          <w:tbl>
            <w:tblPr>
              <w:tblStyle w:val="Table"/>
              <w:tblW w:type="pct" w:w="5000"/>
              <w:tblLook w:firstRow="1" w:lastRow="0" w:firstColumn="0" w:lastColumn="0" w:noHBand="0" w:noVBand="0" w:val="0020"/>
              <w:jc w:val="start"/>
              <w:tblLayout w:type="fixed"/>
            </w:tblPr>
            <w:tblGrid>
              <w:gridCol w:w="1403"/>
              <w:gridCol w:w="2907"/>
              <w:gridCol w:w="3609"/>
            </w:tblGrid>
            <w:tr>
              <w:trPr>
                <w:tblHeader w:val="true"/>
              </w:trPr>
              <w:tc>
                <w:tcPr/>
                <w:p>
                  <w:pPr>
                    <w:pStyle w:val="Compact"/>
                    <w:jc w:val="left"/>
                    <w:jc w:val="center"/>
                  </w:pPr>
                  <w:r>
                    <w:t xml:space="preserve">Dimension</w:t>
                  </w:r>
                </w:p>
              </w:tc>
              <w:tc>
                <w:tcPr/>
                <w:p>
                  <w:pPr>
                    <w:pStyle w:val="Compact"/>
                    <w:jc w:val="left"/>
                    <w:jc w:val="center"/>
                  </w:pPr>
                  <w:r>
                    <w:t xml:space="preserve">Web-Based Chat</w:t>
                  </w:r>
                </w:p>
              </w:tc>
              <w:tc>
                <w:tcPr/>
                <w:p>
                  <w:pPr>
                    <w:pStyle w:val="Compact"/>
                    <w:jc w:val="left"/>
                    <w:jc w:val="center"/>
                  </w:pPr>
                  <w:r>
                    <w:t xml:space="preserve">Agentic AI</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p>
              </w:tc>
              <w:tc>
                <w:tcPr/>
                <w:p>
                  <w:pPr>
                    <w:pStyle w:val="Compact"/>
                    <w:jc w:val="left"/>
                    <w:jc w:val="center"/>
                  </w:pPr>
                  <w:r>
                    <w:t xml:space="preserve">Completes an external goal across many steps</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p>
              </w:tc>
              <w:tc>
                <w:tcPr/>
                <w:p>
                  <w:pPr>
                    <w:pStyle w:val="Compact"/>
                    <w:jc w:val="left"/>
                    <w:jc w:val="center"/>
                  </w:pPr>
                  <w:r>
                    <w:t xml:space="preserve">Perceive-plan-act-observe loop until a stopping condition</w:t>
                  </w:r>
                </w:p>
              </w:tc>
            </w:tr>
            <w:tr>
              <w:tc>
                <w:tcPr/>
                <w:p>
                  <w:pPr>
                    <w:pStyle w:val="Compact"/>
                    <w:jc w:val="left"/>
                    <w:jc w:val="center"/>
                  </w:pPr>
                  <w:r>
                    <w:t xml:space="preserve">Initiative</w:t>
                  </w:r>
                </w:p>
              </w:tc>
              <w:tc>
                <w:tcPr/>
                <w:p>
                  <w:pPr>
                    <w:pStyle w:val="Compact"/>
                    <w:jc w:val="left"/>
                    <w:jc w:val="center"/>
                  </w:pPr>
                  <w:r>
                    <w:t xml:space="preserve">Reactive; waits for the user</w:t>
                  </w:r>
                </w:p>
              </w:tc>
              <w:tc>
                <w:tcPr/>
                <w:p>
                  <w:pPr>
                    <w:pStyle w:val="Compact"/>
                    <w:jc w:val="left"/>
                    <w:jc w:val="center"/>
                  </w:pPr>
                  <w:r>
                    <w:t xml:space="preserve">Proactive; decomposes goals and starts sub-tasks</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p>
              </w:tc>
              <w:tc>
                <w:tcPr/>
                <w:p>
                  <w:pPr>
                    <w:pStyle w:val="Compact"/>
                    <w:jc w:val="left"/>
                    <w:jc w:val="center"/>
                  </w:pPr>
                  <w:r>
                    <w:t xml:space="preserve">Native tool calls plus APIs code execution and instrument control</w:t>
                  </w:r>
                </w:p>
              </w:tc>
            </w:tr>
            <w:tr>
              <w:tc>
                <w:tcPr/>
                <w:p>
                  <w:pPr>
                    <w:pStyle w:val="Compact"/>
                    <w:jc w:val="left"/>
                    <w:jc w:val="center"/>
                  </w:pPr>
                  <w:r>
                    <w:t xml:space="preserve">Planning</w:t>
                  </w:r>
                </w:p>
              </w:tc>
              <w:tc>
                <w:tcPr/>
                <w:p>
                  <w:pPr>
                    <w:pStyle w:val="Compact"/>
                    <w:jc w:val="left"/>
                    <w:jc w:val="center"/>
                  </w:pPr>
                  <w:r>
                    <w:t xml:space="preserve">Implicit single-response reasoning</w:t>
                  </w:r>
                </w:p>
              </w:tc>
              <w:tc>
                <w:tcPr/>
                <w:p>
                  <w:pPr>
                    <w:pStyle w:val="Compact"/>
                    <w:jc w:val="left"/>
                    <w:jc w:val="center"/>
                  </w:pPr>
                  <w:r>
                    <w:t xml:space="preserve">Explicit task decomposition reflection and re-planning</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p>
              </w:tc>
              <w:tc>
                <w:tcPr/>
                <w:p>
                  <w:pPr>
                    <w:pStyle w:val="Compact"/>
                    <w:jc w:val="left"/>
                    <w:jc w:val="center"/>
                  </w:pPr>
                  <w:r>
                    <w:t xml:space="preserve">Long-term memory stored plans and persistent agent state</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p>
              </w:tc>
              <w:tc>
                <w:tcPr/>
                <w:p>
                  <w:pPr>
                    <w:pStyle w:val="Compact"/>
                    <w:jc w:val="left"/>
                    <w:jc w:val="center"/>
                  </w:pPr>
                  <w:r>
                    <w:t xml:space="preserve">Language model plus planner memory tool interfaces and orchestration</w:t>
                  </w:r>
                </w:p>
              </w:tc>
            </w:tr>
            <w:tr>
              <w:tc>
                <w:tcPr/>
                <w:p>
                  <w:pPr>
                    <w:pStyle w:val="Compact"/>
                    <w:jc w:val="left"/>
                    <w:jc w:val="center"/>
                  </w:pPr>
                  <w:r>
                    <w:t xml:space="preserve">Task duration</w:t>
                  </w:r>
                </w:p>
              </w:tc>
              <w:tc>
                <w:tcPr/>
                <w:p>
                  <w:pPr>
                    <w:pStyle w:val="Compact"/>
                    <w:jc w:val="left"/>
                    <w:jc w:val="center"/>
                  </w:pPr>
                  <w:r>
                    <w:t xml:space="preserve">Seconds to minutes per answer</w:t>
                  </w:r>
                </w:p>
              </w:tc>
              <w:tc>
                <w:tcPr/>
                <w:p>
                  <w:pPr>
                    <w:pStyle w:val="Compact"/>
                    <w:jc w:val="left"/>
                    <w:jc w:val="center"/>
                  </w:pPr>
                  <w:r>
                    <w:t xml:space="preserve">Minutes to hours or days of autonomous operation</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p>
              </w:tc>
              <w:tc>
                <w:tcPr/>
                <w:p>
                  <w:pPr>
                    <w:pStyle w:val="Compact"/>
                    <w:jc w:val="left"/>
                    <w:jc w:val="center"/>
                  </w:pPr>
                  <w:r>
                    <w:t xml:space="preserve">Task completion correct tool sequences and side effects</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p>
              </w:tc>
              <w:tc>
                <w:tcPr/>
                <w:p>
                  <w:pPr>
                    <w:pStyle w:val="Compact"/>
                    <w:jc w:val="left"/>
                    <w:jc w:val="center"/>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A high level of researcher control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2024; Hao et al. 2025; Jonker et al. 2024; Monakhov 2026; Taylor 2023; Zanzotto 2019)</w:t>
            </w:r>
            <w:r>
              <w:t xml:space="preserve">.</w:t>
            </w:r>
          </w:p>
          <w:tbl>
            <w:tblPr>
              <w:tblStyle w:val="Table"/>
              <w:tblW w:type="pct" w:w="5000"/>
              <w:tblLook w:firstRow="1" w:lastRow="0" w:firstColumn="0" w:lastColumn="0" w:noHBand="0" w:noVBand="0" w:val="0020"/>
              <w:jc w:val="start"/>
              <w:tblLayout w:type="fixed"/>
            </w:tblPr>
            <w:tblGrid>
              <w:gridCol w:w="1278"/>
              <w:gridCol w:w="3258"/>
              <w:gridCol w:w="3382"/>
            </w:tblGrid>
            <w:tr>
              <w:trPr>
                <w:tblHeader w:val="true"/>
              </w:trPr>
              <w:tc>
                <w:tcPr/>
                <w:p>
                  <w:pPr>
                    <w:pStyle w:val="Compact"/>
                    <w:jc w:val="left"/>
                    <w:jc w:val="center"/>
                  </w:pPr>
                  <w:r>
                    <w:t xml:space="preserve">Dimension</w:t>
                  </w:r>
                </w:p>
              </w:tc>
              <w:tc>
                <w:tcPr/>
                <w:p>
                  <w:pPr>
                    <w:pStyle w:val="Compact"/>
                    <w:jc w:val="left"/>
                    <w:jc w:val="center"/>
                  </w:pPr>
                  <w:r>
                    <w:t xml:space="preserve">Human in the Loop</w:t>
                  </w:r>
                </w:p>
              </w:tc>
              <w:tc>
                <w:tcPr/>
                <w:p>
                  <w:pPr>
                    <w:pStyle w:val="Compact"/>
                    <w:jc w:val="left"/>
                    <w:jc w:val="center"/>
                  </w:pPr>
                  <w:r>
                    <w:t xml:space="preserve">Human at the 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machine learning</w:t>
                  </w:r>
                </w:p>
              </w:tc>
              <w:tc>
                <w:tcPr/>
                <w:p>
                  <w:pPr>
                    <w:pStyle w:val="Compact"/>
                    <w:jc w:val="left"/>
                    <w:jc w:val="center"/>
                  </w:pPr>
                  <w:r>
                    <w:t xml:space="preserve">Extends meaningful human control to research contexts</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p>
              </w:tc>
              <w:tc>
                <w:tcPr/>
                <w:p>
                  <w:pPr>
                    <w:pStyle w:val="Compact"/>
                    <w:jc w:val="left"/>
                    <w:jc w:val="center"/>
                  </w:pPr>
                  <w:r>
                    <w:t xml:space="preserve">Aligns with human oversight and control requirements in AI regulation</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a free and open source software that specializes in collaboration and recording versions of project files (e.g. text, code, data) so you can inspect changes and retrieve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(a commit is a saved snapshot of your project’s files at a specific point in time). This is a robust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or VS Code) because it is free, open source, and not tied to any model vendor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human-at-the-helm data analysis enviroment that includes agentic AI. The entire frame incapsulated in an Integrated Development Environment, such as RStudio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visualisation. We can see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works best with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minimizing risks of working with restricted data and agentic AI.</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6"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we currently use and recommend for archaeological work.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Instructions, MCP servers and skills installed in the our OpenCode configuration that we have found useful for assistence with routine research tasks.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w:t>
            </w:r>
          </w:p>
          <w:tbl>
            <w:tblPr>
              <w:tblStyle w:val="Table"/>
              <w:tblW w:type="pct" w:w="5000"/>
              <w:tblLook w:firstRow="1" w:lastRow="0" w:firstColumn="0" w:lastColumn="0" w:noHBand="0" w:noVBand="0" w:val="0020"/>
              <w:jc w:val="start"/>
              <w:tblLayout w:type="fixed"/>
            </w:tblPr>
            <w:tblGrid>
              <w:gridCol w:w="363"/>
              <w:gridCol w:w="755"/>
              <w:gridCol w:w="5037"/>
              <w:gridCol w:w="1763"/>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preferences and working habits applied across all projects</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Skill</w:t>
                  </w:r>
                </w:p>
              </w:tc>
              <w:tc>
                <w:tcPr/>
                <w:p>
                  <w:pPr>
                    <w:pStyle w:val="Compact"/>
                    <w:jc w:val="left"/>
                    <w:jc w:val="center"/>
                  </w:pPr>
                  <w:r>
                    <w:t xml:space="preserve">paperdoctor</w:t>
                  </w:r>
                </w:p>
              </w:tc>
              <w:tc>
                <w:tcPr/>
                <w:p>
                  <w:pPr>
                    <w:pStyle w:val="Compact"/>
                    <w:jc w:val="left"/>
                    <w:jc w:val="center"/>
                  </w:pPr>
                  <w:r>
                    <w:t xml:space="preserve">Suite of skills that reviews a manuscript in progress by checking its claims, code, math, references and visual layout, then renders every finding into one interactive HTML report</w:t>
                  </w:r>
                </w:p>
              </w:tc>
              <w:tc>
                <w:tcPr/>
                <w:p>
                  <w:pPr>
                    <w:pStyle w:val="Compact"/>
                    <w:jc w:val="left"/>
                    <w:jc w:val="center"/>
                  </w:pPr>
                  <w:r>
                    <w:t xml:space="preserve">https://github.com/QinghongLin/paperdoctor,</w:t>
                  </w:r>
                  <w:r>
                    <w:t xml:space="preserve"> </w:t>
                  </w:r>
                  <w:r>
                    <w:t xml:space="preserve">Lin et al. (2026)</w:t>
                  </w:r>
                </w:p>
              </w:tc>
            </w:tr>
            <w:tr>
              <w:tc>
                <w:tcPr/>
                <w:p>
                  <w:pPr>
                    <w:pStyle w:val="Compact"/>
                    <w:jc w:val="left"/>
                    <w:jc w:val="center"/>
                  </w:pPr>
                  <w:r>
                    <w:t xml:space="preserve">Skill</w:t>
                  </w:r>
                </w:p>
              </w:tc>
              <w:tc>
                <w:tcPr/>
                <w:p>
                  <w:pPr>
                    <w:pStyle w:val="Compact"/>
                    <w:jc w:val="left"/>
                    <w:jc w:val="center"/>
                  </w:pPr>
                  <w:r>
                    <w:t xml:space="preserve">open-scholar-skill</w:t>
                  </w:r>
                </w:p>
              </w:tc>
              <w:tc>
                <w:tcPr/>
                <w:p>
                  <w:pPr>
                    <w:pStyle w:val="Compact"/>
                    <w:jc w:val="left"/>
                    <w:jc w:val="center"/>
                  </w:pPr>
                  <w:r>
                    <w:t xml:space="preserve">Suite of skills for assisting with social science research through a pipeline of verification gates, e.g. idea generation, theory exploration, study design, analysis, ethics, etc</w:t>
                  </w:r>
                </w:p>
              </w:tc>
              <w:tc>
                <w:tcPr/>
                <w:p>
                  <w:pPr>
                    <w:pStyle w:val="Compact"/>
                    <w:jc w:val="left"/>
                    <w:jc w:val="center"/>
                  </w:pPr>
                  <w:r>
                    <w:t xml:space="preserve">https://github.com/joshzyj/open-scholar-skill,</w:t>
                  </w:r>
                  <w:r>
                    <w:t xml:space="preserve"> </w:t>
                  </w:r>
                  <w:r>
                    <w:t xml:space="preserve">Zhang (2026)</w:t>
                  </w:r>
                </w:p>
              </w:tc>
            </w:tr>
            <w:tr>
              <w:tc>
                <w:tcPr/>
                <w:p>
                  <w:pPr>
                    <w:pStyle w:val="Compact"/>
                    <w:jc w:val="left"/>
                    <w:jc w:val="center"/>
                  </w:pPr>
                  <w:r>
                    <w:t xml:space="preserve">Skill</w:t>
                  </w:r>
                </w:p>
              </w:tc>
              <w:tc>
                <w:tcPr/>
                <w:p>
                  <w:pPr>
                    <w:pStyle w:val="Compact"/>
                    <w:jc w:val="left"/>
                    <w:jc w:val="center"/>
                  </w:pPr>
                  <w:r>
                    <w:t xml:space="preserve">manuscript-writing-review</w:t>
                  </w:r>
                </w:p>
              </w:tc>
              <w:tc>
                <w:tcPr/>
                <w:p>
                  <w:pPr>
                    <w:pStyle w:val="Compact"/>
                    <w:jc w:val="left"/>
                    <w:jc w:val="center"/>
                  </w:pPr>
                  <w:r>
                    <w:t xml:space="preserve">Reviews a scientific or engineering manuscript for writing quality, e.g. clutter, passive voice, sentence architecture, keyword consistency, and numerical or citation errors</w:t>
                  </w:r>
                </w:p>
              </w:tc>
              <w:tc>
                <w:tcPr/>
                <w:p>
                  <w:pPr>
                    <w:pStyle w:val="Compact"/>
                    <w:jc w:val="left"/>
                    <w:jc w:val="center"/>
                  </w:pPr>
                  <w:r>
                    <w:t xml:space="preserve">https://github.com/labarba/sciwrite</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https://github.com/benchoi93/refcheck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 open source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r>
        <w:t xml:space="preserve"> </w:t>
      </w:r>
      <w:r>
        <w:t xml:space="preserve">(Krishna Moorthy et al. 2026)</w:t>
      </w:r>
      <w:r>
        <w:t xml:space="preserve">.</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when using an AI agent to plan and write code for data analysis, such as a stone artefact assemblage,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or a narrative summary of the data or a synthetic version of the data generated by a local LLM. For a stone artefact assemblage this could simply be mentioning the raw data file in your prompt, e.g. </w:t>
      </w:r>
      <w:r>
        <w:t xml:space="preserve">‘</w:t>
      </w:r>
      <w:r>
        <w:t xml:space="preserve">Look at me data in</w:t>
      </w:r>
      <w:r>
        <w:t xml:space="preserve"> </w:t>
      </w:r>
      <w:r>
        <w:rPr>
          <w:rStyle w:val="VerbatimChar"/>
        </w:rPr>
        <w:t xml:space="preserve">@analysis/data/stone-artefact-data.csv</w:t>
      </w:r>
      <w:r>
        <w:t xml:space="preserve">’</w:t>
      </w:r>
      <w:r>
        <w:t xml:space="preserve">, that will direct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artefact analysis we would request the agent use the FactoMineR and factoextra R packages for the multivariate analyses, and follow the guidance in</w:t>
      </w:r>
      <w:r>
        <w:t xml:space="preserve"> </w:t>
      </w:r>
      <w:r>
        <w:t xml:space="preserve">Greenacre et al. (2022)</w:t>
      </w:r>
      <w:r>
        <w:t xml:space="preserve">. Use the agent’s tools to help you get the literature specific to your analysis.</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FirstParagraph"/>
      </w:pPr>
      <w:r>
        <w:t xml:space="preserve">Tools that execute code can expose errors for inspection, but even automated correction still needs expert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tbl>
      <w:tblPr>
        <w:tblStyle w:val="Table"/>
        <w:tblW w:type="pct" w:w="5000"/>
        <w:tblLook w:firstRow="0" w:lastRow="0" w:firstColumn="0" w:lastColumn="0" w:noHBand="0" w:noVBand="0" w:val="0000"/>
        <w:jc w:val="start"/>
        <w:tblLayout w:type="fixed"/>
      </w:tblPr>
      <w:tblGrid>
        <w:gridCol w:w="7920"/>
      </w:tblGrid>
      <w:tr>
        <w:tc>
          <w:tcPr/>
          <w:bookmarkStart w:id="35" w:name="fig-workflow"/>
          <w:p>
            <w:pPr>
              <w:pStyle w:val="Compact"/>
              <w:jc w:val="center"/>
            </w:pPr>
            <w:r>
              <w:drawing>
                <wp:inline>
                  <wp:extent cx="5943600" cy="3566160"/>
                  <wp:effectExtent b="0" l="0" r="0" t="0"/>
                  <wp:docPr descr="" title="" id="33" name="Picture"/>
                  <a:graphic>
                    <a:graphicData uri="http://schemas.openxmlformats.org/drawingml/2006/picture">
                      <pic:pic>
                        <pic:nvPicPr>
                          <pic:cNvPr descr="../figures/fig-workflow.png" id="34" name="Picture"/>
                          <pic:cNvPicPr>
                            <a:picLocks noChangeArrowheads="1" noChangeAspect="1"/>
                          </pic:cNvPicPr>
                        </pic:nvPicPr>
                        <pic:blipFill>
                          <a:blip r:embed="rId32"/>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interation and refinment, as indicated by the bi-directional arrows between the researcher and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5"/>
        </w:tc>
      </w:tr>
    </w:tbl>
    <w:bookmarkEnd w:id="36"/>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p>
      <w:pPr>
        <w:pStyle w:val="BodyText"/>
      </w:pPr>
      <w:r>
        <w:t xml:space="preserve">The paper’s specific contribution is an auditable, researcher-directed workflow for AI-assisted archaeological data analysis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proposes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raises the urgency of the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205" w:name="references"/>
    <w:p>
      <w:pPr>
        <w:pStyle w:val="Heading1"/>
      </w:pPr>
      <w:r>
        <w:t xml:space="preserve">References</w:t>
      </w:r>
    </w:p>
    <w:bookmarkStart w:id="204"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6">
        <w:r>
          <w:rPr>
            <w:rStyle w:val="Hyperlink"/>
          </w:rPr>
          <w:t xml:space="preserve">https://doi.org/10.1073/pnas.2314021121</w:t>
        </w:r>
      </w:hyperlink>
      <w:r>
        <w:t xml:space="preserve">.</w:t>
      </w:r>
    </w:p>
    <w:bookmarkEnd w:id="47"/>
    <w:bookmarkStart w:id="49" w:name="ref-barbaste2026"/>
    <w:p>
      <w:pPr>
        <w:pStyle w:val="Bibliography"/>
      </w:pPr>
      <w:r>
        <w:t xml:space="preserve">Barbaste, Paul, Tristan Darrigol, Germain Vu, and Tom Wiltberger. 2026.</w:t>
      </w:r>
      <w:r>
        <w:t xml:space="preserve"> </w:t>
      </w:r>
      <w:hyperlink r:id="rId48">
        <w:r>
          <w:rPr>
            <w:rStyle w:val="Hyperlink"/>
          </w:rPr>
          <w:t xml:space="preserve">Harness Engineering: Anatomy, Architecture, and Evolution of Coding Agents – a Source-Code Study of Eleven Systems</w:t>
        </w:r>
      </w:hyperlink>
      <w:r>
        <w:t xml:space="preserve">.</w:t>
      </w:r>
    </w:p>
    <w:bookmarkEnd w:id="49"/>
    <w:bookmarkStart w:id="51" w:name="ref-BeckBurri2024"/>
    <w:p>
      <w:pPr>
        <w:pStyle w:val="Bibliography"/>
      </w:pPr>
      <w:r>
        <w:t xml:space="preserve">Beck, Juliane, and Thomas Burri. 2024.</w:t>
      </w:r>
      <w:r>
        <w:t xml:space="preserve"> </w:t>
      </w:r>
      <w:hyperlink r:id="rId50">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51"/>
    <w:bookmarkStart w:id="53"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2">
        <w:r>
          <w:rPr>
            <w:rStyle w:val="Hyperlink"/>
          </w:rPr>
          <w:t xml:space="preserve">https://doi.org/10.1073/pnas.2606495123</w:t>
        </w:r>
      </w:hyperlink>
      <w:r>
        <w:t xml:space="preserve">.</w:t>
      </w:r>
    </w:p>
    <w:bookmarkEnd w:id="53"/>
    <w:bookmarkStart w:id="55"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4">
        <w:r>
          <w:rPr>
            <w:rStyle w:val="Hyperlink"/>
          </w:rPr>
          <w:t xml:space="preserve">https://doi.org/10.31235/osf.io/azs6r_v1</w:t>
        </w:r>
      </w:hyperlink>
      <w:r>
        <w:t xml:space="preserve">.</w:t>
      </w:r>
    </w:p>
    <w:bookmarkEnd w:id="55"/>
    <w:bookmarkStart w:id="57" w:name="ref-BlischakDavenportWilson2016"/>
    <w:p>
      <w:pPr>
        <w:pStyle w:val="Bibliography"/>
      </w:pPr>
      <w:r>
        <w:t xml:space="preserve">Blischak, John D., Emily R. Davenport, and Greg Wilson. 2016. A Quick Introduction to Version Control with Git and GitHub.</w:t>
      </w:r>
      <w:r>
        <w:t xml:space="preserve"> </w:t>
      </w:r>
      <w:r>
        <w:rPr>
          <w:iCs/>
          <w:i/>
        </w:rPr>
        <w:t xml:space="preserve">PLOS Computational Biology</w:t>
      </w:r>
      <w:r>
        <w:t xml:space="preserve"> </w:t>
      </w:r>
      <w:r>
        <w:t xml:space="preserve">12(1):1–18.</w:t>
      </w:r>
      <w:r>
        <w:t xml:space="preserve"> </w:t>
      </w:r>
      <w:hyperlink r:id="rId56">
        <w:r>
          <w:rPr>
            <w:rStyle w:val="Hyperlink"/>
          </w:rPr>
          <w:t xml:space="preserve">https://doi.org/10.1371/journal.pcbi.1004668</w:t>
        </w:r>
      </w:hyperlink>
      <w:r>
        <w:t xml:space="preserve">.</w:t>
      </w:r>
    </w:p>
    <w:bookmarkEnd w:id="57"/>
    <w:bookmarkStart w:id="59"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8">
        <w:r>
          <w:rPr>
            <w:rStyle w:val="Hyperlink"/>
          </w:rPr>
          <w:t xml:space="preserve">https://doi.org/10.1038/s41586-023-06792-0</w:t>
        </w:r>
      </w:hyperlink>
      <w:r>
        <w:t xml:space="preserve">.</w:t>
      </w:r>
    </w:p>
    <w:bookmarkEnd w:id="59"/>
    <w:bookmarkStart w:id="61" w:name="ref-MBran2024"/>
    <w:p>
      <w:pPr>
        <w:pStyle w:val="Bibliography"/>
      </w:pPr>
      <w:r>
        <w:t xml:space="preserve">Bran, Andres, Sam Cox, Oliver Schilter, Carlo Baldassari, Andrew D. White, and Philippe Schwaller.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60">
        <w:r>
          <w:rPr>
            <w:rStyle w:val="Hyperlink"/>
          </w:rPr>
          <w:t xml:space="preserve">https://doi.org/10.1038/s42256-024-00832-8</w:t>
        </w:r>
      </w:hyperlink>
      <w:r>
        <w:t xml:space="preserve">.</w:t>
      </w:r>
    </w:p>
    <w:bookmarkEnd w:id="61"/>
    <w:bookmarkStart w:id="63"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62">
        <w:r>
          <w:rPr>
            <w:rStyle w:val="Hyperlink"/>
          </w:rPr>
          <w:t xml:space="preserve">https://doi.org/10.1371/journal.pcbi.1014428</w:t>
        </w:r>
      </w:hyperlink>
      <w:r>
        <w:t xml:space="preserve">.</w:t>
      </w:r>
    </w:p>
    <w:bookmarkEnd w:id="63"/>
    <w:bookmarkStart w:id="65"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4">
        <w:r>
          <w:rPr>
            <w:rStyle w:val="Hyperlink"/>
          </w:rPr>
          <w:t xml:space="preserve">https://www.seascapemodels.org/AI-assistants-for-scientific-coding/</w:t>
        </w:r>
      </w:hyperlink>
      <w:r>
        <w:t xml:space="preserve">, accessed September 18, 2026.</w:t>
      </w:r>
    </w:p>
    <w:bookmarkEnd w:id="65"/>
    <w:bookmarkStart w:id="67"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6">
        <w:r>
          <w:rPr>
            <w:rStyle w:val="Hyperlink"/>
          </w:rPr>
          <w:t xml:space="preserve">https://doi.org/10.1111/faf.70079</w:t>
        </w:r>
      </w:hyperlink>
      <w:r>
        <w:t xml:space="preserve">.</w:t>
      </w:r>
    </w:p>
    <w:bookmarkEnd w:id="67"/>
    <w:bookmarkStart w:id="69"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8">
        <w:r>
          <w:rPr>
            <w:rStyle w:val="Hyperlink"/>
          </w:rPr>
          <w:t xml:space="preserve">https://doi.org/10.1111/2041-210x.70267</w:t>
        </w:r>
      </w:hyperlink>
      <w:r>
        <w:t xml:space="preserve">.</w:t>
      </w:r>
    </w:p>
    <w:bookmarkEnd w:id="69"/>
    <w:bookmarkStart w:id="71"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70">
        <w:r>
          <w:rPr>
            <w:rStyle w:val="Hyperlink"/>
          </w:rPr>
          <w:t xml:space="preserve">https://vitaexmachina.substack.com/p/running-local-large-language-models</w:t>
        </w:r>
      </w:hyperlink>
      <w:r>
        <w:t xml:space="preserve">, accessed September 18, 2026.</w:t>
      </w:r>
    </w:p>
    <w:bookmarkEnd w:id="71"/>
    <w:bookmarkStart w:id="73"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2">
        <w:r>
          <w:rPr>
            <w:rStyle w:val="Hyperlink"/>
          </w:rPr>
          <w:t xml:space="preserve">https://doi.org/10.1111/2041-210X.14396</w:t>
        </w:r>
      </w:hyperlink>
      <w:r>
        <w:t xml:space="preserve">.</w:t>
      </w:r>
    </w:p>
    <w:bookmarkEnd w:id="73"/>
    <w:bookmarkStart w:id="75"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74">
        <w:r>
          <w:rPr>
            <w:rStyle w:val="Hyperlink"/>
          </w:rPr>
          <w:t xml:space="preserve">https://doi.org/10.48550/arXiv.2609.11198</w:t>
        </w:r>
      </w:hyperlink>
      <w:r>
        <w:t xml:space="preserve">.</w:t>
      </w:r>
    </w:p>
    <w:bookmarkEnd w:id="75"/>
    <w:bookmarkStart w:id="77"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6">
        <w:r>
          <w:rPr>
            <w:rStyle w:val="Hyperlink"/>
          </w:rPr>
          <w:t xml:space="preserve">https://doi.org/10.48550/arXiv.2304.05128</w:t>
        </w:r>
      </w:hyperlink>
      <w:r>
        <w:t xml:space="preserve">.</w:t>
      </w:r>
    </w:p>
    <w:bookmarkEnd w:id="77"/>
    <w:bookmarkStart w:id="79"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8">
        <w:r>
          <w:rPr>
            <w:rStyle w:val="Hyperlink"/>
          </w:rPr>
          <w:t xml:space="preserve">https://ai.google/static/documents/AI-in-Science.pdf</w:t>
        </w:r>
      </w:hyperlink>
      <w:r>
        <w:t xml:space="preserve">, accessed September 16, 2026.</w:t>
      </w:r>
    </w:p>
    <w:bookmarkEnd w:id="79"/>
    <w:bookmarkStart w:id="81"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80">
        <w:r>
          <w:rPr>
            <w:rStyle w:val="Hyperlink"/>
          </w:rPr>
          <w:t xml:space="preserve">https://doi.org/10.1111/2041-210X.14325</w:t>
        </w:r>
      </w:hyperlink>
      <w:r>
        <w:t xml:space="preserve">.</w:t>
      </w:r>
    </w:p>
    <w:bookmarkEnd w:id="81"/>
    <w:bookmarkStart w:id="83"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2">
        <w:r>
          <w:rPr>
            <w:rStyle w:val="Hyperlink"/>
          </w:rPr>
          <w:t xml:space="preserve">https://doi.org/10.1017/aap.2026.10173</w:t>
        </w:r>
      </w:hyperlink>
      <w:r>
        <w:t xml:space="preserve">.</w:t>
      </w:r>
    </w:p>
    <w:bookmarkEnd w:id="83"/>
    <w:bookmarkStart w:id="85" w:name="ref-DellAcqua2026"/>
    <w:p>
      <w:pPr>
        <w:pStyle w:val="Bibliography"/>
      </w:pPr>
      <w:r>
        <w:t xml:space="preserve">Dell’Acqua, Fabrizio, Edward McFowland, Ethan Mollick, Hila Lifshitz, Katherine C. Kellogg, Saran Rajendran, Lisa Krayer,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4">
        <w:r>
          <w:rPr>
            <w:rStyle w:val="Hyperlink"/>
          </w:rPr>
          <w:t xml:space="preserve">https://doi.org/10.1287/orsc.2025.21838</w:t>
        </w:r>
      </w:hyperlink>
      <w:r>
        <w:t xml:space="preserve">.</w:t>
      </w:r>
    </w:p>
    <w:bookmarkEnd w:id="85"/>
    <w:bookmarkStart w:id="8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6">
        <w:r>
          <w:rPr>
            <w:rStyle w:val="Hyperlink"/>
          </w:rPr>
          <w:t xml:space="preserve">https://doi.org/10.1093/jmammal/gyaf082</w:t>
        </w:r>
      </w:hyperlink>
      <w:r>
        <w:t xml:space="preserve">.</w:t>
      </w:r>
    </w:p>
    <w:bookmarkEnd w:id="87"/>
    <w:bookmarkStart w:id="89"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8">
        <w:r>
          <w:rPr>
            <w:rStyle w:val="Hyperlink"/>
          </w:rPr>
          <w:t xml:space="preserve">https://doi.org/10.1007/s12599-023-00834-7</w:t>
        </w:r>
      </w:hyperlink>
      <w:r>
        <w:t xml:space="preserve">.</w:t>
      </w:r>
    </w:p>
    <w:bookmarkEnd w:id="89"/>
    <w:bookmarkStart w:id="91"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90">
        <w:r>
          <w:rPr>
            <w:rStyle w:val="Hyperlink"/>
          </w:rPr>
          <w:t xml:space="preserve">https://doi.org/10.1016/j.culher.2024.11.020</w:t>
        </w:r>
      </w:hyperlink>
      <w:r>
        <w:t xml:space="preserve">.</w:t>
      </w:r>
    </w:p>
    <w:bookmarkEnd w:id="91"/>
    <w:bookmarkStart w:id="93"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2">
        <w:r>
          <w:rPr>
            <w:rStyle w:val="Hyperlink"/>
          </w:rPr>
          <w:t xml:space="preserve">https://doi.org/10.1080/10584609.2023.2290497</w:t>
        </w:r>
      </w:hyperlink>
      <w:r>
        <w:t xml:space="preserve">.</w:t>
      </w:r>
    </w:p>
    <w:bookmarkEnd w:id="93"/>
    <w:bookmarkStart w:id="95"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4">
        <w:r>
          <w:rPr>
            <w:rStyle w:val="Hyperlink"/>
          </w:rPr>
          <w:t xml:space="preserve">https://doi.org/10.1038/s44185-024-00043-9</w:t>
        </w:r>
      </w:hyperlink>
      <w:r>
        <w:t xml:space="preserve">.</w:t>
      </w:r>
    </w:p>
    <w:bookmarkEnd w:id="95"/>
    <w:bookmarkStart w:id="97" w:name="ref-Goyal2026"/>
    <w:p>
      <w:pPr>
        <w:pStyle w:val="Bibliography"/>
      </w:pPr>
      <w:r>
        <w:t xml:space="preserve">Goyal, Palash, Mihir Parmar, Yiwen Song, Hamid Palangi, Tomas Pfister, and Jinsung Yoon. 2026.</w:t>
      </w:r>
      <w:r>
        <w:t xml:space="preserve"> </w:t>
      </w:r>
      <w:r>
        <w:t xml:space="preserve">ScholarPeer</w:t>
      </w:r>
      <w:r>
        <w:t xml:space="preserve">: A Context-Aware Multi-Agent Framework for Automated Peer Review.</w:t>
      </w:r>
      <w:r>
        <w:t xml:space="preserve"> </w:t>
      </w:r>
      <w:r>
        <w:rPr>
          <w:iCs/>
          <w:i/>
        </w:rPr>
        <w:t xml:space="preserve">arXiv Preprint arXiv:2601.22638</w:t>
      </w:r>
      <w:r>
        <w:t xml:space="preserve">.</w:t>
      </w:r>
      <w:r>
        <w:t xml:space="preserve"> </w:t>
      </w:r>
      <w:hyperlink r:id="rId96">
        <w:r>
          <w:rPr>
            <w:rStyle w:val="Hyperlink"/>
          </w:rPr>
          <w:t xml:space="preserve">https://doi.org/10.48550/arXiv.2601.22638</w:t>
        </w:r>
      </w:hyperlink>
      <w:r>
        <w:t xml:space="preserve">.</w:t>
      </w:r>
    </w:p>
    <w:bookmarkEnd w:id="97"/>
    <w:bookmarkStart w:id="99" w:name="ref-Greenacre2022Principal"/>
    <w:p>
      <w:pPr>
        <w:pStyle w:val="Bibliography"/>
      </w:pPr>
      <w:r>
        <w:t xml:space="preserve">Greenacre, Michael, Patrick J. F. Groenen, Trevor Hastie, Alfonso Iodice D’Enza, Angelos Markos, and Elena Tuzhilina. 2022. Principal Component Analysis.</w:t>
      </w:r>
      <w:r>
        <w:t xml:space="preserve"> </w:t>
      </w:r>
      <w:r>
        <w:rPr>
          <w:iCs/>
          <w:i/>
        </w:rPr>
        <w:t xml:space="preserve">Nature Reviews Methods Primers</w:t>
      </w:r>
      <w:r>
        <w:t xml:space="preserve"> </w:t>
      </w:r>
      <w:r>
        <w:t xml:space="preserve">2(1):100.</w:t>
      </w:r>
      <w:r>
        <w:t xml:space="preserve"> </w:t>
      </w:r>
      <w:hyperlink r:id="rId98">
        <w:r>
          <w:rPr>
            <w:rStyle w:val="Hyperlink"/>
          </w:rPr>
          <w:t xml:space="preserve">https://doi.org/10.1038/s43586-022-00184-w</w:t>
        </w:r>
      </w:hyperlink>
      <w:r>
        <w:t xml:space="preserve">.</w:t>
      </w:r>
    </w:p>
    <w:bookmarkEnd w:id="99"/>
    <w:bookmarkStart w:id="101"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100">
        <w:r>
          <w:rPr>
            <w:rStyle w:val="Hyperlink"/>
          </w:rPr>
          <w:t xml:space="preserve">https://doi.org/10.1126/science.adi1778</w:t>
        </w:r>
      </w:hyperlink>
      <w:r>
        <w:t xml:space="preserve">.</w:t>
      </w:r>
    </w:p>
    <w:bookmarkEnd w:id="101"/>
    <w:bookmarkStart w:id="103" w:name="ref-Guo2024"/>
    <w:p>
      <w:pPr>
        <w:pStyle w:val="Bibliography"/>
      </w:pPr>
      <w:r>
        <w:t xml:space="preserve">Guo, Taicheng, Xiuying Chen, Yaqi Wang, Ruidi Chang, Shichao Pei, Nitesh V. Chawla, Olaf Wiest, et al. 2024.</w:t>
      </w:r>
      <w:r>
        <w:t xml:space="preserve"> </w:t>
      </w:r>
      <w:hyperlink r:id="rId102">
        <w:r>
          <w:rPr>
            <w:rStyle w:val="Hyperlink"/>
          </w:rPr>
          <w:t xml:space="preserve">Large Language Model Based Multi-Agents: A Survey of Progress and Challenges</w:t>
        </w:r>
      </w:hyperlink>
      <w:r>
        <w:t xml:space="preserve">, pp. 8048–8057.</w:t>
      </w:r>
    </w:p>
    <w:bookmarkEnd w:id="103"/>
    <w:bookmarkStart w:id="105"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4">
        <w:r>
          <w:rPr>
            <w:rStyle w:val="Hyperlink"/>
          </w:rPr>
          <w:t xml:space="preserve">https://doi.org/10.1057/s41599-026-08832-2</w:t>
        </w:r>
      </w:hyperlink>
      <w:r>
        <w:t xml:space="preserve">.</w:t>
      </w:r>
    </w:p>
    <w:bookmarkEnd w:id="105"/>
    <w:bookmarkStart w:id="107"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6">
        <w:r>
          <w:rPr>
            <w:rStyle w:val="Hyperlink"/>
          </w:rPr>
          <w:t xml:space="preserve">https://doi.org/10.1016/j.sftr.2025.101152</w:t>
        </w:r>
      </w:hyperlink>
      <w:r>
        <w:t xml:space="preserve">.</w:t>
      </w:r>
    </w:p>
    <w:bookmarkEnd w:id="107"/>
    <w:bookmarkStart w:id="109" w:name="ref-Hariri2025"/>
    <w:p>
      <w:pPr>
        <w:pStyle w:val="Bibliography"/>
      </w:pPr>
      <w:r>
        <w:t xml:space="preserve">Hariri, Ali, Stéphane Jean, and Mickaël Baron. 2025.</w:t>
      </w:r>
      <w:r>
        <w:t xml:space="preserve"> </w:t>
      </w:r>
      <w:hyperlink r:id="rId108">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109"/>
    <w:bookmarkStart w:id="111"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10">
        <w:r>
          <w:rPr>
            <w:rStyle w:val="Hyperlink"/>
          </w:rPr>
          <w:t xml:space="preserve">https://doi.org/10.1145/3796519</w:t>
        </w:r>
      </w:hyperlink>
      <w:r>
        <w:t xml:space="preserve">.</w:t>
      </w:r>
    </w:p>
    <w:bookmarkEnd w:id="111"/>
    <w:bookmarkStart w:id="113"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2">
        <w:r>
          <w:rPr>
            <w:rStyle w:val="Hyperlink"/>
          </w:rPr>
          <w:t xml:space="preserve">https://doi.org/10.1371/journal.pone.0317084</w:t>
        </w:r>
      </w:hyperlink>
      <w:r>
        <w:t xml:space="preserve">.</w:t>
      </w:r>
    </w:p>
    <w:bookmarkEnd w:id="113"/>
    <w:bookmarkStart w:id="115"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4">
        <w:r>
          <w:rPr>
            <w:rStyle w:val="Hyperlink"/>
          </w:rPr>
          <w:t xml:space="preserve">https://doi.org/10.1080/00187259.2026.2714301</w:t>
        </w:r>
      </w:hyperlink>
      <w:r>
        <w:t xml:space="preserve">.</w:t>
      </w:r>
    </w:p>
    <w:bookmarkEnd w:id="115"/>
    <w:bookmarkStart w:id="117" w:name="ref-Jonker2024"/>
    <w:p>
      <w:pPr>
        <w:pStyle w:val="Bibliography"/>
      </w:pPr>
      <w:r>
        <w:t xml:space="preserve">Jonker, Catholijn M., Luciano Cavalcante Siebert, and Pradeep K. Murukannaiah. 2024.</w:t>
      </w:r>
      <w:r>
        <w:t xml:space="preserve"> </w:t>
      </w:r>
      <w:hyperlink r:id="rId116">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17"/>
    <w:bookmarkStart w:id="119"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18">
        <w:r>
          <w:rPr>
            <w:rStyle w:val="Hyperlink"/>
          </w:rPr>
          <w:t xml:space="preserve">https://doi.org/10.11141/ia.71.15</w:t>
        </w:r>
      </w:hyperlink>
      <w:r>
        <w:t xml:space="preserve">.</w:t>
      </w:r>
    </w:p>
    <w:bookmarkEnd w:id="119"/>
    <w:bookmarkStart w:id="121" w:name="ref-Kasneci2023"/>
    <w:p>
      <w:pPr>
        <w:pStyle w:val="Bibliography"/>
      </w:pPr>
      <w:r>
        <w:t xml:space="preserve">Kasneci, Enkelejda, Kathrin Sessler, Stefan Küchemann, Maria Bannert, Daryna Dementieva, Frank Fischer, Urs Gasser, et al. 2023.</w:t>
      </w:r>
      <w:r>
        <w:t xml:space="preserve"> </w:t>
      </w:r>
      <w:r>
        <w:t xml:space="preserve">ChatGPT for Good? On Opportunities and Challenges of Large Language Models for Education</w:t>
      </w:r>
      <w:r>
        <w:t xml:space="preserve">.</w:t>
      </w:r>
      <w:r>
        <w:t xml:space="preserve"> </w:t>
      </w:r>
      <w:r>
        <w:rPr>
          <w:iCs/>
          <w:i/>
        </w:rPr>
        <w:t xml:space="preserve">Learning and Individual Differences</w:t>
      </w:r>
      <w:r>
        <w:t xml:space="preserve"> </w:t>
      </w:r>
      <w:r>
        <w:t xml:space="preserve">103:102274.</w:t>
      </w:r>
      <w:r>
        <w:t xml:space="preserve"> </w:t>
      </w:r>
      <w:hyperlink r:id="rId120">
        <w:r>
          <w:rPr>
            <w:rStyle w:val="Hyperlink"/>
          </w:rPr>
          <w:t xml:space="preserve">https://doi.org/10.1016/j.lindif.2023.102274</w:t>
        </w:r>
      </w:hyperlink>
      <w:r>
        <w:t xml:space="preserve">.</w:t>
      </w:r>
    </w:p>
    <w:bookmarkEnd w:id="121"/>
    <w:bookmarkStart w:id="123"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22">
        <w:r>
          <w:rPr>
            <w:rStyle w:val="Hyperlink"/>
          </w:rPr>
          <w:t xml:space="preserve">https://doi.org/10.35566/jbds/jikim</w:t>
        </w:r>
      </w:hyperlink>
      <w:r>
        <w:t xml:space="preserve">.</w:t>
      </w:r>
    </w:p>
    <w:bookmarkEnd w:id="123"/>
    <w:bookmarkStart w:id="125"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4">
        <w:r>
          <w:rPr>
            <w:rStyle w:val="Hyperlink"/>
          </w:rPr>
          <w:t xml:space="preserve">https://doi.org/10.1257/jel.20231736</w:t>
        </w:r>
      </w:hyperlink>
      <w:r>
        <w:t xml:space="preserve">.</w:t>
      </w:r>
    </w:p>
    <w:bookmarkEnd w:id="125"/>
    <w:bookmarkStart w:id="127" w:name="ref-Korinek2025"/>
    <w:p>
      <w:pPr>
        <w:pStyle w:val="Bibliography"/>
      </w:pPr>
      <w:r>
        <w:t xml:space="preserve">Korinek, Anton. 2025.</w:t>
      </w:r>
      <w:r>
        <w:t xml:space="preserve"> </w:t>
      </w:r>
      <w:hyperlink r:id="rId126">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27"/>
    <w:bookmarkStart w:id="129"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28">
        <w:r>
          <w:rPr>
            <w:rStyle w:val="Hyperlink"/>
          </w:rPr>
          <w:t xml:space="preserve">https://doi.org/10.1111/2041-210x.70403</w:t>
        </w:r>
      </w:hyperlink>
      <w:r>
        <w:t xml:space="preserve">.</w:t>
      </w:r>
    </w:p>
    <w:bookmarkEnd w:id="129"/>
    <w:bookmarkStart w:id="131"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30">
        <w:r>
          <w:rPr>
            <w:rStyle w:val="Hyperlink"/>
          </w:rPr>
          <w:t xml:space="preserve">https://doi.org/10.48550/arXiv.2505.06120</w:t>
        </w:r>
      </w:hyperlink>
      <w:r>
        <w:t xml:space="preserve">.</w:t>
      </w:r>
    </w:p>
    <w:bookmarkEnd w:id="131"/>
    <w:bookmarkStart w:id="133"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32">
        <w:r>
          <w:rPr>
            <w:rStyle w:val="Hyperlink"/>
          </w:rPr>
          <w:t xml:space="preserve">https://doi.org/10.2196/51584</w:t>
        </w:r>
      </w:hyperlink>
      <w:r>
        <w:t xml:space="preserve">.</w:t>
      </w:r>
    </w:p>
    <w:bookmarkEnd w:id="133"/>
    <w:bookmarkStart w:id="135" w:name="ref-Lin2026"/>
    <w:p>
      <w:pPr>
        <w:pStyle w:val="Bibliography"/>
      </w:pPr>
      <w:r>
        <w:t xml:space="preserve">Lin, Kevin Qinghong, Siyuan Hu, Pan Lu, Yu Chen, Yanzhe Chen, Owen Queen, Yupeng Chen, et al. 2026.</w:t>
      </w:r>
      <w:r>
        <w:t xml:space="preserve"> </w:t>
      </w:r>
      <w:r>
        <w:t xml:space="preserve">PaperDoctor</w:t>
      </w:r>
      <w:r>
        <w:t xml:space="preserve">: Evidence-Grounded and Actionable Feedback for Scientific Papers in Progress.</w:t>
      </w:r>
      <w:r>
        <w:t xml:space="preserve"> </w:t>
      </w:r>
      <w:r>
        <w:rPr>
          <w:iCs/>
          <w:i/>
        </w:rPr>
        <w:t xml:space="preserve">arXiv Preprint arXiv:2609.16995</w:t>
      </w:r>
      <w:r>
        <w:t xml:space="preserve">.</w:t>
      </w:r>
      <w:r>
        <w:t xml:space="preserve"> </w:t>
      </w:r>
      <w:hyperlink r:id="rId134">
        <w:r>
          <w:rPr>
            <w:rStyle w:val="Hyperlink"/>
          </w:rPr>
          <w:t xml:space="preserve">https://doi.org/10.48550/arXiv.2609.16995</w:t>
        </w:r>
      </w:hyperlink>
      <w:r>
        <w:t xml:space="preserve">.</w:t>
      </w:r>
    </w:p>
    <w:bookmarkEnd w:id="135"/>
    <w:bookmarkStart w:id="137"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r>
        <w:rPr>
          <w:iCs/>
          <w:i/>
        </w:rPr>
        <w:t xml:space="preserve">arXiv Preprint arXiv:2604.14228</w:t>
      </w:r>
      <w:r>
        <w:t xml:space="preserve">.</w:t>
      </w:r>
      <w:r>
        <w:t xml:space="preserve"> </w:t>
      </w:r>
      <w:hyperlink r:id="rId136">
        <w:r>
          <w:rPr>
            <w:rStyle w:val="Hyperlink"/>
          </w:rPr>
          <w:t xml:space="preserve">https://doi.org/10.48550/arXiv.2604.14228</w:t>
        </w:r>
      </w:hyperlink>
      <w:r>
        <w:t xml:space="preserve">.</w:t>
      </w:r>
    </w:p>
    <w:bookmarkEnd w:id="137"/>
    <w:bookmarkStart w:id="139"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8">
        <w:r>
          <w:rPr>
            <w:rStyle w:val="Hyperlink"/>
          </w:rPr>
          <w:t xml:space="preserve">https://doi.org/10.22582/ta.v14i2.778</w:t>
        </w:r>
      </w:hyperlink>
      <w:r>
        <w:t xml:space="preserve">.</w:t>
      </w:r>
    </w:p>
    <w:bookmarkEnd w:id="139"/>
    <w:bookmarkStart w:id="141" w:name="ref-Lu2026"/>
    <w:p>
      <w:pPr>
        <w:pStyle w:val="Bibliography"/>
      </w:pPr>
      <w:r>
        <w:t xml:space="preserve">Lu, Chris, Cong Lu, Robert Tjarko Lange, Yutaro Yamada, Shengran Hu, Jakob Foerster, David Ha,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40">
        <w:r>
          <w:rPr>
            <w:rStyle w:val="Hyperlink"/>
          </w:rPr>
          <w:t xml:space="preserve">https://doi.org/10.1038/s41586-026-10265-5</w:t>
        </w:r>
      </w:hyperlink>
      <w:r>
        <w:t xml:space="preserve">.</w:t>
      </w:r>
    </w:p>
    <w:bookmarkEnd w:id="141"/>
    <w:bookmarkStart w:id="143" w:name="ref-lyttelton2026agents"/>
    <w:p>
      <w:pPr>
        <w:pStyle w:val="Bibliography"/>
      </w:pPr>
      <w:r>
        <w:t xml:space="preserve">Lyttelton, Thomas, Maxim Massenkoff, and Nathan Wilmers. 2026. Coding Agents in the Social Sciences.</w:t>
      </w:r>
      <w:r>
        <w:t xml:space="preserve"> </w:t>
      </w:r>
      <w:hyperlink r:id="rId142">
        <w:r>
          <w:rPr>
            <w:rStyle w:val="Hyperlink"/>
          </w:rPr>
          <w:t xml:space="preserve">https://www.anthropic.com/research/coding-agents-social-sciences</w:t>
        </w:r>
      </w:hyperlink>
      <w:r>
        <w:t xml:space="preserve">.</w:t>
      </w:r>
    </w:p>
    <w:bookmarkEnd w:id="143"/>
    <w:bookmarkStart w:id="145"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44">
        <w:r>
          <w:rPr>
            <w:rStyle w:val="Hyperlink"/>
          </w:rPr>
          <w:t xml:space="preserve">https://doi.org/10.1007/s10816-015-9272-9</w:t>
        </w:r>
      </w:hyperlink>
      <w:r>
        <w:t xml:space="preserve">.</w:t>
      </w:r>
    </w:p>
    <w:bookmarkEnd w:id="145"/>
    <w:bookmarkStart w:id="147"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6">
        <w:r>
          <w:rPr>
            <w:rStyle w:val="Hyperlink"/>
          </w:rPr>
          <w:t xml:space="preserve">https://doi.org/10.1038/s41586-024-07146-0</w:t>
        </w:r>
      </w:hyperlink>
      <w:r>
        <w:t xml:space="preserve">.</w:t>
      </w:r>
    </w:p>
    <w:bookmarkEnd w:id="147"/>
    <w:bookmarkStart w:id="149"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48">
        <w:r>
          <w:rPr>
            <w:rStyle w:val="Hyperlink"/>
          </w:rPr>
          <w:t xml:space="preserve">https://doi.org/10.48550/arXiv.2607.01507</w:t>
        </w:r>
      </w:hyperlink>
      <w:r>
        <w:t xml:space="preserve">.</w:t>
      </w:r>
    </w:p>
    <w:bookmarkEnd w:id="149"/>
    <w:bookmarkStart w:id="151" w:name="ref-Monakhov2026"/>
    <w:p>
      <w:pPr>
        <w:pStyle w:val="Bibliography"/>
      </w:pPr>
      <w:r>
        <w:t xml:space="preserve">Monakhov, Alexander Yu. 2026.</w:t>
      </w:r>
      <w:r>
        <w:t xml:space="preserve"> </w:t>
      </w:r>
      <w:hyperlink r:id="rId150">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51"/>
    <w:bookmarkStart w:id="153" w:name="ref-NationalAcademies2026"/>
    <w:p>
      <w:pPr>
        <w:pStyle w:val="Bibliography"/>
      </w:pPr>
      <w:r>
        <w:t xml:space="preserve">National Academies of Sciences, Engineering, and Medicine. 2026.</w:t>
      </w:r>
      <w:r>
        <w:t xml:space="preserve"> </w:t>
      </w:r>
      <w:hyperlink r:id="rId152">
        <w:r>
          <w:rPr>
            <w:rStyle w:val="Hyperlink"/>
            <w:iCs/>
            <w:i/>
          </w:rPr>
          <w:t xml:space="preserve">On Being a Scientist: A Guide to the Responsible and Ethical Conduct of Research: Fourth Edition</w:t>
        </w:r>
      </w:hyperlink>
      <w:r>
        <w:t xml:space="preserve">. The National Academies Press, Washington, DC.</w:t>
      </w:r>
    </w:p>
    <w:bookmarkEnd w:id="153"/>
    <w:bookmarkStart w:id="155"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4">
        <w:r>
          <w:rPr>
            <w:rStyle w:val="Hyperlink"/>
          </w:rPr>
          <w:t xml:space="preserve">https://doi.org/10.1002/smr.2723</w:t>
        </w:r>
      </w:hyperlink>
      <w:r>
        <w:t xml:space="preserve">.</w:t>
      </w:r>
    </w:p>
    <w:bookmarkEnd w:id="155"/>
    <w:bookmarkStart w:id="157" w:name="ref-Park2023"/>
    <w:p>
      <w:pPr>
        <w:pStyle w:val="Bibliography"/>
      </w:pPr>
      <w:r>
        <w:t xml:space="preserve">Park, Joon Sung, Joseph O’Brien, Carrie Jun Cai, Meredith Ringel Morris, Percy Liang, and Michael S. Bernstein. 2023.</w:t>
      </w:r>
      <w:r>
        <w:t xml:space="preserve"> </w:t>
      </w:r>
      <w:hyperlink r:id="rId156">
        <w:r>
          <w:rPr>
            <w:rStyle w:val="Hyperlink"/>
          </w:rPr>
          <w:t xml:space="preserve">Generative Agents: Interactive Simulacra of Human Behavior</w:t>
        </w:r>
      </w:hyperlink>
      <w:r>
        <w:t xml:space="preserve">, pp. 1–22.</w:t>
      </w:r>
    </w:p>
    <w:bookmarkEnd w:id="157"/>
    <w:bookmarkStart w:id="159"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8">
        <w:r>
          <w:rPr>
            <w:rStyle w:val="Hyperlink"/>
          </w:rPr>
          <w:t xml:space="preserve">https://doi.org/10.1017/chr.2026.10039</w:t>
        </w:r>
      </w:hyperlink>
      <w:r>
        <w:t xml:space="preserve">.</w:t>
      </w:r>
    </w:p>
    <w:bookmarkEnd w:id="159"/>
    <w:bookmarkStart w:id="161" w:name="ref-QuartoDocs2026"/>
    <w:p>
      <w:pPr>
        <w:pStyle w:val="Bibliography"/>
      </w:pPr>
      <w:r>
        <w:t xml:space="preserve">Quarto.</w:t>
      </w:r>
      <w:r>
        <w:t xml:space="preserve"> </w:t>
      </w:r>
      <w:r>
        <w:t xml:space="preserve">Tutorial: Hello, Quarto</w:t>
      </w:r>
      <w:r>
        <w:t xml:space="preserve">.</w:t>
      </w:r>
      <w:r>
        <w:t xml:space="preserve"> </w:t>
      </w:r>
      <w:hyperlink r:id="rId160">
        <w:r>
          <w:rPr>
            <w:rStyle w:val="Hyperlink"/>
          </w:rPr>
          <w:t xml:space="preserve">https://quarto.org/docs/get-started/hello/rstudio.html</w:t>
        </w:r>
      </w:hyperlink>
      <w:r>
        <w:t xml:space="preserve">, accessed September 17, 2026.</w:t>
      </w:r>
    </w:p>
    <w:bookmarkEnd w:id="161"/>
    <w:bookmarkStart w:id="163"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r>
        <w:rPr>
          <w:iCs/>
          <w:i/>
        </w:rPr>
        <w:t xml:space="preserve">TechRxiv Preprint</w:t>
      </w:r>
      <w:r>
        <w:t xml:space="preserve">.</w:t>
      </w:r>
      <w:r>
        <w:t xml:space="preserve"> </w:t>
      </w:r>
      <w:hyperlink r:id="rId162">
        <w:r>
          <w:rPr>
            <w:rStyle w:val="Hyperlink"/>
          </w:rPr>
          <w:t xml:space="preserve">https://doi.org/10.36227/techrxiv.176703982.24212722/v1</w:t>
        </w:r>
      </w:hyperlink>
      <w:r>
        <w:t xml:space="preserve">.</w:t>
      </w:r>
    </w:p>
    <w:bookmarkEnd w:id="163"/>
    <w:bookmarkStart w:id="165"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64">
        <w:r>
          <w:rPr>
            <w:rStyle w:val="Hyperlink"/>
          </w:rPr>
          <w:t xml:space="preserve">https://doi.org/10.1111/2041-210X.14341</w:t>
        </w:r>
      </w:hyperlink>
      <w:r>
        <w:t xml:space="preserve">.</w:t>
      </w:r>
    </w:p>
    <w:bookmarkEnd w:id="165"/>
    <w:bookmarkStart w:id="167" w:name="ref-Schick2023"/>
    <w:p>
      <w:pPr>
        <w:pStyle w:val="Bibliography"/>
      </w:pPr>
      <w:r>
        <w:t xml:space="preserve">Schick, Timo, Jane Dwivedi-Yu, Roberto Dessi, Roberta Raileanu, Maria Lomeli, Eric Hambro, Luke Zettlemoyer, et al. 2023.</w:t>
      </w:r>
      <w:r>
        <w:t xml:space="preserve"> </w:t>
      </w:r>
      <w:hyperlink r:id="rId166">
        <w:r>
          <w:rPr>
            <w:rStyle w:val="Hyperlink"/>
          </w:rPr>
          <w:t xml:space="preserve">Toolformer: Language Models Can Teach Themselves to Use Tools</w:t>
        </w:r>
      </w:hyperlink>
      <w:r>
        <w:t xml:space="preserve">, pp. 68539–68551.</w:t>
      </w:r>
    </w:p>
    <w:bookmarkEnd w:id="167"/>
    <w:bookmarkStart w:id="169"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68">
        <w:r>
          <w:rPr>
            <w:rStyle w:val="Hyperlink"/>
          </w:rPr>
          <w:t xml:space="preserve">https://ladal.edu.au/tutorials/llm_privacy/llm_privacy.html</w:t>
        </w:r>
      </w:hyperlink>
      <w:r>
        <w:t xml:space="preserve">, accessed September 18, 2026.</w:t>
      </w:r>
    </w:p>
    <w:bookmarkEnd w:id="169"/>
    <w:bookmarkStart w:id="171"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70">
        <w:r>
          <w:rPr>
            <w:rStyle w:val="Hyperlink"/>
          </w:rPr>
          <w:t xml:space="preserve">https://doi.org/10.1080/20548923.2025.2564519</w:t>
        </w:r>
      </w:hyperlink>
      <w:r>
        <w:t xml:space="preserve">.</w:t>
      </w:r>
    </w:p>
    <w:bookmarkEnd w:id="171"/>
    <w:bookmarkStart w:id="173" w:name="ref-Taylor2023"/>
    <w:p>
      <w:pPr>
        <w:pStyle w:val="Bibliography"/>
      </w:pPr>
      <w:r>
        <w:t xml:space="preserve">Taylor, Matthew E. 2023.</w:t>
      </w:r>
      <w:r>
        <w:t xml:space="preserve"> </w:t>
      </w:r>
      <w:hyperlink r:id="rId172">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73"/>
    <w:bookmarkStart w:id="175"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74">
        <w:r>
          <w:rPr>
            <w:rStyle w:val="Hyperlink"/>
          </w:rPr>
          <w:t xml:space="preserve">https://doi.org/10.11141/ia.67.8</w:t>
        </w:r>
      </w:hyperlink>
      <w:r>
        <w:t xml:space="preserve">.</w:t>
      </w:r>
    </w:p>
    <w:bookmarkEnd w:id="175"/>
    <w:bookmarkStart w:id="177" w:name="ref-RoyalSociety2024"/>
    <w:p>
      <w:pPr>
        <w:pStyle w:val="Bibliography"/>
      </w:pPr>
      <w:r>
        <w:t xml:space="preserve">The Royal Society. 2024.</w:t>
      </w:r>
      <w:r>
        <w:t xml:space="preserve"> </w:t>
      </w:r>
      <w:hyperlink r:id="rId176">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77"/>
    <w:bookmarkStart w:id="179"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78">
        <w:r>
          <w:rPr>
            <w:rStyle w:val="Hyperlink"/>
          </w:rPr>
          <w:t xml:space="preserve">https://doi.org/10.1038/s41598-023-41032-5</w:t>
        </w:r>
      </w:hyperlink>
      <w:r>
        <w:t xml:space="preserve">.</w:t>
      </w:r>
    </w:p>
    <w:bookmarkEnd w:id="179"/>
    <w:bookmarkStart w:id="181" w:name="ref-Wang2024"/>
    <w:p>
      <w:pPr>
        <w:pStyle w:val="Bibliography"/>
      </w:pPr>
      <w:r>
        <w:t xml:space="preserve">Wang, Lei, Chen Ma, Xueyang Feng, Zeyu Zhang, Hao Yang, Jingsen Zhang, Zhiyuan Chen,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w:t>
      </w:r>
      <w:r>
        <w:t xml:space="preserve"> </w:t>
      </w:r>
      <w:hyperlink r:id="rId180">
        <w:r>
          <w:rPr>
            <w:rStyle w:val="Hyperlink"/>
          </w:rPr>
          <w:t xml:space="preserve">https://doi.org/10.1007/s11704-024-40231-1</w:t>
        </w:r>
      </w:hyperlink>
      <w:r>
        <w:t xml:space="preserve">.</w:t>
      </w:r>
    </w:p>
    <w:bookmarkEnd w:id="181"/>
    <w:bookmarkStart w:id="183"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82">
        <w:r>
          <w:rPr>
            <w:rStyle w:val="Hyperlink"/>
          </w:rPr>
          <w:t xml:space="preserve">https://doi.org/10.21105/joss.01686</w:t>
        </w:r>
      </w:hyperlink>
      <w:r>
        <w:t xml:space="preserve">.</w:t>
      </w:r>
    </w:p>
    <w:bookmarkEnd w:id="183"/>
    <w:bookmarkStart w:id="185"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84">
        <w:r>
          <w:rPr>
            <w:rStyle w:val="Hyperlink"/>
          </w:rPr>
          <w:t xml:space="preserve">https://doi.org/10.1038/s41746-024-01233-2</w:t>
        </w:r>
      </w:hyperlink>
      <w:r>
        <w:t xml:space="preserve">.</w:t>
      </w:r>
    </w:p>
    <w:bookmarkEnd w:id="185"/>
    <w:bookmarkStart w:id="187"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86">
        <w:r>
          <w:rPr>
            <w:rStyle w:val="Hyperlink"/>
          </w:rPr>
          <w:t xml:space="preserve">https://doi.org/10.48550/arXiv.2602.12430</w:t>
        </w:r>
      </w:hyperlink>
      <w:r>
        <w:t xml:space="preserve">.</w:t>
      </w:r>
    </w:p>
    <w:bookmarkEnd w:id="187"/>
    <w:bookmarkStart w:id="189" w:name="ref-Xu2024"/>
    <w:p>
      <w:pPr>
        <w:pStyle w:val="Bibliography"/>
      </w:pPr>
      <w:r>
        <w:t xml:space="preserve">Xu, Xiaojun, Yixiao Chen, and Jing Miao. 2024.</w:t>
      </w:r>
      <w:r>
        <w:t xml:space="preserve"> </w:t>
      </w:r>
      <w:r>
        <w:t xml:space="preserve">Opportunities, Challenges, and Future Directions of Large Language Models, Including ChatGPT in Medical Education: A Systematic Scoping Review</w:t>
      </w:r>
      <w:r>
        <w:t xml:space="preserve">.</w:t>
      </w:r>
      <w:r>
        <w:t xml:space="preserve"> </w:t>
      </w:r>
      <w:r>
        <w:rPr>
          <w:iCs/>
          <w:i/>
        </w:rPr>
        <w:t xml:space="preserve">Journal of Educational Evaluation for Health Professions</w:t>
      </w:r>
      <w:r>
        <w:t xml:space="preserve"> </w:t>
      </w:r>
      <w:r>
        <w:t xml:space="preserve">21:6.</w:t>
      </w:r>
      <w:r>
        <w:t xml:space="preserve"> </w:t>
      </w:r>
      <w:hyperlink r:id="rId188">
        <w:r>
          <w:rPr>
            <w:rStyle w:val="Hyperlink"/>
          </w:rPr>
          <w:t xml:space="preserve">https://doi.org/10.3352/jeehp.2024.21.6</w:t>
        </w:r>
      </w:hyperlink>
      <w:r>
        <w:t xml:space="preserve">.</w:t>
      </w:r>
    </w:p>
    <w:bookmarkEnd w:id="189"/>
    <w:bookmarkStart w:id="191" w:name="ref-ZamfirescuPereira2023"/>
    <w:p>
      <w:pPr>
        <w:pStyle w:val="Bibliography"/>
      </w:pPr>
      <w:r>
        <w:t xml:space="preserve">Zamfirescu-Pereira, J. D., Richmond Y. Wong, Bjoern Hartmann, and Qian Yang. 2023.</w:t>
      </w:r>
      <w:r>
        <w:t xml:space="preserve"> </w:t>
      </w:r>
      <w:hyperlink r:id="rId190">
        <w:r>
          <w:rPr>
            <w:rStyle w:val="Hyperlink"/>
          </w:rPr>
          <w:t xml:space="preserve">Why Johnny Can’t Prompt: How Non-AI Experts Try (and Fail) to Design LLM Prompts</w:t>
        </w:r>
      </w:hyperlink>
      <w:r>
        <w:t xml:space="preserve">, New York, NY, USA.</w:t>
      </w:r>
    </w:p>
    <w:bookmarkEnd w:id="191"/>
    <w:bookmarkStart w:id="193"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92">
        <w:r>
          <w:rPr>
            <w:rStyle w:val="Hyperlink"/>
          </w:rPr>
          <w:t xml:space="preserve">https://doi.org/10.1613/jair.1.11345</w:t>
        </w:r>
      </w:hyperlink>
      <w:r>
        <w:t xml:space="preserve">.</w:t>
      </w:r>
    </w:p>
    <w:bookmarkEnd w:id="193"/>
    <w:bookmarkStart w:id="195"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94">
        <w:r>
          <w:rPr>
            <w:rStyle w:val="Hyperlink"/>
          </w:rPr>
          <w:t xml:space="preserve">https://doi.org/10.1038/s44387-025-00019-5</w:t>
        </w:r>
      </w:hyperlink>
      <w:r>
        <w:t xml:space="preserve">.</w:t>
      </w:r>
    </w:p>
    <w:bookmarkEnd w:id="195"/>
    <w:bookmarkStart w:id="197"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96">
        <w:r>
          <w:rPr>
            <w:rStyle w:val="Hyperlink"/>
          </w:rPr>
          <w:t xml:space="preserve">https://doi.org/10.1080/21620555.2026.2707167</w:t>
        </w:r>
      </w:hyperlink>
      <w:r>
        <w:t xml:space="preserve">.</w:t>
      </w:r>
    </w:p>
    <w:bookmarkEnd w:id="197"/>
    <w:bookmarkStart w:id="199"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98">
        <w:r>
          <w:rPr>
            <w:rStyle w:val="Hyperlink"/>
          </w:rPr>
          <w:t xml:space="preserve">https://doi.org/10.48550/arXiv.2311.10372</w:t>
        </w:r>
      </w:hyperlink>
      <w:r>
        <w:t xml:space="preserve">.</w:t>
      </w:r>
    </w:p>
    <w:bookmarkEnd w:id="199"/>
    <w:bookmarkStart w:id="201"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200">
        <w:r>
          <w:rPr>
            <w:rStyle w:val="Hyperlink"/>
          </w:rPr>
          <w:t xml:space="preserve">https://doi.org/10.1162/coli_a_00502</w:t>
        </w:r>
      </w:hyperlink>
      <w:r>
        <w:t xml:space="preserve">.</w:t>
      </w:r>
    </w:p>
    <w:bookmarkEnd w:id="201"/>
    <w:bookmarkStart w:id="203"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202">
        <w:r>
          <w:rPr>
            <w:rStyle w:val="Hyperlink"/>
          </w:rPr>
          <w:t xml:space="preserve">https://doi.org/10.48550/arXiv.2603.15914</w:t>
        </w:r>
      </w:hyperlink>
      <w:r>
        <w:t xml:space="preserve">.</w:t>
      </w:r>
    </w:p>
    <w:bookmarkEnd w:id="203"/>
    <w:bookmarkEnd w:id="204"/>
    <w:bookmarkEnd w:id="20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78" Target="https://ai.google/static/documents/AI-in-Science.pdf" TargetMode="External" /><Relationship Type="http://schemas.openxmlformats.org/officeDocument/2006/relationships/hyperlink" Id="rId48" Target="https://arxiv.org/abs/2609.00006" TargetMode="External" /><Relationship Type="http://schemas.openxmlformats.org/officeDocument/2006/relationships/hyperlink" Id="rId154" Target="https://doi.org/10.1002/smr.2723" TargetMode="External" /><Relationship Type="http://schemas.openxmlformats.org/officeDocument/2006/relationships/hyperlink" Id="rId108"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44" Target="https://doi.org/10.1007/s10816-015-9272-9" TargetMode="External" /><Relationship Type="http://schemas.openxmlformats.org/officeDocument/2006/relationships/hyperlink" Id="rId180"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20" Target="https://doi.org/10.1016/j.lindif.2023.102274" TargetMode="External" /><Relationship Type="http://schemas.openxmlformats.org/officeDocument/2006/relationships/hyperlink" Id="rId106"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8"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6" Target="https://doi.org/10.1038/s41586-024-07146-0" TargetMode="External" /><Relationship Type="http://schemas.openxmlformats.org/officeDocument/2006/relationships/hyperlink" Id="rId140" Target="https://doi.org/10.1038/s41586-026-10265-5" TargetMode="External" /><Relationship Type="http://schemas.openxmlformats.org/officeDocument/2006/relationships/hyperlink" Id="rId178" Target="https://doi.org/10.1038/s41598-023-41032-5" TargetMode="External" /><Relationship Type="http://schemas.openxmlformats.org/officeDocument/2006/relationships/hyperlink" Id="rId184" Target="https://doi.org/10.1038/s41746-024-01233-2" TargetMode="External" /><Relationship Type="http://schemas.openxmlformats.org/officeDocument/2006/relationships/hyperlink" Id="rId60"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94" Target="https://doi.org/10.1038/s44387-025-00019-5" TargetMode="External" /><Relationship Type="http://schemas.openxmlformats.org/officeDocument/2006/relationships/hyperlink" Id="rId104"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4"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70" Target="https://doi.org/10.1080/20548923.2025.2564519" TargetMode="External" /><Relationship Type="http://schemas.openxmlformats.org/officeDocument/2006/relationships/hyperlink" Id="rId196"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76"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64" Target="https://doi.org/10.1111/2041-210X.14341" TargetMode="External" /><Relationship Type="http://schemas.openxmlformats.org/officeDocument/2006/relationships/hyperlink" Id="rId72" Target="https://doi.org/10.1111/2041-210X.14396" TargetMode="External" /><Relationship Type="http://schemas.openxmlformats.org/officeDocument/2006/relationships/hyperlink" Id="rId68" Target="https://doi.org/10.1111/2041-210x.70267" TargetMode="External" /><Relationship Type="http://schemas.openxmlformats.org/officeDocument/2006/relationships/hyperlink" Id="rId128" Target="https://doi.org/10.1111/2041-210x.70403" TargetMode="External" /><Relationship Type="http://schemas.openxmlformats.org/officeDocument/2006/relationships/hyperlink" Id="rId66" Target="https://doi.org/10.1111/faf.70079" TargetMode="External" /><Relationship Type="http://schemas.openxmlformats.org/officeDocument/2006/relationships/hyperlink" Id="rId174" Target="https://doi.org/10.11141/ia.67.8" TargetMode="External" /><Relationship Type="http://schemas.openxmlformats.org/officeDocument/2006/relationships/hyperlink" Id="rId118"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90" Target="https://doi.org/10.1145/3544548.3581388" TargetMode="External" /><Relationship Type="http://schemas.openxmlformats.org/officeDocument/2006/relationships/hyperlink" Id="rId156" Target="https://doi.org/10.1145/3586183.3606763" TargetMode="External" /><Relationship Type="http://schemas.openxmlformats.org/officeDocument/2006/relationships/hyperlink" Id="rId11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200" Target="https://doi.org/10.1162/coli_a_00502" TargetMode="External" /><Relationship Type="http://schemas.openxmlformats.org/officeDocument/2006/relationships/hyperlink" Id="rId124"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2" Target="https://doi.org/10.1371/journal.pcbi.1014428" TargetMode="External" /><Relationship Type="http://schemas.openxmlformats.org/officeDocument/2006/relationships/hyperlink" Id="rId112" Target="https://doi.org/10.1371/journal.pone.0317084" TargetMode="External" /><Relationship Type="http://schemas.openxmlformats.org/officeDocument/2006/relationships/hyperlink" Id="rId192" Target="https://doi.org/10.1613/jair.1.11345" TargetMode="External" /><Relationship Type="http://schemas.openxmlformats.org/officeDocument/2006/relationships/hyperlink" Id="rId152" Target="https://doi.org/10.17226/29488" TargetMode="External" /><Relationship Type="http://schemas.openxmlformats.org/officeDocument/2006/relationships/hyperlink" Id="rId182" Target="https://doi.org/10.21105/joss.01686" TargetMode="External" /><Relationship Type="http://schemas.openxmlformats.org/officeDocument/2006/relationships/hyperlink" Id="rId150" Target="https://doi.org/10.2139/ssrn.7011058" TargetMode="External" /><Relationship Type="http://schemas.openxmlformats.org/officeDocument/2006/relationships/hyperlink" Id="rId132" Target="https://doi.org/10.2196/51584" TargetMode="External" /><Relationship Type="http://schemas.openxmlformats.org/officeDocument/2006/relationships/hyperlink" Id="rId138" Target="https://doi.org/10.22582/ta.v14i2.778" TargetMode="External" /><Relationship Type="http://schemas.openxmlformats.org/officeDocument/2006/relationships/hyperlink" Id="rId102" Target="https://doi.org/10.24963/ijcai.2024/890" TargetMode="External" /><Relationship Type="http://schemas.openxmlformats.org/officeDocument/2006/relationships/hyperlink" Id="rId54" Target="https://doi.org/10.31235/osf.io/azs6r_v1" TargetMode="External" /><Relationship Type="http://schemas.openxmlformats.org/officeDocument/2006/relationships/hyperlink" Id="rId172" Target="https://doi.org/10.3233/faia230098" TargetMode="External" /><Relationship Type="http://schemas.openxmlformats.org/officeDocument/2006/relationships/hyperlink" Id="rId188" Target="https://doi.org/10.3352/jeehp.2024.21.6" TargetMode="External" /><Relationship Type="http://schemas.openxmlformats.org/officeDocument/2006/relationships/hyperlink" Id="rId122" Target="https://doi.org/10.35566/jbds/jikim" TargetMode="External" /><Relationship Type="http://schemas.openxmlformats.org/officeDocument/2006/relationships/hyperlink" Id="rId162"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6"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98" Target="https://doi.org/10.48550/arXiv.2311.10372" TargetMode="External" /><Relationship Type="http://schemas.openxmlformats.org/officeDocument/2006/relationships/hyperlink" Id="rId130" Target="https://doi.org/10.48550/arXiv.2505.06120" TargetMode="External" /><Relationship Type="http://schemas.openxmlformats.org/officeDocument/2006/relationships/hyperlink" Id="rId96" Target="https://doi.org/10.48550/arXiv.2601.22638" TargetMode="External" /><Relationship Type="http://schemas.openxmlformats.org/officeDocument/2006/relationships/hyperlink" Id="rId186" Target="https://doi.org/10.48550/arXiv.2602.12430" TargetMode="External" /><Relationship Type="http://schemas.openxmlformats.org/officeDocument/2006/relationships/hyperlink" Id="rId202" Target="https://doi.org/10.48550/arXiv.2603.15914" TargetMode="External" /><Relationship Type="http://schemas.openxmlformats.org/officeDocument/2006/relationships/hyperlink" Id="rId136" Target="https://doi.org/10.48550/arXiv.2604.14228" TargetMode="External" /><Relationship Type="http://schemas.openxmlformats.org/officeDocument/2006/relationships/hyperlink" Id="rId148" Target="https://doi.org/10.48550/arXiv.2607.01507" TargetMode="External" /><Relationship Type="http://schemas.openxmlformats.org/officeDocument/2006/relationships/hyperlink" Id="rId74" Target="https://doi.org/10.48550/arXiv.2609.11198" TargetMode="External" /><Relationship Type="http://schemas.openxmlformats.org/officeDocument/2006/relationships/hyperlink" Id="rId134" Target="https://doi.org/10.48550/arXiv.2609.16995" TargetMode="External" /><Relationship Type="http://schemas.openxmlformats.org/officeDocument/2006/relationships/hyperlink" Id="rId166" Target="https://doi.org/10.52202/075280-2997" TargetMode="External" /><Relationship Type="http://schemas.openxmlformats.org/officeDocument/2006/relationships/hyperlink" Id="rId168" Target="https://ladal.edu.au/tutorials/llm_privacy/llm_privacy.html" TargetMode="External" /><Relationship Type="http://schemas.openxmlformats.org/officeDocument/2006/relationships/hyperlink" Id="rId160" Target="https://quarto.org/docs/get-started/hello/rstudio.html" TargetMode="External" /><Relationship Type="http://schemas.openxmlformats.org/officeDocument/2006/relationships/hyperlink" Id="rId70" Target="https://vitaexmachina.substack.com/p/running-local-large-language-models" TargetMode="External" /><Relationship Type="http://schemas.openxmlformats.org/officeDocument/2006/relationships/hyperlink" Id="rId142" Target="https://www.anthropic.com/research/coding-agents-social-sciences" TargetMode="External" /><Relationship Type="http://schemas.openxmlformats.org/officeDocument/2006/relationships/hyperlink" Id="rId126" Target="https://www.nber.org/papers/w34202" TargetMode="External" /><Relationship Type="http://schemas.openxmlformats.org/officeDocument/2006/relationships/hyperlink" Id="rId64"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static/documents/AI-in-Science.pdf" TargetMode="External" /><Relationship Type="http://schemas.openxmlformats.org/officeDocument/2006/relationships/hyperlink" Id="rId48" Target="https://arxiv.org/abs/2609.00006" TargetMode="External" /><Relationship Type="http://schemas.openxmlformats.org/officeDocument/2006/relationships/hyperlink" Id="rId154" Target="https://doi.org/10.1002/smr.2723" TargetMode="External" /><Relationship Type="http://schemas.openxmlformats.org/officeDocument/2006/relationships/hyperlink" Id="rId108"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44" Target="https://doi.org/10.1007/s10816-015-9272-9" TargetMode="External" /><Relationship Type="http://schemas.openxmlformats.org/officeDocument/2006/relationships/hyperlink" Id="rId180"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20" Target="https://doi.org/10.1016/j.lindif.2023.102274" TargetMode="External" /><Relationship Type="http://schemas.openxmlformats.org/officeDocument/2006/relationships/hyperlink" Id="rId106"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8"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6" Target="https://doi.org/10.1038/s41586-024-07146-0" TargetMode="External" /><Relationship Type="http://schemas.openxmlformats.org/officeDocument/2006/relationships/hyperlink" Id="rId140" Target="https://doi.org/10.1038/s41586-026-10265-5" TargetMode="External" /><Relationship Type="http://schemas.openxmlformats.org/officeDocument/2006/relationships/hyperlink" Id="rId178" Target="https://doi.org/10.1038/s41598-023-41032-5" TargetMode="External" /><Relationship Type="http://schemas.openxmlformats.org/officeDocument/2006/relationships/hyperlink" Id="rId184" Target="https://doi.org/10.1038/s41746-024-01233-2" TargetMode="External" /><Relationship Type="http://schemas.openxmlformats.org/officeDocument/2006/relationships/hyperlink" Id="rId60"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94" Target="https://doi.org/10.1038/s44387-025-00019-5" TargetMode="External" /><Relationship Type="http://schemas.openxmlformats.org/officeDocument/2006/relationships/hyperlink" Id="rId104"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4"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70" Target="https://doi.org/10.1080/20548923.2025.2564519" TargetMode="External" /><Relationship Type="http://schemas.openxmlformats.org/officeDocument/2006/relationships/hyperlink" Id="rId196"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76"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64" Target="https://doi.org/10.1111/2041-210X.14341" TargetMode="External" /><Relationship Type="http://schemas.openxmlformats.org/officeDocument/2006/relationships/hyperlink" Id="rId72" Target="https://doi.org/10.1111/2041-210X.14396" TargetMode="External" /><Relationship Type="http://schemas.openxmlformats.org/officeDocument/2006/relationships/hyperlink" Id="rId68" Target="https://doi.org/10.1111/2041-210x.70267" TargetMode="External" /><Relationship Type="http://schemas.openxmlformats.org/officeDocument/2006/relationships/hyperlink" Id="rId128" Target="https://doi.org/10.1111/2041-210x.70403" TargetMode="External" /><Relationship Type="http://schemas.openxmlformats.org/officeDocument/2006/relationships/hyperlink" Id="rId66" Target="https://doi.org/10.1111/faf.70079" TargetMode="External" /><Relationship Type="http://schemas.openxmlformats.org/officeDocument/2006/relationships/hyperlink" Id="rId174" Target="https://doi.org/10.11141/ia.67.8" TargetMode="External" /><Relationship Type="http://schemas.openxmlformats.org/officeDocument/2006/relationships/hyperlink" Id="rId118"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90" Target="https://doi.org/10.1145/3544548.3581388" TargetMode="External" /><Relationship Type="http://schemas.openxmlformats.org/officeDocument/2006/relationships/hyperlink" Id="rId156" Target="https://doi.org/10.1145/3586183.3606763" TargetMode="External" /><Relationship Type="http://schemas.openxmlformats.org/officeDocument/2006/relationships/hyperlink" Id="rId11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200" Target="https://doi.org/10.1162/coli_a_00502" TargetMode="External" /><Relationship Type="http://schemas.openxmlformats.org/officeDocument/2006/relationships/hyperlink" Id="rId124"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2" Target="https://doi.org/10.1371/journal.pcbi.1014428" TargetMode="External" /><Relationship Type="http://schemas.openxmlformats.org/officeDocument/2006/relationships/hyperlink" Id="rId112" Target="https://doi.org/10.1371/journal.pone.0317084" TargetMode="External" /><Relationship Type="http://schemas.openxmlformats.org/officeDocument/2006/relationships/hyperlink" Id="rId192" Target="https://doi.org/10.1613/jair.1.11345" TargetMode="External" /><Relationship Type="http://schemas.openxmlformats.org/officeDocument/2006/relationships/hyperlink" Id="rId152" Target="https://doi.org/10.17226/29488" TargetMode="External" /><Relationship Type="http://schemas.openxmlformats.org/officeDocument/2006/relationships/hyperlink" Id="rId182" Target="https://doi.org/10.21105/joss.01686" TargetMode="External" /><Relationship Type="http://schemas.openxmlformats.org/officeDocument/2006/relationships/hyperlink" Id="rId150" Target="https://doi.org/10.2139/ssrn.7011058" TargetMode="External" /><Relationship Type="http://schemas.openxmlformats.org/officeDocument/2006/relationships/hyperlink" Id="rId132" Target="https://doi.org/10.2196/51584" TargetMode="External" /><Relationship Type="http://schemas.openxmlformats.org/officeDocument/2006/relationships/hyperlink" Id="rId138" Target="https://doi.org/10.22582/ta.v14i2.778" TargetMode="External" /><Relationship Type="http://schemas.openxmlformats.org/officeDocument/2006/relationships/hyperlink" Id="rId102" Target="https://doi.org/10.24963/ijcai.2024/890" TargetMode="External" /><Relationship Type="http://schemas.openxmlformats.org/officeDocument/2006/relationships/hyperlink" Id="rId54" Target="https://doi.org/10.31235/osf.io/azs6r_v1" TargetMode="External" /><Relationship Type="http://schemas.openxmlformats.org/officeDocument/2006/relationships/hyperlink" Id="rId172" Target="https://doi.org/10.3233/faia230098" TargetMode="External" /><Relationship Type="http://schemas.openxmlformats.org/officeDocument/2006/relationships/hyperlink" Id="rId188" Target="https://doi.org/10.3352/jeehp.2024.21.6" TargetMode="External" /><Relationship Type="http://schemas.openxmlformats.org/officeDocument/2006/relationships/hyperlink" Id="rId122" Target="https://doi.org/10.35566/jbds/jikim" TargetMode="External" /><Relationship Type="http://schemas.openxmlformats.org/officeDocument/2006/relationships/hyperlink" Id="rId162"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6"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98" Target="https://doi.org/10.48550/arXiv.2311.10372" TargetMode="External" /><Relationship Type="http://schemas.openxmlformats.org/officeDocument/2006/relationships/hyperlink" Id="rId130" Target="https://doi.org/10.48550/arXiv.2505.06120" TargetMode="External" /><Relationship Type="http://schemas.openxmlformats.org/officeDocument/2006/relationships/hyperlink" Id="rId96" Target="https://doi.org/10.48550/arXiv.2601.22638" TargetMode="External" /><Relationship Type="http://schemas.openxmlformats.org/officeDocument/2006/relationships/hyperlink" Id="rId186" Target="https://doi.org/10.48550/arXiv.2602.12430" TargetMode="External" /><Relationship Type="http://schemas.openxmlformats.org/officeDocument/2006/relationships/hyperlink" Id="rId202" Target="https://doi.org/10.48550/arXiv.2603.15914" TargetMode="External" /><Relationship Type="http://schemas.openxmlformats.org/officeDocument/2006/relationships/hyperlink" Id="rId136" Target="https://doi.org/10.48550/arXiv.2604.14228" TargetMode="External" /><Relationship Type="http://schemas.openxmlformats.org/officeDocument/2006/relationships/hyperlink" Id="rId148" Target="https://doi.org/10.48550/arXiv.2607.01507" TargetMode="External" /><Relationship Type="http://schemas.openxmlformats.org/officeDocument/2006/relationships/hyperlink" Id="rId74" Target="https://doi.org/10.48550/arXiv.2609.11198" TargetMode="External" /><Relationship Type="http://schemas.openxmlformats.org/officeDocument/2006/relationships/hyperlink" Id="rId134" Target="https://doi.org/10.48550/arXiv.2609.16995" TargetMode="External" /><Relationship Type="http://schemas.openxmlformats.org/officeDocument/2006/relationships/hyperlink" Id="rId166" Target="https://doi.org/10.52202/075280-2997" TargetMode="External" /><Relationship Type="http://schemas.openxmlformats.org/officeDocument/2006/relationships/hyperlink" Id="rId168" Target="https://ladal.edu.au/tutorials/llm_privacy/llm_privacy.html" TargetMode="External" /><Relationship Type="http://schemas.openxmlformats.org/officeDocument/2006/relationships/hyperlink" Id="rId160" Target="https://quarto.org/docs/get-started/hello/rstudio.html" TargetMode="External" /><Relationship Type="http://schemas.openxmlformats.org/officeDocument/2006/relationships/hyperlink" Id="rId70" Target="https://vitaexmachina.substack.com/p/running-local-large-language-models" TargetMode="External" /><Relationship Type="http://schemas.openxmlformats.org/officeDocument/2006/relationships/hyperlink" Id="rId142" Target="https://www.anthropic.com/research/coding-agents-social-sciences" TargetMode="External" /><Relationship Type="http://schemas.openxmlformats.org/officeDocument/2006/relationships/hyperlink" Id="rId126" Target="https://www.nber.org/papers/w34202" TargetMode="External" /><Relationship Type="http://schemas.openxmlformats.org/officeDocument/2006/relationships/hyperlink" Id="rId64"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2026-09-28T02:42:25Z</dcterms:created>
  <dcterms:modified xsi:type="dcterms:W3CDTF">2026-09-28T02:42:25Z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27,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