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Materials</w:t>
      </w:r>
      <w:r>
        <w:t xml:space="preserve"> </w:t>
      </w:r>
      <w:r>
        <w:t xml:space="preserve">for</w:t>
      </w:r>
      <w:r>
        <w:t xml:space="preserve"> </w:t>
      </w:r>
      <w:r>
        <w:t xml:space="preserve">‘</w:t>
      </w:r>
      <w:r>
        <w:t xml:space="preserve">How</w:t>
      </w:r>
      <w:r>
        <w:t xml:space="preserve"> </w:t>
      </w:r>
      <w:r>
        <w:t xml:space="preserve">to</w:t>
      </w:r>
      <w:r>
        <w:t xml:space="preserve"> </w:t>
      </w:r>
      <w:r>
        <w:t xml:space="preserve">Use</w:t>
      </w:r>
      <w:r>
        <w:t xml:space="preserve"> </w:t>
      </w:r>
      <w:r>
        <w:t xml:space="preserve">Agentic</w:t>
      </w:r>
      <w:r>
        <w:t xml:space="preserve"> </w:t>
      </w:r>
      <w:r>
        <w:t xml:space="preserve">AI</w:t>
      </w:r>
      <w:r>
        <w:t xml:space="preserve"> </w:t>
      </w:r>
      <w:r>
        <w:t xml:space="preserve">for</w:t>
      </w:r>
      <w:r>
        <w:t xml:space="preserve"> </w:t>
      </w:r>
      <w:r>
        <w:t xml:space="preserve">Responsible</w:t>
      </w:r>
      <w:r>
        <w:t xml:space="preserve"> </w:t>
      </w:r>
      <w:r>
        <w:t xml:space="preserve">Archaeological</w:t>
      </w:r>
      <w:r>
        <w:t xml:space="preserve"> </w:t>
      </w:r>
      <w:r>
        <w:t xml:space="preserve">Data</w:t>
      </w:r>
      <w:r>
        <w:t xml:space="preserve"> </w:t>
      </w:r>
      <w:r>
        <w:t xml:space="preserve">Analysis</w:t>
      </w:r>
      <w:r>
        <w:t xml:space="preserve">’</w:t>
      </w:r>
    </w:p>
    <w:bookmarkStart w:id="20" w:name="how-these-files-work"/>
    <w:p>
      <w:pPr>
        <w:pStyle w:val="Heading2"/>
      </w:pPr>
      <w:r>
        <w:t xml:space="preserve">How These Files Work</w:t>
      </w:r>
    </w:p>
    <w:p>
      <w:pPr>
        <w:pStyle w:val="FirstParagraph"/>
      </w:pPr>
      <w:r>
        <w:t xml:space="preserve">These are the AGENTS.md files we use to steer model behaviour toward our work habits and writing style. OpenCode reads them at the start of every model request, every step of every turn</w:t>
      </w:r>
      <w:r>
        <w:t xml:space="preserve"> </w:t>
      </w:r>
      <w:r>
        <w:t xml:space="preserve">(</w:t>
      </w:r>
      <w:hyperlink w:anchor="ref-OpenCodeRules2026">
        <w:r>
          <w:rPr>
            <w:rStyle w:val="Hyperlink"/>
          </w:rPr>
          <w:t xml:space="preserve">OpenCode</w:t>
        </w:r>
      </w:hyperlink>
      <w:r>
        <w:t xml:space="preserve">)</w:t>
      </w:r>
      <w:r>
        <w:t xml:space="preserve">. It includes their text in the system prompt, alongside environment details, MCP instructions, and skills. Because the harness re-reads and re-sends the text on every request, the instructions remain in the context window for the whole session.</w:t>
      </w:r>
    </w:p>
    <w:p>
      <w:pPr>
        <w:pStyle w:val="BodyText"/>
      </w:pPr>
      <w:r>
        <w:t xml:space="preserve">Models differ substantially in how reliably they follow such instructions. Instruction-following ability varies widely across models even on simple verifiable constraints</w:t>
      </w:r>
      <w:r>
        <w:t xml:space="preserve"> </w:t>
      </w:r>
      <w:r>
        <w:t xml:space="preserve">(</w:t>
      </w:r>
      <w:hyperlink w:anchor="ref-Dussolle2025MIFEval">
        <w:r>
          <w:rPr>
            <w:rStyle w:val="Hyperlink"/>
          </w:rPr>
          <w:t xml:space="preserve">Dussolle et al. 2025</w:t>
        </w:r>
      </w:hyperlink>
      <w:r>
        <w:t xml:space="preserve">;</w:t>
      </w:r>
      <w:r>
        <w:t xml:space="preserve"> </w:t>
      </w:r>
      <w:hyperlink w:anchor="ref-Young2025InstructionAdherence">
        <w:r>
          <w:rPr>
            <w:rStyle w:val="Hyperlink"/>
          </w:rPr>
          <w:t xml:space="preserve">Young et al. 2025</w:t>
        </w:r>
      </w:hyperlink>
      <w:r>
        <w:t xml:space="preserve">;</w:t>
      </w:r>
      <w:r>
        <w:t xml:space="preserve"> </w:t>
      </w:r>
      <w:hyperlink w:anchor="ref-Zhou2023IFEval">
        <w:r>
          <w:rPr>
            <w:rStyle w:val="Hyperlink"/>
          </w:rPr>
          <w:t xml:space="preserve">Zhou et al. 2023</w:t>
        </w:r>
      </w:hyperlink>
      <w:r>
        <w:t xml:space="preserve">)</w:t>
      </w:r>
      <w:r>
        <w:t xml:space="preserve">, and models differ in how they weigh material at different positions within a single prompt</w:t>
      </w:r>
      <w:r>
        <w:t xml:space="preserve"> </w:t>
      </w:r>
      <w:r>
        <w:t xml:space="preserve">(</w:t>
      </w:r>
      <w:hyperlink w:anchor="ref-Li2024InstructionRobustness">
        <w:r>
          <w:rPr>
            <w:rStyle w:val="Hyperlink"/>
          </w:rPr>
          <w:t xml:space="preserve">Li et al. 2024</w:t>
        </w:r>
      </w:hyperlink>
      <w:r>
        <w:t xml:space="preserve">)</w:t>
      </w:r>
      <w:r>
        <w:t xml:space="preserve">. Models also vary in whether they treat system-prompt text as more authoritative than user text</w:t>
      </w:r>
      <w:r>
        <w:t xml:space="preserve"> </w:t>
      </w:r>
      <w:r>
        <w:t xml:space="preserve">(</w:t>
      </w:r>
      <w:hyperlink w:anchor="ref-Wallace2024InstructionHierarchy">
        <w:r>
          <w:rPr>
            <w:rStyle w:val="Hyperlink"/>
          </w:rPr>
          <w:t xml:space="preserve">Wallace et al. 2024</w:t>
        </w:r>
      </w:hyperlink>
      <w:r>
        <w:t xml:space="preserve">)</w:t>
      </w:r>
      <w:r>
        <w:t xml:space="preserve">. This means that the effectiveness of the instructions in AGENTS.md files will vary between models.</w:t>
      </w:r>
    </w:p>
    <w:p>
      <w:pPr>
        <w:pStyle w:val="BodyText"/>
      </w:pPr>
      <w:r>
        <w:t xml:space="preserve">A model’s adherence to instructions tends to decay as the conversation grows, even when the instruction text remains in the context window throughout. Performance on long-context tasks falls as input length increases, and this drop persists even when every piece of relevant information is retrieved correctly and irrelevant tokens are masked out</w:t>
      </w:r>
      <w:r>
        <w:t xml:space="preserve"> </w:t>
      </w:r>
      <w:r>
        <w:t xml:space="preserve">(</w:t>
      </w:r>
      <w:hyperlink w:anchor="ref-Du2025ContextLength">
        <w:r>
          <w:rPr>
            <w:rStyle w:val="Hyperlink"/>
          </w:rPr>
          <w:t xml:space="preserve">Du et al. 2025</w:t>
        </w:r>
      </w:hyperlink>
      <w:r>
        <w:t xml:space="preserve">)</w:t>
      </w:r>
      <w:r>
        <w:t xml:space="preserve">. Models are most accurate when relevant material sits at the beginning or end of a long input, and less accurate when it sits in the middle</w:t>
      </w:r>
      <w:r>
        <w:t xml:space="preserve"> </w:t>
      </w:r>
      <w:r>
        <w:t xml:space="preserve">(</w:t>
      </w:r>
      <w:hyperlink w:anchor="ref-Hsieh2024RULER">
        <w:r>
          <w:rPr>
            <w:rStyle w:val="Hyperlink"/>
          </w:rPr>
          <w:t xml:space="preserve">Hsieh et al. 2024</w:t>
        </w:r>
      </w:hyperlink>
      <w:r>
        <w:t xml:space="preserve">;</w:t>
      </w:r>
      <w:r>
        <w:t xml:space="preserve"> </w:t>
      </w:r>
      <w:hyperlink w:anchor="ref-Liu2024LostMiddle">
        <w:r>
          <w:rPr>
            <w:rStyle w:val="Hyperlink"/>
          </w:rPr>
          <w:t xml:space="preserve">Liu et al. 2024</w:t>
        </w:r>
      </w:hyperlink>
      <w:r>
        <w:t xml:space="preserve">;</w:t>
      </w:r>
      <w:r>
        <w:t xml:space="preserve"> </w:t>
      </w:r>
      <w:hyperlink w:anchor="ref-Modarressi2025NoLiMa">
        <w:r>
          <w:rPr>
            <w:rStyle w:val="Hyperlink"/>
          </w:rPr>
          <w:t xml:space="preserve">Modarressi et al. 2025</w:t>
        </w:r>
      </w:hyperlink>
      <w:r>
        <w:t xml:space="preserve">)</w:t>
      </w:r>
      <w:r>
        <w:t xml:space="preserve">. Separately, extended multi-turn dialogue produces instruction drift, in which global constraints fade across topic shifts</w:t>
      </w:r>
      <w:r>
        <w:t xml:space="preserve"> </w:t>
      </w:r>
      <w:r>
        <w:t xml:space="preserve">(</w:t>
      </w:r>
      <w:hyperlink w:anchor="ref-Laban2025">
        <w:r>
          <w:rPr>
            <w:rStyle w:val="Hyperlink"/>
          </w:rPr>
          <w:t xml:space="preserve">Laban et al. 2025</w:t>
        </w:r>
      </w:hyperlink>
      <w:r>
        <w:t xml:space="preserve">;</w:t>
      </w:r>
      <w:r>
        <w:t xml:space="preserve"> </w:t>
      </w:r>
      <w:hyperlink w:anchor="ref-Myung2026ConversationalReliability">
        <w:r>
          <w:rPr>
            <w:rStyle w:val="Hyperlink"/>
          </w:rPr>
          <w:t xml:space="preserve">Myung 2026</w:t>
        </w:r>
      </w:hyperlink>
      <w:r>
        <w:t xml:space="preserve">)</w:t>
      </w:r>
      <w:r>
        <w:t xml:space="preserve">.</w:t>
      </w:r>
    </w:p>
    <w:p>
      <w:pPr>
        <w:pStyle w:val="BodyText"/>
      </w:pPr>
      <w:r>
        <w:t xml:space="preserve">Taken together, these results suggest some practical guidelines: keep the most important rules short; restate or invoke them where the work happens; start a new context window (restart OpenCode) frequently, for example at the completion of one step of your plan.</w:t>
      </w:r>
    </w:p>
    <w:bookmarkEnd w:id="20"/>
    <w:bookmarkStart w:id="21" w:name="the-three-agents.md-files"/>
    <w:p>
      <w:pPr>
        <w:pStyle w:val="Heading2"/>
      </w:pPr>
      <w:r>
        <w:t xml:space="preserve">The Three AGENTS.md Files</w:t>
      </w:r>
    </w:p>
    <w:p>
      <w:pPr>
        <w:numPr>
          <w:ilvl w:val="0"/>
          <w:numId w:val="1001"/>
        </w:numPr>
      </w:pPr>
      <w:r>
        <w:rPr>
          <w:rStyle w:val="VerbatimChar"/>
          <w:bCs/>
          <w:b/>
        </w:rPr>
        <w:t xml:space="preserve">global-AGENTS.md</w:t>
      </w:r>
      <w:r>
        <w:t xml:space="preserve"> </w:t>
      </w:r>
      <w:r>
        <w:t xml:space="preserve">This file affects models behavior across all projects where AI is used. It is mostly writing, formatting and epistemic rules to push the model to write efficiently and verify any claims it makes. We told our AI to generate a global AGENTS.md that applies to every project. On my computer this file is located in a typical location for global configuration files:</w:t>
      </w:r>
      <w:r>
        <w:t xml:space="preserve"> </w:t>
      </w:r>
      <w:r>
        <w:rPr>
          <w:rStyle w:val="VerbatimChar"/>
        </w:rPr>
        <w:t xml:space="preserve">/Users/bmarwick/.config/opencode/AGENTS.md</w:t>
      </w:r>
    </w:p>
    <w:p>
      <w:pPr>
        <w:numPr>
          <w:ilvl w:val="0"/>
          <w:numId w:val="1001"/>
        </w:numPr>
      </w:pPr>
      <w:r>
        <w:rPr>
          <w:rStyle w:val="VerbatimChar"/>
          <w:bCs/>
          <w:b/>
        </w:rPr>
        <w:t xml:space="preserve">project-AGENTS.md</w:t>
      </w:r>
      <w:r>
        <w:t xml:space="preserve"> </w:t>
      </w:r>
      <w:r>
        <w:t xml:space="preserve">This file provides technical context on the specific project, and directs the model on project-level tasks. It tells the model we are using the R programming language and writing in a Quarto document. It gives instructions to tools and MCP servers that were used on the project. It provides an agent coordination protocol for multiple agents to work together on the project without conflict. This file is mostly AI-generated from our instructions to the agent, and located at the top level of the project folder, e.g. </w:t>
      </w:r>
      <w:r>
        <w:rPr>
          <w:rStyle w:val="VerbatimChar"/>
        </w:rPr>
        <w:t xml:space="preserve">my-project/AGENTS.md</w:t>
      </w:r>
    </w:p>
    <w:p>
      <w:pPr>
        <w:numPr>
          <w:ilvl w:val="0"/>
          <w:numId w:val="1001"/>
        </w:numPr>
      </w:pPr>
      <w:r>
        <w:rPr>
          <w:rStyle w:val="VerbatimChar"/>
          <w:bCs/>
          <w:b/>
        </w:rPr>
        <w:t xml:space="preserve">paper-AGENTS.md</w:t>
      </w:r>
      <w:r>
        <w:t xml:space="preserve"> </w:t>
      </w:r>
      <w:r>
        <w:t xml:space="preserve">This file attempts to guide the model on writing style. It is a mix of technical preferences (e.g. use inline R code for numbers in sentences in the Quarto document) and stylistic preferences (e.g. keep most sentences under 30 words and vary sentence length). The writing style instructions overlap with the global agents instructions, but here they are specifically tailored to the target journal and article type. This file is mostly AI-generated from our instructions to the agent, and is in the same directory as our Quarto document, e.g. </w:t>
      </w:r>
      <w:r>
        <w:rPr>
          <w:rStyle w:val="VerbatimChar"/>
        </w:rPr>
        <w:t xml:space="preserve">my-project/paper/AGENTS.md</w:t>
      </w:r>
    </w:p>
    <w:bookmarkEnd w:id="21"/>
    <w:bookmarkStart w:id="47" w:name="references-cited"/>
    <w:p>
      <w:pPr>
        <w:pStyle w:val="Heading2"/>
      </w:pPr>
      <w:r>
        <w:t xml:space="preserve">References Cited</w:t>
      </w:r>
    </w:p>
    <w:bookmarkStart w:id="46" w:name="refs"/>
    <w:bookmarkStart w:id="23" w:name="ref-Du2025ContextLength"/>
    <w:p>
      <w:pPr>
        <w:pStyle w:val="Bibliography"/>
      </w:pPr>
      <w:r>
        <w:t xml:space="preserve">Du, Yufeng, Minyang Tian, Srikanth Ronanki, et al. 2025. Context Length Alone Hurts</w:t>
      </w:r>
      <w:r>
        <w:t xml:space="preserve"> </w:t>
      </w:r>
      <w:r>
        <w:t xml:space="preserve">LLM</w:t>
      </w:r>
      <w:r>
        <w:t xml:space="preserve"> </w:t>
      </w:r>
      <w:r>
        <w:t xml:space="preserve">Performance Despite Perfect Retrieval.</w:t>
      </w:r>
      <w:r>
        <w:t xml:space="preserve"> </w:t>
      </w:r>
      <w:r>
        <w:rPr>
          <w:iCs/>
          <w:i/>
        </w:rPr>
        <w:t xml:space="preserve">Findings of the Association for Computational Linguistics: EMNLP 2025</w:t>
      </w:r>
      <w:r>
        <w:t xml:space="preserve">, pp. 23281–23298.</w:t>
      </w:r>
      <w:r>
        <w:t xml:space="preserve"> </w:t>
      </w:r>
      <w:hyperlink r:id="rId22">
        <w:r>
          <w:rPr>
            <w:rStyle w:val="Hyperlink"/>
          </w:rPr>
          <w:t xml:space="preserve">https://doi.org/10.18653/v1/2025.findings-emnlp.1264</w:t>
        </w:r>
      </w:hyperlink>
      <w:r>
        <w:t xml:space="preserve">.</w:t>
      </w:r>
    </w:p>
    <w:bookmarkEnd w:id="23"/>
    <w:bookmarkStart w:id="25" w:name="ref-Dussolle2025MIFEval"/>
    <w:p>
      <w:pPr>
        <w:pStyle w:val="Bibliography"/>
      </w:pPr>
      <w:r>
        <w:t xml:space="preserve">Dussolle, Antoine, Andrea Cardeña Díaz, Shota Sato, and Peter Devine. 2025.</w:t>
      </w:r>
      <w:r>
        <w:t xml:space="preserve"> </w:t>
      </w:r>
      <w:r>
        <w:t xml:space="preserve">M-IFEval</w:t>
      </w:r>
      <w:r>
        <w:t xml:space="preserve">: Multilingual Instruction-Following Evaluation.</w:t>
      </w:r>
      <w:r>
        <w:t xml:space="preserve"> </w:t>
      </w:r>
      <w:hyperlink r:id="rId24">
        <w:r>
          <w:rPr>
            <w:rStyle w:val="Hyperlink"/>
          </w:rPr>
          <w:t xml:space="preserve">https://doi.org/10.48550/arXiv.2502.04688</w:t>
        </w:r>
      </w:hyperlink>
      <w:r>
        <w:t xml:space="preserve">.</w:t>
      </w:r>
    </w:p>
    <w:bookmarkEnd w:id="25"/>
    <w:bookmarkStart w:id="27" w:name="ref-Hsieh2024RULER"/>
    <w:p>
      <w:pPr>
        <w:pStyle w:val="Bibliography"/>
      </w:pPr>
      <w:r>
        <w:t xml:space="preserve">Hsieh, Cheng-Ping, Simeng Sun, Samuel Kriman, et al. 2024.</w:t>
      </w:r>
      <w:r>
        <w:t xml:space="preserve"> </w:t>
      </w:r>
      <w:r>
        <w:t xml:space="preserve">RULER</w:t>
      </w:r>
      <w:r>
        <w:t xml:space="preserve">: What’s the Real Context Size of Your Long-Context Language Models?</w:t>
      </w:r>
      <w:r>
        <w:t xml:space="preserve"> </w:t>
      </w:r>
      <w:r>
        <w:rPr>
          <w:iCs/>
          <w:i/>
        </w:rPr>
        <w:t xml:space="preserve">Conference on Language Modeling (COLM)</w:t>
      </w:r>
      <w:r>
        <w:t xml:space="preserve">.</w:t>
      </w:r>
      <w:r>
        <w:t xml:space="preserve"> </w:t>
      </w:r>
      <w:hyperlink r:id="rId26">
        <w:r>
          <w:rPr>
            <w:rStyle w:val="Hyperlink"/>
          </w:rPr>
          <w:t xml:space="preserve">https://doi.org/10.48550/arXiv.2404.06654</w:t>
        </w:r>
      </w:hyperlink>
      <w:r>
        <w:t xml:space="preserve">.</w:t>
      </w:r>
    </w:p>
    <w:bookmarkEnd w:id="27"/>
    <w:bookmarkStart w:id="29" w:name="ref-Laban2025"/>
    <w:p>
      <w:pPr>
        <w:pStyle w:val="Bibliography"/>
      </w:pPr>
      <w:r>
        <w:t xml:space="preserve">Laban, Philippe, Hiroaki Hayashi, Yingbo Zhou, and Jennifer Neville. 2025.</w:t>
      </w:r>
      <w:r>
        <w:t xml:space="preserve"> </w:t>
      </w:r>
      <w:r>
        <w:t xml:space="preserve">LLMs</w:t>
      </w:r>
      <w:r>
        <w:t xml:space="preserve"> </w:t>
      </w:r>
      <w:r>
        <w:t xml:space="preserve">Get Lost in Multi-Turn Conversation.</w:t>
      </w:r>
      <w:r>
        <w:t xml:space="preserve"> </w:t>
      </w:r>
      <w:hyperlink r:id="rId28">
        <w:r>
          <w:rPr>
            <w:rStyle w:val="Hyperlink"/>
          </w:rPr>
          <w:t xml:space="preserve">https://doi.org/10.48550/arXiv.2505.06120</w:t>
        </w:r>
      </w:hyperlink>
      <w:r>
        <w:t xml:space="preserve">.</w:t>
      </w:r>
    </w:p>
    <w:bookmarkEnd w:id="29"/>
    <w:bookmarkStart w:id="31" w:name="ref-Li2024InstructionRobustness"/>
    <w:p>
      <w:pPr>
        <w:pStyle w:val="Bibliography"/>
      </w:pPr>
      <w:r>
        <w:t xml:space="preserve">Li, Zekun, Baolin Peng, Pengcheng He, and Xifeng Yan. 2024. Evaluating the Instruction-Following Robustness of Large Language Models to Prompt Injection.</w:t>
      </w:r>
      <w:r>
        <w:t xml:space="preserve"> </w:t>
      </w:r>
      <w:r>
        <w:rPr>
          <w:iCs/>
          <w:i/>
        </w:rPr>
        <w:t xml:space="preserve">Proceedings of the 2024 Conference on Empirical Methods in Natural Language Processing</w:t>
      </w:r>
      <w:r>
        <w:t xml:space="preserve">, pp. 557–568.</w:t>
      </w:r>
      <w:r>
        <w:t xml:space="preserve"> </w:t>
      </w:r>
      <w:hyperlink r:id="rId30">
        <w:r>
          <w:rPr>
            <w:rStyle w:val="Hyperlink"/>
          </w:rPr>
          <w:t xml:space="preserve">https://doi.org/10.18653/v1/2024.emnlp-main.33</w:t>
        </w:r>
      </w:hyperlink>
      <w:r>
        <w:t xml:space="preserve">.</w:t>
      </w:r>
    </w:p>
    <w:bookmarkEnd w:id="31"/>
    <w:bookmarkStart w:id="33" w:name="ref-Liu2024LostMiddle"/>
    <w:p>
      <w:pPr>
        <w:pStyle w:val="Bibliography"/>
      </w:pPr>
      <w:r>
        <w:t xml:space="preserve">Liu, Nelson F., Kevin Lin, John Hewitt, et al. 2024. Lost in the Middle: How Language Models Use Long Contexts.</w:t>
      </w:r>
      <w:r>
        <w:t xml:space="preserve"> </w:t>
      </w:r>
      <w:r>
        <w:rPr>
          <w:iCs/>
          <w:i/>
        </w:rPr>
        <w:t xml:space="preserve">Transactions of the Association for Computational Linguistics</w:t>
      </w:r>
      <w:r>
        <w:t xml:space="preserve"> </w:t>
      </w:r>
      <w:r>
        <w:t xml:space="preserve">12:157–173.</w:t>
      </w:r>
      <w:r>
        <w:t xml:space="preserve"> </w:t>
      </w:r>
      <w:hyperlink r:id="rId32">
        <w:r>
          <w:rPr>
            <w:rStyle w:val="Hyperlink"/>
          </w:rPr>
          <w:t xml:space="preserve">https://doi.org/10.1162/tacl_a_00638</w:t>
        </w:r>
      </w:hyperlink>
      <w:r>
        <w:t xml:space="preserve">.</w:t>
      </w:r>
    </w:p>
    <w:bookmarkEnd w:id="33"/>
    <w:bookmarkStart w:id="35" w:name="ref-Modarressi2025NoLiMa"/>
    <w:p>
      <w:pPr>
        <w:pStyle w:val="Bibliography"/>
      </w:pPr>
      <w:r>
        <w:t xml:space="preserve">Modarressi, Ali, Hanieh Deilamsalehy, Franck Dernoncourt, et al. 2025.</w:t>
      </w:r>
      <w:r>
        <w:t xml:space="preserve"> </w:t>
      </w:r>
      <w:r>
        <w:t xml:space="preserve">NoLiMa</w:t>
      </w:r>
      <w:r>
        <w:t xml:space="preserve">: Long-Context Evaluation Beyond Literal Matching.</w:t>
      </w:r>
      <w:r>
        <w:t xml:space="preserve"> </w:t>
      </w:r>
      <w:r>
        <w:rPr>
          <w:iCs/>
          <w:i/>
        </w:rPr>
        <w:t xml:space="preserve">International Conference on Machine Learning (ICML)</w:t>
      </w:r>
      <w:r>
        <w:t xml:space="preserve">.</w:t>
      </w:r>
      <w:r>
        <w:t xml:space="preserve"> </w:t>
      </w:r>
      <w:hyperlink r:id="rId34">
        <w:r>
          <w:rPr>
            <w:rStyle w:val="Hyperlink"/>
          </w:rPr>
          <w:t xml:space="preserve">https://doi.org/10.48550/arXiv.2502.05167</w:t>
        </w:r>
      </w:hyperlink>
      <w:r>
        <w:t xml:space="preserve">.</w:t>
      </w:r>
    </w:p>
    <w:bookmarkEnd w:id="35"/>
    <w:bookmarkStart w:id="37" w:name="ref-Myung2026ConversationalReliability"/>
    <w:p>
      <w:pPr>
        <w:pStyle w:val="Bibliography"/>
      </w:pPr>
      <w:r>
        <w:t xml:space="preserve">Myung, Jiyoon. 2026. Quantifying Conversational Reliability of Large Language Models Under Multi-Turn Interaction.</w:t>
      </w:r>
      <w:r>
        <w:t xml:space="preserve"> </w:t>
      </w:r>
      <w:r>
        <w:rPr>
          <w:iCs/>
          <w:i/>
        </w:rPr>
        <w:t xml:space="preserve">arXiv.org</w:t>
      </w:r>
      <w:r>
        <w:t xml:space="preserve">.</w:t>
      </w:r>
      <w:r>
        <w:t xml:space="preserve"> </w:t>
      </w:r>
      <w:hyperlink r:id="rId36">
        <w:r>
          <w:rPr>
            <w:rStyle w:val="Hyperlink"/>
          </w:rPr>
          <w:t xml:space="preserve">https://doi.org/10.48550/arXiv.2603.01423</w:t>
        </w:r>
      </w:hyperlink>
      <w:r>
        <w:t xml:space="preserve">.</w:t>
      </w:r>
    </w:p>
    <w:bookmarkEnd w:id="37"/>
    <w:bookmarkStart w:id="39" w:name="ref-OpenCodeRules2026"/>
    <w:p>
      <w:pPr>
        <w:pStyle w:val="Bibliography"/>
      </w:pPr>
      <w:r>
        <w:t xml:space="preserve">OpenCode.</w:t>
      </w:r>
      <w:r>
        <w:t xml:space="preserve"> </w:t>
      </w:r>
      <w:r>
        <w:t xml:space="preserve">Rules</w:t>
      </w:r>
      <w:r>
        <w:t xml:space="preserve">.</w:t>
      </w:r>
      <w:r>
        <w:t xml:space="preserve"> </w:t>
      </w:r>
      <w:hyperlink r:id="rId38">
        <w:r>
          <w:rPr>
            <w:rStyle w:val="Hyperlink"/>
          </w:rPr>
          <w:t xml:space="preserve">https://opencode.ai/docs/rules/</w:t>
        </w:r>
      </w:hyperlink>
      <w:r>
        <w:t xml:space="preserve">, accessed September 17, 2026.</w:t>
      </w:r>
    </w:p>
    <w:bookmarkEnd w:id="39"/>
    <w:bookmarkStart w:id="41" w:name="ref-Wallace2024InstructionHierarchy"/>
    <w:p>
      <w:pPr>
        <w:pStyle w:val="Bibliography"/>
      </w:pPr>
      <w:r>
        <w:t xml:space="preserve">Wallace, Eric, Kai Xiao, Reimar Leike, et al. 2024. The Instruction Hierarchy: Training</w:t>
      </w:r>
      <w:r>
        <w:t xml:space="preserve"> </w:t>
      </w:r>
      <w:r>
        <w:t xml:space="preserve">LLMs</w:t>
      </w:r>
      <w:r>
        <w:t xml:space="preserve"> </w:t>
      </w:r>
      <w:r>
        <w:t xml:space="preserve">to Prioritize Privileged Instructions.</w:t>
      </w:r>
      <w:r>
        <w:t xml:space="preserve"> </w:t>
      </w:r>
      <w:r>
        <w:rPr>
          <w:iCs/>
          <w:i/>
        </w:rPr>
        <w:t xml:space="preserve">arXiv.org</w:t>
      </w:r>
      <w:r>
        <w:t xml:space="preserve">.</w:t>
      </w:r>
      <w:r>
        <w:t xml:space="preserve"> </w:t>
      </w:r>
      <w:hyperlink r:id="rId40">
        <w:r>
          <w:rPr>
            <w:rStyle w:val="Hyperlink"/>
          </w:rPr>
          <w:t xml:space="preserve">https://doi.org/10.48550/arXiv.2404.13208</w:t>
        </w:r>
      </w:hyperlink>
      <w:r>
        <w:t xml:space="preserve">.</w:t>
      </w:r>
    </w:p>
    <w:bookmarkEnd w:id="41"/>
    <w:bookmarkStart w:id="43" w:name="ref-Young2025InstructionAdherence"/>
    <w:p>
      <w:pPr>
        <w:pStyle w:val="Bibliography"/>
      </w:pPr>
      <w:r>
        <w:t xml:space="preserve">Young, Richard J., Brandon Gillins, and Alice M. Matthews. 2025. When Models Can’t Follow: Testing Instruction Adherence Across 256</w:t>
      </w:r>
      <w:r>
        <w:t xml:space="preserve"> </w:t>
      </w:r>
      <w:r>
        <w:t xml:space="preserve">LLMs</w:t>
      </w:r>
      <w:r>
        <w:t xml:space="preserve">.</w:t>
      </w:r>
      <w:r>
        <w:t xml:space="preserve"> </w:t>
      </w:r>
      <w:r>
        <w:rPr>
          <w:iCs/>
          <w:i/>
        </w:rPr>
        <w:t xml:space="preserve">arXiv.org</w:t>
      </w:r>
      <w:r>
        <w:t xml:space="preserve">.</w:t>
      </w:r>
      <w:r>
        <w:t xml:space="preserve"> </w:t>
      </w:r>
      <w:hyperlink r:id="rId42">
        <w:r>
          <w:rPr>
            <w:rStyle w:val="Hyperlink"/>
          </w:rPr>
          <w:t xml:space="preserve">https://doi.org/10.48550/arXiv.2510.18892</w:t>
        </w:r>
      </w:hyperlink>
      <w:r>
        <w:t xml:space="preserve">.</w:t>
      </w:r>
    </w:p>
    <w:bookmarkEnd w:id="43"/>
    <w:bookmarkStart w:id="45" w:name="ref-Zhou2023IFEval"/>
    <w:p>
      <w:pPr>
        <w:pStyle w:val="Bibliography"/>
      </w:pPr>
      <w:r>
        <w:t xml:space="preserve">Zhou, Jeffrey, Tianjian Lu, Swaroop Mishra, et al. 2023. Instruction-Following Evaluation for Large Language Models.</w:t>
      </w:r>
      <w:r>
        <w:t xml:space="preserve"> </w:t>
      </w:r>
      <w:r>
        <w:rPr>
          <w:iCs/>
          <w:i/>
        </w:rPr>
        <w:t xml:space="preserve">arXiv.org</w:t>
      </w:r>
      <w:r>
        <w:t xml:space="preserve">.</w:t>
      </w:r>
      <w:r>
        <w:t xml:space="preserve"> </w:t>
      </w:r>
      <w:hyperlink r:id="rId44">
        <w:r>
          <w:rPr>
            <w:rStyle w:val="Hyperlink"/>
          </w:rPr>
          <w:t xml:space="preserve">https://doi.org/10.48550/arXiv.2311.07911</w:t>
        </w:r>
      </w:hyperlink>
      <w:r>
        <w:t xml:space="preserve">.</w:t>
      </w:r>
    </w:p>
    <w:bookmarkEnd w:id="45"/>
    <w:bookmarkEnd w:id="46"/>
    <w:bookmarkEnd w:id="47"/>
    <w:sectPr w:rsidR="00BB20FA" w:rsidSect="004E2847">
      <w:footnotePr>
        <w:numRestart w:val="eachSect"/>
      </w:footnotePr>
      <w:pgSz w:h="15840" w:w="12240"/>
      <w:pgMar w:bottom="1440" w:footer="720" w:gutter="0" w:header="720" w:left="1440" w:right="1440" w:top="1440"/>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BFD048D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E4B2267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57734625" w:numId="1">
    <w:abstractNumId w:val="0"/>
  </w:num>
  <w:num w16cid:durableId="488792786" w:numId="2">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31"/>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9A0D53"/>
    <w:pPr>
      <w:keepNext/>
      <w:keepLines/>
      <w:pageBreakBefore/>
      <w:spacing w:after="40" w:before="80" w:line="20" w:lineRule="exact"/>
      <w:outlineLvl w:val="4"/>
    </w:pPr>
    <w:rPr>
      <w:rFonts w:cstheme="majorBidi" w:eastAsiaTheme="majorEastAsia"/>
      <w:color w:themeColor="background1" w:val="FFFFFF"/>
      <w:sz w:val="1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rsid w:val="008A21D1"/>
    <w:pPr>
      <w:spacing w:after="36" w:before="36"/>
    </w:pPr>
    <w:rPr>
      <w:rFonts w:ascii="Arial" w:hAnsi="Arial"/>
      <w:sz w:val="16"/>
    </w:r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9A0D53"/>
    <w:rPr>
      <w:rFonts w:cstheme="majorBidi" w:eastAsiaTheme="majorEastAsia"/>
      <w:color w:themeColor="background1" w:val="FFFFFF"/>
      <w:sz w:val="1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A87B81"/>
    <w:rPr>
      <w:rFonts w:ascii="Arial" w:hAnsi="Arial"/>
      <w:sz w:val="16"/>
      <w:szCs w:val="20"/>
      <w:lang w:eastAsia="en-US"/>
    </w:rPr>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4E2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doi.org/10.1162/tacl_a_00638" TargetMode="External" /><Relationship Type="http://schemas.openxmlformats.org/officeDocument/2006/relationships/hyperlink" Id="rId30" Target="https://doi.org/10.18653/v1/2024.emnlp-main.33" TargetMode="External" /><Relationship Type="http://schemas.openxmlformats.org/officeDocument/2006/relationships/hyperlink" Id="rId22" Target="https://doi.org/10.18653/v1/2025.findings-emnlp.1264" TargetMode="External" /><Relationship Type="http://schemas.openxmlformats.org/officeDocument/2006/relationships/hyperlink" Id="rId44" Target="https://doi.org/10.48550/arXiv.2311.07911" TargetMode="External" /><Relationship Type="http://schemas.openxmlformats.org/officeDocument/2006/relationships/hyperlink" Id="rId26" Target="https://doi.org/10.48550/arXiv.2404.06654" TargetMode="External" /><Relationship Type="http://schemas.openxmlformats.org/officeDocument/2006/relationships/hyperlink" Id="rId40" Target="https://doi.org/10.48550/arXiv.2404.13208" TargetMode="External" /><Relationship Type="http://schemas.openxmlformats.org/officeDocument/2006/relationships/hyperlink" Id="rId24" Target="https://doi.org/10.48550/arXiv.2502.04688" TargetMode="External" /><Relationship Type="http://schemas.openxmlformats.org/officeDocument/2006/relationships/hyperlink" Id="rId34" Target="https://doi.org/10.48550/arXiv.2502.05167" TargetMode="External" /><Relationship Type="http://schemas.openxmlformats.org/officeDocument/2006/relationships/hyperlink" Id="rId28" Target="https://doi.org/10.48550/arXiv.2505.06120" TargetMode="External" /><Relationship Type="http://schemas.openxmlformats.org/officeDocument/2006/relationships/hyperlink" Id="rId42" Target="https://doi.org/10.48550/arXiv.2510.18892" TargetMode="External" /><Relationship Type="http://schemas.openxmlformats.org/officeDocument/2006/relationships/hyperlink" Id="rId36" Target="https://doi.org/10.48550/arXiv.2603.01423" TargetMode="External" /><Relationship Type="http://schemas.openxmlformats.org/officeDocument/2006/relationships/hyperlink" Id="rId38" Target="https://opencode.ai/docs/rules/" TargetMode="External" /></Relationships>
</file>

<file path=word/_rels/footnotes.xml.rels><?xml version="1.0" encoding="UTF-8"?><Relationships xmlns="http://schemas.openxmlformats.org/package/2006/relationships"><Relationship Type="http://schemas.openxmlformats.org/officeDocument/2006/relationships/hyperlink" Id="rId32" Target="https://doi.org/10.1162/tacl_a_00638" TargetMode="External" /><Relationship Type="http://schemas.openxmlformats.org/officeDocument/2006/relationships/hyperlink" Id="rId30" Target="https://doi.org/10.18653/v1/2024.emnlp-main.33" TargetMode="External" /><Relationship Type="http://schemas.openxmlformats.org/officeDocument/2006/relationships/hyperlink" Id="rId22" Target="https://doi.org/10.18653/v1/2025.findings-emnlp.1264" TargetMode="External" /><Relationship Type="http://schemas.openxmlformats.org/officeDocument/2006/relationships/hyperlink" Id="rId44" Target="https://doi.org/10.48550/arXiv.2311.07911" TargetMode="External" /><Relationship Type="http://schemas.openxmlformats.org/officeDocument/2006/relationships/hyperlink" Id="rId26" Target="https://doi.org/10.48550/arXiv.2404.06654" TargetMode="External" /><Relationship Type="http://schemas.openxmlformats.org/officeDocument/2006/relationships/hyperlink" Id="rId40" Target="https://doi.org/10.48550/arXiv.2404.13208" TargetMode="External" /><Relationship Type="http://schemas.openxmlformats.org/officeDocument/2006/relationships/hyperlink" Id="rId24" Target="https://doi.org/10.48550/arXiv.2502.04688" TargetMode="External" /><Relationship Type="http://schemas.openxmlformats.org/officeDocument/2006/relationships/hyperlink" Id="rId34" Target="https://doi.org/10.48550/arXiv.2502.05167" TargetMode="External" /><Relationship Type="http://schemas.openxmlformats.org/officeDocument/2006/relationships/hyperlink" Id="rId28" Target="https://doi.org/10.48550/arXiv.2505.06120" TargetMode="External" /><Relationship Type="http://schemas.openxmlformats.org/officeDocument/2006/relationships/hyperlink" Id="rId42" Target="https://doi.org/10.48550/arXiv.2510.18892" TargetMode="External" /><Relationship Type="http://schemas.openxmlformats.org/officeDocument/2006/relationships/hyperlink" Id="rId36" Target="https://doi.org/10.48550/arXiv.2603.01423" TargetMode="External" /><Relationship Type="http://schemas.openxmlformats.org/officeDocument/2006/relationships/hyperlink" Id="rId38" Target="https://opencode.ai/docs/ru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for ‘How to Use Agentic AI for Responsible Archaeological Data Analysis’</dc:title>
  <dc:creator/>
  <cp:keywords/>
  <dcterms:created xsi:type="dcterms:W3CDTF">2026-10-02T18:53:29Z</dcterms:created>
  <dcterms:modified xsi:type="dcterms:W3CDTF">2026-10-02T18:53:29Z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../paper/references.bib</vt:lpwstr>
  </property>
  <property fmtid="{D5CDD505-2E9C-101B-9397-08002B2CF9AE}" pid="4" name="csl">
    <vt:lpwstr>../templates/society-for-american-archaeology.csl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toc-title">
    <vt:lpwstr>Table of contents</vt:lpwstr>
  </property>
</Properties>
</file>