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27,</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w:t>
      </w:r>
      <w:r>
        <w:t xml:space="preserve">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Our guide focuses on the low-autonomy end of the range: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center"/>
            </w:pPr>
            <w:pPr>
              <w:jc w:val="start"/>
              <w:spacing w:before="200"/>
              <w:pStyle w:val="ImageCaption"/>
            </w:pPr>
            <w:r>
              <w:t xml:space="preserve">Table 1: Comparison of web-based chat and agentic AI</w:t>
            </w:r>
            <w:r>
              <w:t xml:space="preserve"> </w:t>
            </w:r>
            <w:r>
              <w:t xml:space="preserve">(Boiko et al. 2023; Guo et al. 2024; Kasneci et al. 2023; M. Bran et al. 2024; Park et al. 2023; Rafiee and Woo 2025; Schick et al. 2023; Wang et al. 2024; Xu et al. 2024)</w:t>
            </w:r>
          </w:p>
          <w:tbl>
            <w:tblPr>
              <w:tblStyle w:val="Table"/>
              <w:tblW w:type="pct" w:w="5000"/>
              <w:tblLook w:firstRow="1" w:lastRow="0" w:firstColumn="0" w:lastColumn="0" w:noHBand="0" w:noVBand="0" w:val="0020"/>
              <w:jc w:val="start"/>
              <w:tblLayout w:type="fixed"/>
            </w:tblPr>
            <w:tblGrid>
              <w:gridCol w:w="1403"/>
              <w:gridCol w:w="2907"/>
              <w:gridCol w:w="3609"/>
            </w:tblGrid>
            <w:tr>
              <w:trPr>
                <w:tblHeader w:val="true"/>
              </w:trPr>
              <w:tc>
                <w:tcPr/>
                <w:p>
                  <w:pPr>
                    <w:pStyle w:val="Compact"/>
                    <w:jc w:val="left"/>
                    <w:jc w:val="center"/>
                  </w:pPr>
                  <w:r>
                    <w:t xml:space="preserve">Dimension</w:t>
                  </w:r>
                </w:p>
              </w:tc>
              <w:tc>
                <w:tcPr/>
                <w:p>
                  <w:pPr>
                    <w:pStyle w:val="Compact"/>
                    <w:jc w:val="left"/>
                    <w:jc w:val="center"/>
                  </w:pPr>
                  <w:r>
                    <w:t xml:space="preserve">Web-Based Chat</w:t>
                  </w:r>
                </w:p>
              </w:tc>
              <w:tc>
                <w:tcPr/>
                <w:p>
                  <w:pPr>
                    <w:pStyle w:val="Compact"/>
                    <w:jc w:val="left"/>
                    <w:jc w:val="center"/>
                  </w:pPr>
                  <w:r>
                    <w:t xml:space="preserve">Agentic AI</w:t>
                  </w:r>
                </w:p>
              </w:tc>
            </w:tr>
            <w:tr>
              <w:tc>
                <w:tcPr/>
                <w:p>
                  <w:pPr>
                    <w:pStyle w:val="Compact"/>
                    <w:jc w:val="left"/>
                    <w:jc w:val="center"/>
                  </w:pPr>
                  <w:r>
                    <w:t xml:space="preserve">Objective</w:t>
                  </w:r>
                </w:p>
              </w:tc>
              <w:tc>
                <w:tcPr/>
                <w:p>
                  <w:pPr>
                    <w:pStyle w:val="Compact"/>
                    <w:jc w:val="left"/>
                    <w:jc w:val="center"/>
                  </w:pPr>
                  <w:r>
                    <w:t xml:space="preserve">Produces a relevant text response to the current prompt</w:t>
                  </w:r>
                </w:p>
              </w:tc>
              <w:tc>
                <w:tcPr/>
                <w:p>
                  <w:pPr>
                    <w:pStyle w:val="Compact"/>
                    <w:jc w:val="left"/>
                    <w:jc w:val="center"/>
                  </w:pPr>
                  <w:r>
                    <w:t xml:space="preserve">Completes an external goal across many steps</w:t>
                  </w:r>
                </w:p>
              </w:tc>
            </w:tr>
            <w:tr>
              <w:tc>
                <w:tcPr/>
                <w:p>
                  <w:pPr>
                    <w:pStyle w:val="Compact"/>
                    <w:jc w:val="left"/>
                    <w:jc w:val="center"/>
                  </w:pPr>
                  <w:r>
                    <w:t xml:space="preserve">Interaction pattern</w:t>
                  </w:r>
                </w:p>
              </w:tc>
              <w:tc>
                <w:tcPr/>
                <w:p>
                  <w:pPr>
                    <w:pStyle w:val="Compact"/>
                    <w:jc w:val="left"/>
                    <w:jc w:val="center"/>
                  </w:pPr>
                  <w:r>
                    <w:t xml:space="preserve">Turn-based question and answer in a browser session</w:t>
                  </w:r>
                </w:p>
              </w:tc>
              <w:tc>
                <w:tcPr/>
                <w:p>
                  <w:pPr>
                    <w:pStyle w:val="Compact"/>
                    <w:jc w:val="left"/>
                    <w:jc w:val="center"/>
                  </w:pPr>
                  <w:r>
                    <w:t xml:space="preserve">Perceive-plan-act-observe loop until a stopping condition</w:t>
                  </w:r>
                </w:p>
              </w:tc>
            </w:tr>
            <w:tr>
              <w:tc>
                <w:tcPr/>
                <w:p>
                  <w:pPr>
                    <w:pStyle w:val="Compact"/>
                    <w:jc w:val="left"/>
                    <w:jc w:val="center"/>
                  </w:pPr>
                  <w:r>
                    <w:t xml:space="preserve">Initiative</w:t>
                  </w:r>
                </w:p>
              </w:tc>
              <w:tc>
                <w:tcPr/>
                <w:p>
                  <w:pPr>
                    <w:pStyle w:val="Compact"/>
                    <w:jc w:val="left"/>
                    <w:jc w:val="center"/>
                  </w:pPr>
                  <w:r>
                    <w:t xml:space="preserve">Reactive; waits for the user</w:t>
                  </w:r>
                </w:p>
              </w:tc>
              <w:tc>
                <w:tcPr/>
                <w:p>
                  <w:pPr>
                    <w:pStyle w:val="Compact"/>
                    <w:jc w:val="left"/>
                    <w:jc w:val="center"/>
                  </w:pPr>
                  <w:r>
                    <w:t xml:space="preserve">Proactive; decomposes goals and starts sub-tasks</w:t>
                  </w:r>
                </w:p>
              </w:tc>
            </w:tr>
            <w:tr>
              <w:tc>
                <w:tcPr/>
                <w:p>
                  <w:pPr>
                    <w:pStyle w:val="Compact"/>
                    <w:jc w:val="left"/>
                    <w:jc w:val="center"/>
                  </w:pPr>
                  <w:r>
                    <w:t xml:space="preserve">Tool and environment action</w:t>
                  </w:r>
                </w:p>
              </w:tc>
              <w:tc>
                <w:tcPr/>
                <w:p>
                  <w:pPr>
                    <w:pStyle w:val="Compact"/>
                    <w:jc w:val="left"/>
                    <w:jc w:val="center"/>
                  </w:pPr>
                  <w:r>
                    <w:t xml:space="preserve">Text only by default; browsing or files when added</w:t>
                  </w:r>
                </w:p>
              </w:tc>
              <w:tc>
                <w:tcPr/>
                <w:p>
                  <w:pPr>
                    <w:pStyle w:val="Compact"/>
                    <w:jc w:val="left"/>
                    <w:jc w:val="center"/>
                  </w:pPr>
                  <w:r>
                    <w:t xml:space="preserve">Native tool calls plus APIs code execution and instrument control</w:t>
                  </w:r>
                </w:p>
              </w:tc>
            </w:tr>
            <w:tr>
              <w:tc>
                <w:tcPr/>
                <w:p>
                  <w:pPr>
                    <w:pStyle w:val="Compact"/>
                    <w:jc w:val="left"/>
                    <w:jc w:val="center"/>
                  </w:pPr>
                  <w:r>
                    <w:t xml:space="preserve">Planning</w:t>
                  </w:r>
                </w:p>
              </w:tc>
              <w:tc>
                <w:tcPr/>
                <w:p>
                  <w:pPr>
                    <w:pStyle w:val="Compact"/>
                    <w:jc w:val="left"/>
                    <w:jc w:val="center"/>
                  </w:pPr>
                  <w:r>
                    <w:t xml:space="preserve">Implicit single-response reasoning</w:t>
                  </w:r>
                </w:p>
              </w:tc>
              <w:tc>
                <w:tcPr/>
                <w:p>
                  <w:pPr>
                    <w:pStyle w:val="Compact"/>
                    <w:jc w:val="left"/>
                    <w:jc w:val="center"/>
                  </w:pPr>
                  <w:r>
                    <w:t xml:space="preserve">Explicit task decomposition reflection and re-planning</w:t>
                  </w:r>
                </w:p>
              </w:tc>
            </w:tr>
            <w:tr>
              <w:tc>
                <w:tcPr/>
                <w:p>
                  <w:pPr>
                    <w:pStyle w:val="Compact"/>
                    <w:jc w:val="left"/>
                    <w:jc w:val="center"/>
                  </w:pPr>
                  <w:r>
                    <w:t xml:space="preserve">Memory and state</w:t>
                  </w:r>
                </w:p>
              </w:tc>
              <w:tc>
                <w:tcPr/>
                <w:p>
                  <w:pPr>
                    <w:pStyle w:val="Compact"/>
                    <w:jc w:val="left"/>
                    <w:jc w:val="center"/>
                  </w:pPr>
                  <w:r>
                    <w:t xml:space="preserve">Short dialogue context with limited persistence</w:t>
                  </w:r>
                </w:p>
              </w:tc>
              <w:tc>
                <w:tcPr/>
                <w:p>
                  <w:pPr>
                    <w:pStyle w:val="Compact"/>
                    <w:jc w:val="left"/>
                    <w:jc w:val="center"/>
                  </w:pPr>
                  <w:r>
                    <w:t xml:space="preserve">Long-term memory stored plans and persistent agent state</w:t>
                  </w:r>
                </w:p>
              </w:tc>
            </w:tr>
            <w:tr>
              <w:tc>
                <w:tcPr/>
                <w:p>
                  <w:pPr>
                    <w:pStyle w:val="Compact"/>
                    <w:jc w:val="left"/>
                    <w:jc w:val="center"/>
                  </w:pPr>
                  <w:r>
                    <w:t xml:space="preserve">Architecture</w:t>
                  </w:r>
                </w:p>
              </w:tc>
              <w:tc>
                <w:tcPr/>
                <w:p>
                  <w:pPr>
                    <w:pStyle w:val="Compact"/>
                    <w:jc w:val="left"/>
                    <w:jc w:val="center"/>
                  </w:pPr>
                  <w:r>
                    <w:t xml:space="preserve">Language model plus dialogue interface and safety filters</w:t>
                  </w:r>
                </w:p>
              </w:tc>
              <w:tc>
                <w:tcPr/>
                <w:p>
                  <w:pPr>
                    <w:pStyle w:val="Compact"/>
                    <w:jc w:val="left"/>
                    <w:jc w:val="center"/>
                  </w:pPr>
                  <w:r>
                    <w:t xml:space="preserve">Language model plus planner memory tool interfaces and orchestration</w:t>
                  </w:r>
                </w:p>
              </w:tc>
            </w:tr>
            <w:tr>
              <w:tc>
                <w:tcPr/>
                <w:p>
                  <w:pPr>
                    <w:pStyle w:val="Compact"/>
                    <w:jc w:val="left"/>
                    <w:jc w:val="center"/>
                  </w:pPr>
                  <w:r>
                    <w:t xml:space="preserve">Task duration</w:t>
                  </w:r>
                </w:p>
              </w:tc>
              <w:tc>
                <w:tcPr/>
                <w:p>
                  <w:pPr>
                    <w:pStyle w:val="Compact"/>
                    <w:jc w:val="left"/>
                    <w:jc w:val="center"/>
                  </w:pPr>
                  <w:r>
                    <w:t xml:space="preserve">Seconds to minutes per answer</w:t>
                  </w:r>
                </w:p>
              </w:tc>
              <w:tc>
                <w:tcPr/>
                <w:p>
                  <w:pPr>
                    <w:pStyle w:val="Compact"/>
                    <w:jc w:val="left"/>
                    <w:jc w:val="center"/>
                  </w:pPr>
                  <w:r>
                    <w:t xml:space="preserve">Minutes to hours or days of autonomous operation</w:t>
                  </w:r>
                </w:p>
              </w:tc>
            </w:tr>
            <w:tr>
              <w:tc>
                <w:tcPr/>
                <w:p>
                  <w:pPr>
                    <w:pStyle w:val="Compact"/>
                    <w:jc w:val="left"/>
                    <w:jc w:val="center"/>
                  </w:pPr>
                  <w:r>
                    <w:t xml:space="preserve">Evaluation</w:t>
                  </w:r>
                </w:p>
              </w:tc>
              <w:tc>
                <w:tcPr/>
                <w:p>
                  <w:pPr>
                    <w:pStyle w:val="Compact"/>
                    <w:jc w:val="left"/>
                    <w:jc w:val="center"/>
                  </w:pPr>
                  <w:r>
                    <w:t xml:space="preserve">Response quality factuality and helpfulness</w:t>
                  </w:r>
                </w:p>
              </w:tc>
              <w:tc>
                <w:tcPr/>
                <w:p>
                  <w:pPr>
                    <w:pStyle w:val="Compact"/>
                    <w:jc w:val="left"/>
                    <w:jc w:val="center"/>
                  </w:pPr>
                  <w:r>
                    <w:t xml:space="preserve">Task completion correct tool sequences and side effects</w:t>
                  </w:r>
                </w:p>
              </w:tc>
            </w:tr>
            <w:tr>
              <w:tc>
                <w:tcPr/>
                <w:p>
                  <w:pPr>
                    <w:pStyle w:val="Compact"/>
                    <w:jc w:val="left"/>
                    <w:jc w:val="center"/>
                  </w:pPr>
                  <w:r>
                    <w:t xml:space="preserve">Risk profile</w:t>
                  </w:r>
                </w:p>
              </w:tc>
              <w:tc>
                <w:tcPr/>
                <w:p>
                  <w:pPr>
                    <w:pStyle w:val="Compact"/>
                    <w:jc w:val="left"/>
                    <w:jc w:val="center"/>
                  </w:pPr>
                  <w:r>
                    <w:t xml:space="preserve">Misinformation bias and over-reliance on fluent text</w:t>
                  </w:r>
                </w:p>
              </w:tc>
              <w:tc>
                <w:tcPr/>
                <w:p>
                  <w:pPr>
                    <w:pStyle w:val="Compact"/>
                    <w:jc w:val="left"/>
                    <w:jc w:val="center"/>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A high level of researcher control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2024; Hao et al. 2025; Jonker et al. 2024; Monakhov 2026; Taylor 2023; Zanzotto 2019)</w:t>
            </w:r>
            <w:r>
              <w:t xml:space="preserve">.</w:t>
            </w:r>
          </w:p>
          <w:tbl>
            <w:tblPr>
              <w:tblStyle w:val="Table"/>
              <w:tblW w:type="pct" w:w="5000"/>
              <w:tblLook w:firstRow="1" w:lastRow="0" w:firstColumn="0" w:lastColumn="0" w:noHBand="0" w:noVBand="0" w:val="0020"/>
              <w:jc w:val="start"/>
              <w:tblLayout w:type="fixed"/>
            </w:tblPr>
            <w:tblGrid>
              <w:gridCol w:w="1278"/>
              <w:gridCol w:w="3258"/>
              <w:gridCol w:w="3382"/>
            </w:tblGrid>
            <w:tr>
              <w:trPr>
                <w:tblHeader w:val="true"/>
              </w:trPr>
              <w:tc>
                <w:tcPr/>
                <w:p>
                  <w:pPr>
                    <w:pStyle w:val="Compact"/>
                    <w:jc w:val="left"/>
                    <w:jc w:val="center"/>
                  </w:pPr>
                  <w:r>
                    <w:t xml:space="preserve">Dimension</w:t>
                  </w:r>
                </w:p>
              </w:tc>
              <w:tc>
                <w:tcPr/>
                <w:p>
                  <w:pPr>
                    <w:pStyle w:val="Compact"/>
                    <w:jc w:val="left"/>
                    <w:jc w:val="center"/>
                  </w:pPr>
                  <w:r>
                    <w:t xml:space="preserve">Human in the Loop</w:t>
                  </w:r>
                </w:p>
              </w:tc>
              <w:tc>
                <w:tcPr/>
                <w:p>
                  <w:pPr>
                    <w:pStyle w:val="Compact"/>
                    <w:jc w:val="left"/>
                    <w:jc w:val="center"/>
                  </w:pPr>
                  <w:r>
                    <w:t xml:space="preserve">Human at the 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machine learning</w:t>
                  </w:r>
                </w:p>
              </w:tc>
              <w:tc>
                <w:tcPr/>
                <w:p>
                  <w:pPr>
                    <w:pStyle w:val="Compact"/>
                    <w:jc w:val="left"/>
                    <w:jc w:val="center"/>
                  </w:pPr>
                  <w:r>
                    <w:t xml:space="preserve">Extends meaningful human control to research contexts</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p>
              </w:tc>
              <w:tc>
                <w:tcPr/>
                <w:p>
                  <w:pPr>
                    <w:pStyle w:val="Compact"/>
                    <w:jc w:val="left"/>
                    <w:jc w:val="center"/>
                  </w:pPr>
                  <w:r>
                    <w:t xml:space="preserve">Aligns with human oversight and control requirements in AI regulation</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a free and open source software that specializes in collaboration and recording versions of project files (e.g. text, code, data) so you can inspect changes and retrieve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(a commit is a saved snapshot of your project’s files at a specific point in time). This is a robust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above,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w:t>
      </w:r>
      <w:r>
        <w:t xml:space="preserve"> </w:t>
      </w:r>
      <w:r>
        <w:t xml:space="preserve">(Liu et al. 2026)</w:t>
      </w:r>
      <w:r>
        <w:t xml:space="preserve">, GitHub Copilot, OpenAI Codex and OpenCode. We recommend the OpenCode terminal user interface (running in the terminal pane of an integrated development environment such as RStudio or VS Code) because it is free, open source, and not tied to any model vendor</w:t>
      </w:r>
      <w:r>
        <w:t xml:space="preserve">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 typical human-at-the-heml data analysis enviroment that includes agentic AI. The entire frame incapsulated in an Integrated Development Environment, such as RStudio or VS Code. On the left side is a Quarto document where we can see headings (</w:t>
            </w:r>
            <w:r>
              <w:t xml:space="preserve">‘</w:t>
            </w:r>
            <w:r>
              <w:t xml:space="preserve">Exploring the data</w:t>
            </w:r>
            <w:r>
              <w:t xml:space="preserve">’</w:t>
            </w:r>
            <w:r>
              <w:t xml:space="preserve">,</w:t>
            </w:r>
            <w:r>
              <w:t xml:space="preserve"> </w:t>
            </w:r>
            <w:r>
              <w:t xml:space="preserve">‘</w:t>
            </w:r>
            <w:r>
              <w:t xml:space="preserve">Results</w:t>
            </w:r>
            <w:r>
              <w:t xml:space="preserve">’</w:t>
            </w:r>
            <w:r>
              <w:t xml:space="preserve">), lines of narrative text, an R code block, and a data visualisation. We can see the AI agent is active in the R code block. The human researcher is active in the narrative text. On the right side is the AI agent’s harness, for example, OpenCode. We can see there are three agents active, agent 1 is operating in plan mode (so it cannot modify any file). Its scope of activities is limited to the current project’s working directory (which includes a project-level AGENTS.md file and a git repository for tracking changes). The agent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works best with a state-of-the-art, reasoning-enabled large frontier model because these are often better at the long-horizon, open-ended, branching tasks involved in drafting a plan</w:t>
      </w:r>
      <w:r>
        <w:t xml:space="preserve"> </w:t>
      </w:r>
      <w:r>
        <w:t xml:space="preserve">(Lu et al. 2026; Zhang et al. 2025)</w:t>
      </w:r>
      <w:r>
        <w:t xml:space="preserve">. However, larger models can be slower, more expensive and resource intensive, so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(Brown, Aitken, et al. 2026; Nejjar et al. 2025)</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minimizing risks of working with restricted data.</w:t>
            </w:r>
          </w:p>
          <w:tbl>
            <w:tblPr>
              <w:tblStyle w:val="Table"/>
              <w:tblW w:type="pct" w:w="5000"/>
              <w:tblLook w:firstRow="1" w:lastRow="0" w:firstColumn="0" w:lastColumn="0" w:noHBand="0" w:noVBand="0" w:val="0020"/>
              <w:jc w:val="start"/>
              <w:tblLayout w:type="fixed"/>
            </w:tblPr>
            <w:tblGrid>
              <w:gridCol w:w="536"/>
              <w:gridCol w:w="5115"/>
              <w:gridCol w:w="2268"/>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distributions, and format or the code will not transfer</w:t>
                  </w:r>
                </w:p>
              </w:tc>
            </w:tr>
          </w:tbl>
          <w:bookmarkEnd w:id="29"/>
          <w:p/>
        </w:tc>
      </w:tr>
    </w:tbl>
    <w:bookmarkEnd w:id="30"/>
    <w:bookmarkStart w:id="32"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file’s contents are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named in this guide plus the instructions files that govern them. These are open formats so you can work with your agent to write new skills and MCP servers to meet the needs of your specific projects.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Instructions, MCP servers and skills installed in the our OpenCode configuration that we have found useful for assistence with routine research tasks. Readers can copy-paste this table into their AI agent and ask it to install the skills and MCP servers for global availability across their projects. This list is a snapshot of a fast-moving field: some of these projects may disappear, and better ones may soon replace them. Ask your AI agent to search for the current state-of-the-art skills and MCP servers for your specific purpose.</w:t>
            </w:r>
          </w:p>
          <w:tbl>
            <w:tblPr>
              <w:tblStyle w:val="Table"/>
              <w:tblW w:type="pct" w:w="5000"/>
              <w:tblLook w:firstRow="1" w:lastRow="0" w:firstColumn="0" w:lastColumn="0" w:noHBand="0" w:noVBand="0" w:val="0020"/>
              <w:jc w:val="start"/>
              <w:tblLayout w:type="fixed"/>
            </w:tblPr>
            <w:tblGrid>
              <w:gridCol w:w="363"/>
              <w:gridCol w:w="755"/>
              <w:gridCol w:w="5037"/>
              <w:gridCol w:w="1763"/>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preferences and working habits applied across all projects</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https://github.com/posit-dev/skills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Skill</w:t>
                  </w:r>
                </w:p>
              </w:tc>
              <w:tc>
                <w:tcPr/>
                <w:p>
                  <w:pPr>
                    <w:pStyle w:val="Compact"/>
                    <w:jc w:val="left"/>
                    <w:jc w:val="center"/>
                  </w:pPr>
                  <w:r>
                    <w:t xml:space="preserve">paperdoctor</w:t>
                  </w:r>
                </w:p>
              </w:tc>
              <w:tc>
                <w:tcPr/>
                <w:p>
                  <w:pPr>
                    <w:pStyle w:val="Compact"/>
                    <w:jc w:val="left"/>
                    <w:jc w:val="center"/>
                  </w:pPr>
                  <w:r>
                    <w:t xml:space="preserve">Suite of skills that reviews a manuscript in progress by checking its claims, code, math, references and visual layout, then renders every finding into one interactive HTML report</w:t>
                  </w:r>
                </w:p>
              </w:tc>
              <w:tc>
                <w:tcPr/>
                <w:p>
                  <w:pPr>
                    <w:pStyle w:val="Compact"/>
                    <w:jc w:val="left"/>
                    <w:jc w:val="center"/>
                  </w:pPr>
                  <w:r>
                    <w:t xml:space="preserve">https://github.com/QinghongLin/paperdoctor,</w:t>
                  </w:r>
                  <w:r>
                    <w:t xml:space="preserve"> </w:t>
                  </w:r>
                  <w:r>
                    <w:t xml:space="preserve">Lin et al. (2026)</w:t>
                  </w:r>
                </w:p>
              </w:tc>
            </w:tr>
            <w:tr>
              <w:tc>
                <w:tcPr/>
                <w:p>
                  <w:pPr>
                    <w:pStyle w:val="Compact"/>
                    <w:jc w:val="left"/>
                    <w:jc w:val="center"/>
                  </w:pPr>
                  <w:r>
                    <w:t xml:space="preserve">Skill</w:t>
                  </w:r>
                </w:p>
              </w:tc>
              <w:tc>
                <w:tcPr/>
                <w:p>
                  <w:pPr>
                    <w:pStyle w:val="Compact"/>
                    <w:jc w:val="left"/>
                    <w:jc w:val="center"/>
                  </w:pPr>
                  <w:r>
                    <w:t xml:space="preserve">open-scholar-skill</w:t>
                  </w:r>
                </w:p>
              </w:tc>
              <w:tc>
                <w:tcPr/>
                <w:p>
                  <w:pPr>
                    <w:pStyle w:val="Compact"/>
                    <w:jc w:val="left"/>
                    <w:jc w:val="center"/>
                  </w:pPr>
                  <w:r>
                    <w:t xml:space="preserve">Suite of skills for assisting with social science research through a pipeline of verification gates, e.g. idea generation, theory exploration, study design, analysis, ethics, etc</w:t>
                  </w:r>
                </w:p>
              </w:tc>
              <w:tc>
                <w:tcPr/>
                <w:p>
                  <w:pPr>
                    <w:pStyle w:val="Compact"/>
                    <w:jc w:val="left"/>
                    <w:jc w:val="center"/>
                  </w:pPr>
                  <w:r>
                    <w:t xml:space="preserve">https://github.com/joshzyj/open-scholar-skill,</w:t>
                  </w:r>
                  <w:r>
                    <w:t xml:space="preserve"> </w:t>
                  </w:r>
                  <w:r>
                    <w:t xml:space="preserve">Zhang (2026)</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https://github.com/benchoi93/refcheck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Searches Google Scholar and other sources by keywords and then reads inside papers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 open source implementation of ScholarPeer: A Context-Aware Multi-Agent Framework for Automated Peer Review</w:t>
                  </w:r>
                </w:p>
              </w:tc>
              <w:tc>
                <w:tcPr/>
                <w:p>
                  <w:pPr>
                    <w:pStyle w:val="Compact"/>
                    <w:jc w:val="left"/>
                    <w:jc w:val="center"/>
                  </w:pPr>
                  <w:r>
                    <w:t xml:space="preserve">https://github.com/amirkiarafiei/open-scholar-peer,</w:t>
                  </w:r>
                  <w:r>
                    <w:t xml:space="preserve"> </w:t>
                  </w:r>
                  <w:r>
                    <w:t xml:space="preserve">Goyal et al. (2026)</w:t>
                  </w:r>
                </w:p>
              </w:tc>
            </w:tr>
            <w:tr>
              <w:tc>
                <w:tcPr/>
                <w:p>
                  <w:pPr>
                    <w:pStyle w:val="Compact"/>
                    <w:jc w:val="left"/>
                    <w:jc w:val="center"/>
                  </w:pPr>
                  <w:r>
                    <w:t xml:space="preserve">MCP</w:t>
                  </w:r>
                </w:p>
              </w:tc>
              <w:tc>
                <w:tcPr/>
                <w:p>
                  <w:pPr>
                    <w:pStyle w:val="Compact"/>
                    <w:jc w:val="left"/>
                    <w:jc w:val="center"/>
                  </w:pPr>
                  <w:r>
                    <w:t xml:space="preserve">playwright</w:t>
                  </w:r>
                </w:p>
              </w:tc>
              <w:tc>
                <w:tcPr/>
                <w:p>
                  <w:pPr>
                    <w:pStyle w:val="Compact"/>
                    <w:jc w:val="left"/>
                    <w:jc w:val="center"/>
                  </w:pPr>
                  <w:r>
                    <w:t xml:space="preserve">Provides browser automation capabilities for LLMs, allowing AI agents to interact with web pages</w:t>
                  </w:r>
                </w:p>
              </w:tc>
              <w:tc>
                <w:tcPr/>
                <w:p>
                  <w:pPr>
                    <w:pStyle w:val="Compact"/>
                    <w:jc w:val="left"/>
                    <w:jc w:val="center"/>
                  </w:pPr>
                  <w:r>
                    <w:t xml:space="preserve">https://github.com/microsoft/playwright-mcp</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Skill files can assist with automated manuscript review to prepare your work for human review. For example,</w:t>
      </w:r>
      <w:r>
        <w:t xml:space="preserve"> </w:t>
      </w:r>
      <w:r>
        <w:t xml:space="preserve">Lin et al. (2026)</w:t>
      </w:r>
      <w:r>
        <w:t xml:space="preserve"> </w:t>
      </w:r>
      <w:r>
        <w:t xml:space="preserve">describe PaperDoctor, an agent framework that checks a draft’s claims against its code, prior work, references and visual layout, returns each finding with a pointer to the supporting evidence and a suggested revision. In their evaluation it reached 71% agreement with human advisers across 30 in-progress papers, so you should expect to disagree with some findings and check each one before revising. We recommend multiple iterations with literature search, verification, and manuscript review skills and MCP servers, adjusting the prompt each time to steer the model to focus on different areas of your project</w:t>
      </w:r>
      <w:r>
        <w:t xml:space="preserve"> </w:t>
      </w:r>
      <w:r>
        <w:t xml:space="preserve">(Krishna Moorthy et al. 2026)</w:t>
      </w:r>
      <w:r>
        <w:t xml:space="preserve">.</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For example, when using an AI agent to plan and write code for data analysis, such as a stone artefact assemblage,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This might include the geographic location of the assemblage, associated radiocarbon ages, lithic typology, etc.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with the prompt the dataset, or a narrative summary of the data or a synthetic version of the data generated by a local LLM. For a stone artefact assemblage this could simply be mentioning the raw data file in your prompt, e.g. </w:t>
      </w:r>
      <w:r>
        <w:t xml:space="preserve">‘</w:t>
      </w:r>
      <w:r>
        <w:t xml:space="preserve">Look at me data in</w:t>
      </w:r>
      <w:r>
        <w:t xml:space="preserve"> </w:t>
      </w:r>
      <w:r>
        <w:rPr>
          <w:rStyle w:val="VerbatimChar"/>
        </w:rPr>
        <w:t xml:space="preserve">@analysis/data/stone-artefact-data.csv</w:t>
      </w:r>
      <w:r>
        <w:t xml:space="preserve">’</w:t>
      </w:r>
      <w:r>
        <w:t xml:space="preserve">, that will direct the agent to read the data file. Include a data dictionary that defines the variables, for example, maximum length, technological length, maximum dimension, etc. Including your data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For a stone artefact analysis we would request the agent use the FactoMineR and factoextra R packages for the multivariate analyses, and follow the guidance in</w:t>
      </w:r>
      <w:r>
        <w:t xml:space="preserve"> </w:t>
      </w:r>
      <w:r>
        <w:t xml:space="preserve">Greenacre et al. (2022)</w:t>
      </w:r>
      <w:r>
        <w:t xml:space="preserve">. Use the agent’s tools to help you get the literature specific to your analysis.</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r>
        <w:t xml:space="preserve">.</w:t>
      </w:r>
    </w:p>
    <w:p>
      <w:pPr>
        <w:pStyle w:val="FirstParagraph"/>
      </w:pPr>
      <w:r>
        <w:t xml:space="preserve">Tools that execute code can expose errors for inspection, but automated correction still needs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bookmarkEnd w:id="32"/>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fig-workflow"/>
          <w:p>
            <w:pPr>
              <w:pStyle w:val="Compact"/>
              <w:jc w:val="center"/>
            </w:pPr>
            <w:r>
              <w:drawing>
                <wp:inline>
                  <wp:extent cx="5943600" cy="3566160"/>
                  <wp:effectExtent b="0" l="0" r="0" t="0"/>
                  <wp:docPr descr="" title="" id="34" name="Picture"/>
                  <a:graphic>
                    <a:graphicData uri="http://schemas.openxmlformats.org/drawingml/2006/picture">
                      <pic:pic>
                        <pic:nvPicPr>
                          <pic:cNvPr descr="../figures/fig-workflow.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invoking tools, skills and MCP servers in multi-step, long-running tasks to achieve the goals set by the researchers. The research and planning steps may involve several rounds of interation and refinment, as indicated by the bi-directional arrows between the researcher and agent for those steps. Execution and verification are critical decision points for the researcher. Rejecting the agent’s work includes looping back to update the plan to steer the agent into alignment with you. Each stage writes to a record that is inspectable by you and others: Git commits, updates to plan.md, the Quarto report, and the verified bibliography.”</w:t>
            </w:r>
          </w:p>
          <w:bookmarkEnd w:id="36"/>
        </w:tc>
      </w:tr>
    </w:tbl>
    <w:p>
      <w:pPr>
        <w:pStyle w:val="BodyText"/>
      </w:pPr>
      <w:r>
        <w:t xml:space="preserve">The paper’s specific contribution is an auditable, researcher-directed workflow for AI-assisted archaeological data analysis</w:t>
      </w:r>
      <w:r>
        <w:t xml:space="preserve">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proposes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raises the urgency of the need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By streamlining routine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 No permits were required to prepare this manuscript.</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203" w:name="references"/>
    <w:p>
      <w:pPr>
        <w:pStyle w:val="Heading1"/>
      </w:pPr>
      <w:r>
        <w:t xml:space="preserve">References</w:t>
      </w:r>
    </w:p>
    <w:bookmarkStart w:id="202"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6">
        <w:r>
          <w:rPr>
            <w:rStyle w:val="Hyperlink"/>
          </w:rPr>
          <w:t xml:space="preserve">https://doi.org/10.1073/pnas.2314021121</w:t>
        </w:r>
      </w:hyperlink>
      <w:r>
        <w:t xml:space="preserve">.</w:t>
      </w:r>
    </w:p>
    <w:bookmarkEnd w:id="47"/>
    <w:bookmarkStart w:id="49" w:name="ref-barbaste2026"/>
    <w:p>
      <w:pPr>
        <w:pStyle w:val="Bibliography"/>
      </w:pPr>
      <w:r>
        <w:t xml:space="preserve">Barbaste, Paul, Tristan Darrigol, Germain Vu, and Tom Wiltberger. 2026.</w:t>
      </w:r>
      <w:r>
        <w:t xml:space="preserve"> </w:t>
      </w:r>
      <w:hyperlink r:id="rId48">
        <w:r>
          <w:rPr>
            <w:rStyle w:val="Hyperlink"/>
          </w:rPr>
          <w:t xml:space="preserve">Harness Engineering: Anatomy, Architecture, and Evolution of Coding Agents – a Source-Code Study of Eleven Systems</w:t>
        </w:r>
      </w:hyperlink>
      <w:r>
        <w:t xml:space="preserve">.</w:t>
      </w:r>
    </w:p>
    <w:bookmarkEnd w:id="49"/>
    <w:bookmarkStart w:id="51" w:name="ref-BeckBurri2024"/>
    <w:p>
      <w:pPr>
        <w:pStyle w:val="Bibliography"/>
      </w:pPr>
      <w:r>
        <w:t xml:space="preserve">Beck, Juliane, and Thomas Burri. 2024.</w:t>
      </w:r>
      <w:r>
        <w:t xml:space="preserve"> </w:t>
      </w:r>
      <w:hyperlink r:id="rId50">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51"/>
    <w:bookmarkStart w:id="53"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2">
        <w:r>
          <w:rPr>
            <w:rStyle w:val="Hyperlink"/>
          </w:rPr>
          <w:t xml:space="preserve">https://doi.org/10.1073/pnas.2606495123</w:t>
        </w:r>
      </w:hyperlink>
      <w:r>
        <w:t xml:space="preserve">.</w:t>
      </w:r>
    </w:p>
    <w:bookmarkEnd w:id="53"/>
    <w:bookmarkStart w:id="55"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4">
        <w:r>
          <w:rPr>
            <w:rStyle w:val="Hyperlink"/>
          </w:rPr>
          <w:t xml:space="preserve">https://doi.org/10.31235/osf.io/azs6r_v1</w:t>
        </w:r>
      </w:hyperlink>
      <w:r>
        <w:t xml:space="preserve">.</w:t>
      </w:r>
    </w:p>
    <w:bookmarkEnd w:id="55"/>
    <w:bookmarkStart w:id="57" w:name="ref-BlischakDavenportWilson2016"/>
    <w:p>
      <w:pPr>
        <w:pStyle w:val="Bibliography"/>
      </w:pPr>
      <w:r>
        <w:t xml:space="preserve">Blischak, John D., Emily R. Davenport, and Greg Wilson. 2016. A Quick Introduction to Version Control with Git and GitHub.</w:t>
      </w:r>
      <w:r>
        <w:t xml:space="preserve"> </w:t>
      </w:r>
      <w:r>
        <w:rPr>
          <w:iCs/>
          <w:i/>
        </w:rPr>
        <w:t xml:space="preserve">PLOS Computational Biology</w:t>
      </w:r>
      <w:r>
        <w:t xml:space="preserve"> </w:t>
      </w:r>
      <w:r>
        <w:t xml:space="preserve">12(1):1–18.</w:t>
      </w:r>
      <w:r>
        <w:t xml:space="preserve"> </w:t>
      </w:r>
      <w:hyperlink r:id="rId56">
        <w:r>
          <w:rPr>
            <w:rStyle w:val="Hyperlink"/>
          </w:rPr>
          <w:t xml:space="preserve">https://doi.org/10.1371/journal.pcbi.1004668</w:t>
        </w:r>
      </w:hyperlink>
      <w:r>
        <w:t xml:space="preserve">.</w:t>
      </w:r>
    </w:p>
    <w:bookmarkEnd w:id="57"/>
    <w:bookmarkStart w:id="59"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8">
        <w:r>
          <w:rPr>
            <w:rStyle w:val="Hyperlink"/>
          </w:rPr>
          <w:t xml:space="preserve">https://doi.org/10.1038/s41586-023-06792-0</w:t>
        </w:r>
      </w:hyperlink>
      <w:r>
        <w:t xml:space="preserve">.</w:t>
      </w:r>
    </w:p>
    <w:bookmarkEnd w:id="59"/>
    <w:bookmarkStart w:id="61"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60">
        <w:r>
          <w:rPr>
            <w:rStyle w:val="Hyperlink"/>
          </w:rPr>
          <w:t xml:space="preserve">https://doi.org/10.1371/journal.pcbi.1014428</w:t>
        </w:r>
      </w:hyperlink>
      <w:r>
        <w:t xml:space="preserve">.</w:t>
      </w:r>
    </w:p>
    <w:bookmarkEnd w:id="61"/>
    <w:bookmarkStart w:id="63"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2">
        <w:r>
          <w:rPr>
            <w:rStyle w:val="Hyperlink"/>
          </w:rPr>
          <w:t xml:space="preserve">https://www.seascapemodels.org/AI-assistants-for-scientific-coding/</w:t>
        </w:r>
      </w:hyperlink>
      <w:r>
        <w:t xml:space="preserve">, accessed September 18, 2026.</w:t>
      </w:r>
    </w:p>
    <w:bookmarkEnd w:id="63"/>
    <w:bookmarkStart w:id="65"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4">
        <w:r>
          <w:rPr>
            <w:rStyle w:val="Hyperlink"/>
          </w:rPr>
          <w:t xml:space="preserve">https://doi.org/10.1111/faf.70079</w:t>
        </w:r>
      </w:hyperlink>
      <w:r>
        <w:t xml:space="preserve">.</w:t>
      </w:r>
    </w:p>
    <w:bookmarkEnd w:id="65"/>
    <w:bookmarkStart w:id="67"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6">
        <w:r>
          <w:rPr>
            <w:rStyle w:val="Hyperlink"/>
          </w:rPr>
          <w:t xml:space="preserve">https://doi.org/10.1111/2041-210x.70267</w:t>
        </w:r>
      </w:hyperlink>
      <w:r>
        <w:t xml:space="preserve">.</w:t>
      </w:r>
    </w:p>
    <w:bookmarkEnd w:id="67"/>
    <w:bookmarkStart w:id="69"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8">
        <w:r>
          <w:rPr>
            <w:rStyle w:val="Hyperlink"/>
          </w:rPr>
          <w:t xml:space="preserve">https://vitaexmachina.substack.com/p/running-local-large-language-models</w:t>
        </w:r>
      </w:hyperlink>
      <w:r>
        <w:t xml:space="preserve">, accessed September 18, 2026.</w:t>
      </w:r>
    </w:p>
    <w:bookmarkEnd w:id="69"/>
    <w:bookmarkStart w:id="71"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0">
        <w:r>
          <w:rPr>
            <w:rStyle w:val="Hyperlink"/>
          </w:rPr>
          <w:t xml:space="preserve">https://doi.org/10.1111/2041-210X.14396</w:t>
        </w:r>
      </w:hyperlink>
      <w:r>
        <w:t xml:space="preserve">.</w:t>
      </w:r>
    </w:p>
    <w:bookmarkEnd w:id="71"/>
    <w:bookmarkStart w:id="73"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72">
        <w:r>
          <w:rPr>
            <w:rStyle w:val="Hyperlink"/>
          </w:rPr>
          <w:t xml:space="preserve">https://doi.org/10.48550/arXiv.2609.11198</w:t>
        </w:r>
      </w:hyperlink>
      <w:r>
        <w:t xml:space="preserve">.</w:t>
      </w:r>
    </w:p>
    <w:bookmarkEnd w:id="73"/>
    <w:bookmarkStart w:id="75"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4">
        <w:r>
          <w:rPr>
            <w:rStyle w:val="Hyperlink"/>
          </w:rPr>
          <w:t xml:space="preserve">https://doi.org/10.48550/arXiv.2304.05128</w:t>
        </w:r>
      </w:hyperlink>
      <w:r>
        <w:t xml:space="preserve">.</w:t>
      </w:r>
    </w:p>
    <w:bookmarkEnd w:id="75"/>
    <w:bookmarkStart w:id="77"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6">
        <w:r>
          <w:rPr>
            <w:rStyle w:val="Hyperlink"/>
          </w:rPr>
          <w:t xml:space="preserve">https://ai.google/static/documents/AI-in-Science.pdf</w:t>
        </w:r>
      </w:hyperlink>
      <w:r>
        <w:t xml:space="preserve">, accessed September 16, 2026.</w:t>
      </w:r>
    </w:p>
    <w:bookmarkEnd w:id="77"/>
    <w:bookmarkStart w:id="79"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8">
        <w:r>
          <w:rPr>
            <w:rStyle w:val="Hyperlink"/>
          </w:rPr>
          <w:t xml:space="preserve">https://doi.org/10.1111/2041-210X.14325</w:t>
        </w:r>
      </w:hyperlink>
      <w:r>
        <w:t xml:space="preserve">.</w:t>
      </w:r>
    </w:p>
    <w:bookmarkEnd w:id="79"/>
    <w:bookmarkStart w:id="81"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0">
        <w:r>
          <w:rPr>
            <w:rStyle w:val="Hyperlink"/>
          </w:rPr>
          <w:t xml:space="preserve">https://doi.org/10.1017/aap.2026.10173</w:t>
        </w:r>
      </w:hyperlink>
      <w:r>
        <w:t xml:space="preserve">.</w:t>
      </w:r>
    </w:p>
    <w:bookmarkEnd w:id="81"/>
    <w:bookmarkStart w:id="83" w:name="ref-DellAcqua2026"/>
    <w:p>
      <w:pPr>
        <w:pStyle w:val="Bibliography"/>
      </w:pPr>
      <w:r>
        <w:t xml:space="preserve">Dell’Acqua, Fabrizio, Edward McFowland, Ethan Mollick, Hila Lifshitz, Katherine C. Kellogg, Saran Rajendran, Lisa Krayer,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2">
        <w:r>
          <w:rPr>
            <w:rStyle w:val="Hyperlink"/>
          </w:rPr>
          <w:t xml:space="preserve">https://doi.org/10.1287/orsc.2025.21838</w:t>
        </w:r>
      </w:hyperlink>
      <w:r>
        <w:t xml:space="preserve">.</w:t>
      </w:r>
    </w:p>
    <w:bookmarkEnd w:id="83"/>
    <w:bookmarkStart w:id="85"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4">
        <w:r>
          <w:rPr>
            <w:rStyle w:val="Hyperlink"/>
          </w:rPr>
          <w:t xml:space="preserve">https://doi.org/10.1093/jmammal/gyaf082</w:t>
        </w:r>
      </w:hyperlink>
      <w:r>
        <w:t xml:space="preserve">.</w:t>
      </w:r>
    </w:p>
    <w:bookmarkEnd w:id="85"/>
    <w:bookmarkStart w:id="87"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6">
        <w:r>
          <w:rPr>
            <w:rStyle w:val="Hyperlink"/>
          </w:rPr>
          <w:t xml:space="preserve">https://doi.org/10.1007/s12599-023-00834-7</w:t>
        </w:r>
      </w:hyperlink>
      <w:r>
        <w:t xml:space="preserve">.</w:t>
      </w:r>
    </w:p>
    <w:bookmarkEnd w:id="87"/>
    <w:bookmarkStart w:id="89"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8">
        <w:r>
          <w:rPr>
            <w:rStyle w:val="Hyperlink"/>
          </w:rPr>
          <w:t xml:space="preserve">https://doi.org/10.1016/j.culher.2024.11.020</w:t>
        </w:r>
      </w:hyperlink>
      <w:r>
        <w:t xml:space="preserve">.</w:t>
      </w:r>
    </w:p>
    <w:bookmarkEnd w:id="89"/>
    <w:bookmarkStart w:id="91"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0">
        <w:r>
          <w:rPr>
            <w:rStyle w:val="Hyperlink"/>
          </w:rPr>
          <w:t xml:space="preserve">https://doi.org/10.1080/10584609.2023.2290497</w:t>
        </w:r>
      </w:hyperlink>
      <w:r>
        <w:t xml:space="preserve">.</w:t>
      </w:r>
    </w:p>
    <w:bookmarkEnd w:id="91"/>
    <w:bookmarkStart w:id="93"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2">
        <w:r>
          <w:rPr>
            <w:rStyle w:val="Hyperlink"/>
          </w:rPr>
          <w:t xml:space="preserve">https://doi.org/10.1038/s44185-024-00043-9</w:t>
        </w:r>
      </w:hyperlink>
      <w:r>
        <w:t xml:space="preserve">.</w:t>
      </w:r>
    </w:p>
    <w:bookmarkEnd w:id="93"/>
    <w:bookmarkStart w:id="95" w:name="ref-Goyal2026"/>
    <w:p>
      <w:pPr>
        <w:pStyle w:val="Bibliography"/>
      </w:pPr>
      <w:r>
        <w:t xml:space="preserve">Goyal, Palash, Mihir Parmar, Yiwen Song, Hamid Palangi, Tomas Pfister, and Jinsung Yoon. 2026.</w:t>
      </w:r>
      <w:r>
        <w:t xml:space="preserve"> </w:t>
      </w:r>
      <w:r>
        <w:t xml:space="preserve">ScholarPeer</w:t>
      </w:r>
      <w:r>
        <w:t xml:space="preserve">: A Context-Aware Multi-Agent Framework for Automated Peer Review.</w:t>
      </w:r>
      <w:r>
        <w:t xml:space="preserve"> </w:t>
      </w:r>
      <w:r>
        <w:rPr>
          <w:iCs/>
          <w:i/>
        </w:rPr>
        <w:t xml:space="preserve">arXiv Preprint arXiv:2601.22638</w:t>
      </w:r>
      <w:r>
        <w:t xml:space="preserve">.</w:t>
      </w:r>
      <w:r>
        <w:t xml:space="preserve"> </w:t>
      </w:r>
      <w:hyperlink r:id="rId94">
        <w:r>
          <w:rPr>
            <w:rStyle w:val="Hyperlink"/>
          </w:rPr>
          <w:t xml:space="preserve">https://doi.org/10.48550/arXiv.2601.22638</w:t>
        </w:r>
      </w:hyperlink>
      <w:r>
        <w:t xml:space="preserve">.</w:t>
      </w:r>
    </w:p>
    <w:bookmarkEnd w:id="95"/>
    <w:bookmarkStart w:id="97" w:name="ref-Greenacre2022Principal"/>
    <w:p>
      <w:pPr>
        <w:pStyle w:val="Bibliography"/>
      </w:pPr>
      <w:r>
        <w:t xml:space="preserve">Greenacre, Michael, Patrick J. F. Groenen, Trevor Hastie, Alfonso Iodice D’Enza, Angelos Markos, and Elena Tuzhilina. 2022. Principal Component Analysis.</w:t>
      </w:r>
      <w:r>
        <w:t xml:space="preserve"> </w:t>
      </w:r>
      <w:r>
        <w:rPr>
          <w:iCs/>
          <w:i/>
        </w:rPr>
        <w:t xml:space="preserve">Nature Reviews Methods Primers</w:t>
      </w:r>
      <w:r>
        <w:t xml:space="preserve"> </w:t>
      </w:r>
      <w:r>
        <w:t xml:space="preserve">2(1):100.</w:t>
      </w:r>
      <w:r>
        <w:t xml:space="preserve"> </w:t>
      </w:r>
      <w:hyperlink r:id="rId96">
        <w:r>
          <w:rPr>
            <w:rStyle w:val="Hyperlink"/>
          </w:rPr>
          <w:t xml:space="preserve">https://doi.org/10.1038/s43586-022-00184-w</w:t>
        </w:r>
      </w:hyperlink>
      <w:r>
        <w:t xml:space="preserve">.</w:t>
      </w:r>
    </w:p>
    <w:bookmarkEnd w:id="97"/>
    <w:bookmarkStart w:id="99"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98">
        <w:r>
          <w:rPr>
            <w:rStyle w:val="Hyperlink"/>
          </w:rPr>
          <w:t xml:space="preserve">https://doi.org/10.1126/science.adi1778</w:t>
        </w:r>
      </w:hyperlink>
      <w:r>
        <w:t xml:space="preserve">.</w:t>
      </w:r>
    </w:p>
    <w:bookmarkEnd w:id="99"/>
    <w:bookmarkStart w:id="101" w:name="ref-Guo2024"/>
    <w:p>
      <w:pPr>
        <w:pStyle w:val="Bibliography"/>
      </w:pPr>
      <w:r>
        <w:t xml:space="preserve">Guo, Taicheng, Xiuying Chen, Yaqi Wang, Ruidi Chang, Shichao Pei, Nitesh V. Chawla, Olaf Wiest, et al. 2024.</w:t>
      </w:r>
      <w:r>
        <w:t xml:space="preserve"> </w:t>
      </w:r>
      <w:hyperlink r:id="rId100">
        <w:r>
          <w:rPr>
            <w:rStyle w:val="Hyperlink"/>
          </w:rPr>
          <w:t xml:space="preserve">Large Language Model Based Multi-Agents: A Survey of Progress and Challenges</w:t>
        </w:r>
      </w:hyperlink>
      <w:r>
        <w:t xml:space="preserve">, pp. 8048–8057.</w:t>
      </w:r>
    </w:p>
    <w:bookmarkEnd w:id="101"/>
    <w:bookmarkStart w:id="103"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2">
        <w:r>
          <w:rPr>
            <w:rStyle w:val="Hyperlink"/>
          </w:rPr>
          <w:t xml:space="preserve">https://doi.org/10.1057/s41599-026-08832-2</w:t>
        </w:r>
      </w:hyperlink>
      <w:r>
        <w:t xml:space="preserve">.</w:t>
      </w:r>
    </w:p>
    <w:bookmarkEnd w:id="103"/>
    <w:bookmarkStart w:id="105"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4">
        <w:r>
          <w:rPr>
            <w:rStyle w:val="Hyperlink"/>
          </w:rPr>
          <w:t xml:space="preserve">https://doi.org/10.1016/j.sftr.2025.101152</w:t>
        </w:r>
      </w:hyperlink>
      <w:r>
        <w:t xml:space="preserve">.</w:t>
      </w:r>
    </w:p>
    <w:bookmarkEnd w:id="105"/>
    <w:bookmarkStart w:id="107" w:name="ref-Hariri2025"/>
    <w:p>
      <w:pPr>
        <w:pStyle w:val="Bibliography"/>
      </w:pPr>
      <w:r>
        <w:t xml:space="preserve">Hariri, Ali, Stéphane Jean, and Mickaël Baron. 2025.</w:t>
      </w:r>
      <w:r>
        <w:t xml:space="preserve"> </w:t>
      </w:r>
      <w:hyperlink r:id="rId106">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107"/>
    <w:bookmarkStart w:id="109"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8">
        <w:r>
          <w:rPr>
            <w:rStyle w:val="Hyperlink"/>
          </w:rPr>
          <w:t xml:space="preserve">https://doi.org/10.1145/3796519</w:t>
        </w:r>
      </w:hyperlink>
      <w:r>
        <w:t xml:space="preserve">.</w:t>
      </w:r>
    </w:p>
    <w:bookmarkEnd w:id="109"/>
    <w:bookmarkStart w:id="111"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10">
        <w:r>
          <w:rPr>
            <w:rStyle w:val="Hyperlink"/>
          </w:rPr>
          <w:t xml:space="preserve">https://doi.org/10.1371/journal.pone.0317084</w:t>
        </w:r>
      </w:hyperlink>
      <w:r>
        <w:t xml:space="preserve">.</w:t>
      </w:r>
    </w:p>
    <w:bookmarkEnd w:id="111"/>
    <w:bookmarkStart w:id="113"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2">
        <w:r>
          <w:rPr>
            <w:rStyle w:val="Hyperlink"/>
          </w:rPr>
          <w:t xml:space="preserve">https://doi.org/10.1080/00187259.2026.2714301</w:t>
        </w:r>
      </w:hyperlink>
      <w:r>
        <w:t xml:space="preserve">.</w:t>
      </w:r>
    </w:p>
    <w:bookmarkEnd w:id="113"/>
    <w:bookmarkStart w:id="115" w:name="ref-Jonker2024"/>
    <w:p>
      <w:pPr>
        <w:pStyle w:val="Bibliography"/>
      </w:pPr>
      <w:r>
        <w:t xml:space="preserve">Jonker, Catholijn M., Luciano Cavalcante Siebert, and Pradeep K. Murukannaiah. 2024.</w:t>
      </w:r>
      <w:r>
        <w:t xml:space="preserve"> </w:t>
      </w:r>
      <w:hyperlink r:id="rId114">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15"/>
    <w:bookmarkStart w:id="117"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16">
        <w:r>
          <w:rPr>
            <w:rStyle w:val="Hyperlink"/>
          </w:rPr>
          <w:t xml:space="preserve">https://doi.org/10.11141/ia.71.15</w:t>
        </w:r>
      </w:hyperlink>
      <w:r>
        <w:t xml:space="preserve">.</w:t>
      </w:r>
    </w:p>
    <w:bookmarkEnd w:id="117"/>
    <w:bookmarkStart w:id="119" w:name="ref-Kasneci2023"/>
    <w:p>
      <w:pPr>
        <w:pStyle w:val="Bibliography"/>
      </w:pPr>
      <w:r>
        <w:t xml:space="preserve">Kasneci, Enkelejda, Kathrin Sessler, Stefan Küchemann, Maria Bannert, Daryna Dementieva, Frank Fischer, Urs Gasser, et al. 2023.</w:t>
      </w:r>
      <w:r>
        <w:t xml:space="preserve"> </w:t>
      </w:r>
      <w:r>
        <w:t xml:space="preserve">ChatGPT for Good? On Opportunities and Challenges of Large Language Models for Education</w:t>
      </w:r>
      <w:r>
        <w:t xml:space="preserve">.</w:t>
      </w:r>
      <w:r>
        <w:t xml:space="preserve"> </w:t>
      </w:r>
      <w:r>
        <w:rPr>
          <w:iCs/>
          <w:i/>
        </w:rPr>
        <w:t xml:space="preserve">Learning and Individual Differences</w:t>
      </w:r>
      <w:r>
        <w:t xml:space="preserve"> </w:t>
      </w:r>
      <w:r>
        <w:t xml:space="preserve">103:102274.</w:t>
      </w:r>
      <w:r>
        <w:t xml:space="preserve"> </w:t>
      </w:r>
      <w:hyperlink r:id="rId118">
        <w:r>
          <w:rPr>
            <w:rStyle w:val="Hyperlink"/>
          </w:rPr>
          <w:t xml:space="preserve">https://doi.org/10.1016/j.lindif.2023.102274</w:t>
        </w:r>
      </w:hyperlink>
      <w:r>
        <w:t xml:space="preserve">.</w:t>
      </w:r>
    </w:p>
    <w:bookmarkEnd w:id="119"/>
    <w:bookmarkStart w:id="121"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20">
        <w:r>
          <w:rPr>
            <w:rStyle w:val="Hyperlink"/>
          </w:rPr>
          <w:t xml:space="preserve">https://doi.org/10.35566/jbds/jikim</w:t>
        </w:r>
      </w:hyperlink>
      <w:r>
        <w:t xml:space="preserve">.</w:t>
      </w:r>
    </w:p>
    <w:bookmarkEnd w:id="121"/>
    <w:bookmarkStart w:id="123"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2">
        <w:r>
          <w:rPr>
            <w:rStyle w:val="Hyperlink"/>
          </w:rPr>
          <w:t xml:space="preserve">https://doi.org/10.1257/jel.20231736</w:t>
        </w:r>
      </w:hyperlink>
      <w:r>
        <w:t xml:space="preserve">.</w:t>
      </w:r>
    </w:p>
    <w:bookmarkEnd w:id="123"/>
    <w:bookmarkStart w:id="125" w:name="ref-Korinek2025"/>
    <w:p>
      <w:pPr>
        <w:pStyle w:val="Bibliography"/>
      </w:pPr>
      <w:r>
        <w:t xml:space="preserve">Korinek, Anton. 2025.</w:t>
      </w:r>
      <w:r>
        <w:t xml:space="preserve"> </w:t>
      </w:r>
      <w:hyperlink r:id="rId124">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25"/>
    <w:bookmarkStart w:id="127"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26">
        <w:r>
          <w:rPr>
            <w:rStyle w:val="Hyperlink"/>
          </w:rPr>
          <w:t xml:space="preserve">https://doi.org/10.1111/2041-210x.70403</w:t>
        </w:r>
      </w:hyperlink>
      <w:r>
        <w:t xml:space="preserve">.</w:t>
      </w:r>
    </w:p>
    <w:bookmarkEnd w:id="127"/>
    <w:bookmarkStart w:id="129"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28">
        <w:r>
          <w:rPr>
            <w:rStyle w:val="Hyperlink"/>
          </w:rPr>
          <w:t xml:space="preserve">https://doi.org/10.48550/arXiv.2505.06120</w:t>
        </w:r>
      </w:hyperlink>
      <w:r>
        <w:t xml:space="preserve">.</w:t>
      </w:r>
    </w:p>
    <w:bookmarkEnd w:id="129"/>
    <w:bookmarkStart w:id="131"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30">
        <w:r>
          <w:rPr>
            <w:rStyle w:val="Hyperlink"/>
          </w:rPr>
          <w:t xml:space="preserve">https://doi.org/10.2196/51584</w:t>
        </w:r>
      </w:hyperlink>
      <w:r>
        <w:t xml:space="preserve">.</w:t>
      </w:r>
    </w:p>
    <w:bookmarkEnd w:id="131"/>
    <w:bookmarkStart w:id="133" w:name="ref-Lin2026"/>
    <w:p>
      <w:pPr>
        <w:pStyle w:val="Bibliography"/>
      </w:pPr>
      <w:r>
        <w:t xml:space="preserve">Lin, Kevin Qinghong, Siyuan Hu, Pan Lu, Yu Chen, Yanzhe Chen, Owen Queen, Yupeng Chen, et al. 2026.</w:t>
      </w:r>
      <w:r>
        <w:t xml:space="preserve"> </w:t>
      </w:r>
      <w:r>
        <w:t xml:space="preserve">PaperDoctor</w:t>
      </w:r>
      <w:r>
        <w:t xml:space="preserve">: Evidence-Grounded and Actionable Feedback for Scientific Papers in Progress.</w:t>
      </w:r>
      <w:r>
        <w:t xml:space="preserve"> </w:t>
      </w:r>
      <w:r>
        <w:rPr>
          <w:iCs/>
          <w:i/>
        </w:rPr>
        <w:t xml:space="preserve">arXiv Preprint arXiv:2609.16995</w:t>
      </w:r>
      <w:r>
        <w:t xml:space="preserve">.</w:t>
      </w:r>
      <w:r>
        <w:t xml:space="preserve"> </w:t>
      </w:r>
      <w:hyperlink r:id="rId132">
        <w:r>
          <w:rPr>
            <w:rStyle w:val="Hyperlink"/>
          </w:rPr>
          <w:t xml:space="preserve">https://doi.org/10.48550/arXiv.2609.16995</w:t>
        </w:r>
      </w:hyperlink>
      <w:r>
        <w:t xml:space="preserve">.</w:t>
      </w:r>
    </w:p>
    <w:bookmarkEnd w:id="133"/>
    <w:bookmarkStart w:id="135" w:name="ref-Liu2026Dive"/>
    <w:p>
      <w:pPr>
        <w:pStyle w:val="Bibliography"/>
      </w:pPr>
      <w:r>
        <w:t xml:space="preserve">Liu, Jiacheng, Xiaohan Zhao, Xinyi Shang, and Zhiqiang Shen. 2026. Dive into</w:t>
      </w:r>
      <w:r>
        <w:t xml:space="preserve"> </w:t>
      </w:r>
      <w:r>
        <w:t xml:space="preserve">Claude Code</w:t>
      </w:r>
      <w:r>
        <w:t xml:space="preserve">: The Design Space of Today’s and Future</w:t>
      </w:r>
      <w:r>
        <w:t xml:space="preserve"> </w:t>
      </w:r>
      <w:r>
        <w:t xml:space="preserve">AI</w:t>
      </w:r>
      <w:r>
        <w:t xml:space="preserve"> </w:t>
      </w:r>
      <w:r>
        <w:t xml:space="preserve">Agent Systems.</w:t>
      </w:r>
      <w:r>
        <w:t xml:space="preserve"> </w:t>
      </w:r>
      <w:r>
        <w:rPr>
          <w:iCs/>
          <w:i/>
        </w:rPr>
        <w:t xml:space="preserve">arXiv Preprint arXiv:2604.14228</w:t>
      </w:r>
      <w:r>
        <w:t xml:space="preserve">.</w:t>
      </w:r>
      <w:r>
        <w:t xml:space="preserve"> </w:t>
      </w:r>
      <w:hyperlink r:id="rId134">
        <w:r>
          <w:rPr>
            <w:rStyle w:val="Hyperlink"/>
          </w:rPr>
          <w:t xml:space="preserve">https://doi.org/10.48550/arXiv.2604.14228</w:t>
        </w:r>
      </w:hyperlink>
      <w:r>
        <w:t xml:space="preserve">.</w:t>
      </w:r>
    </w:p>
    <w:bookmarkEnd w:id="135"/>
    <w:bookmarkStart w:id="137"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6">
        <w:r>
          <w:rPr>
            <w:rStyle w:val="Hyperlink"/>
          </w:rPr>
          <w:t xml:space="preserve">https://doi.org/10.22582/ta.v14i2.778</w:t>
        </w:r>
      </w:hyperlink>
      <w:r>
        <w:t xml:space="preserve">.</w:t>
      </w:r>
    </w:p>
    <w:bookmarkEnd w:id="137"/>
    <w:bookmarkStart w:id="139" w:name="ref-Lu2026"/>
    <w:p>
      <w:pPr>
        <w:pStyle w:val="Bibliography"/>
      </w:pPr>
      <w:r>
        <w:t xml:space="preserve">Lu, Chris, Cong Lu, Robert Tjarko Lange, Yutaro Yamada, Shengran Hu, Jakob Foerster, David Ha,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38">
        <w:r>
          <w:rPr>
            <w:rStyle w:val="Hyperlink"/>
          </w:rPr>
          <w:t xml:space="preserve">https://doi.org/10.1038/s41586-026-10265-5</w:t>
        </w:r>
      </w:hyperlink>
      <w:r>
        <w:t xml:space="preserve">.</w:t>
      </w:r>
    </w:p>
    <w:bookmarkEnd w:id="139"/>
    <w:bookmarkStart w:id="141" w:name="ref-MBran2024"/>
    <w:p>
      <w:pPr>
        <w:pStyle w:val="Bibliography"/>
      </w:pPr>
      <w:r>
        <w:t xml:space="preserve">M. Bran, Andres, Sam Cox, Oliver Schilter, Carlo Baldassari, Andrew D. White, and Philippe Schwaller.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140">
        <w:r>
          <w:rPr>
            <w:rStyle w:val="Hyperlink"/>
          </w:rPr>
          <w:t xml:space="preserve">https://doi.org/10.1038/s42256-024-00832-8</w:t>
        </w:r>
      </w:hyperlink>
      <w:r>
        <w:t xml:space="preserve">.</w:t>
      </w:r>
    </w:p>
    <w:bookmarkEnd w:id="141"/>
    <w:bookmarkStart w:id="143"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42">
        <w:r>
          <w:rPr>
            <w:rStyle w:val="Hyperlink"/>
          </w:rPr>
          <w:t xml:space="preserve">https://doi.org/10.1007/s10816-015-9272-9</w:t>
        </w:r>
      </w:hyperlink>
      <w:r>
        <w:t xml:space="preserve">.</w:t>
      </w:r>
    </w:p>
    <w:bookmarkEnd w:id="143"/>
    <w:bookmarkStart w:id="145"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4">
        <w:r>
          <w:rPr>
            <w:rStyle w:val="Hyperlink"/>
          </w:rPr>
          <w:t xml:space="preserve">https://doi.org/10.1038/s41586-024-07146-0</w:t>
        </w:r>
      </w:hyperlink>
      <w:r>
        <w:t xml:space="preserve">.</w:t>
      </w:r>
    </w:p>
    <w:bookmarkEnd w:id="145"/>
    <w:bookmarkStart w:id="147"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46">
        <w:r>
          <w:rPr>
            <w:rStyle w:val="Hyperlink"/>
          </w:rPr>
          <w:t xml:space="preserve">https://doi.org/10.48550/arXiv.2607.01507</w:t>
        </w:r>
      </w:hyperlink>
      <w:r>
        <w:t xml:space="preserve">.</w:t>
      </w:r>
    </w:p>
    <w:bookmarkEnd w:id="147"/>
    <w:bookmarkStart w:id="149" w:name="ref-Monakhov2026"/>
    <w:p>
      <w:pPr>
        <w:pStyle w:val="Bibliography"/>
      </w:pPr>
      <w:r>
        <w:t xml:space="preserve">Monakhov, Alexander Yu. 2026.</w:t>
      </w:r>
      <w:r>
        <w:t xml:space="preserve"> </w:t>
      </w:r>
      <w:hyperlink r:id="rId148">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49"/>
    <w:bookmarkStart w:id="151" w:name="ref-NationalAcademies2026"/>
    <w:p>
      <w:pPr>
        <w:pStyle w:val="Bibliography"/>
      </w:pPr>
      <w:r>
        <w:t xml:space="preserve">National Academies of Sciences, Engineering, and Medicine. 2026.</w:t>
      </w:r>
      <w:r>
        <w:t xml:space="preserve"> </w:t>
      </w:r>
      <w:hyperlink r:id="rId150">
        <w:r>
          <w:rPr>
            <w:rStyle w:val="Hyperlink"/>
            <w:iCs/>
            <w:i/>
          </w:rPr>
          <w:t xml:space="preserve">On Being a Scientist: A Guide to the Responsible and Ethical Conduct of Research: Fourth Edition</w:t>
        </w:r>
      </w:hyperlink>
      <w:r>
        <w:t xml:space="preserve">. The National Academies Press, Washington, DC.</w:t>
      </w:r>
    </w:p>
    <w:bookmarkEnd w:id="151"/>
    <w:bookmarkStart w:id="153"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52">
        <w:r>
          <w:rPr>
            <w:rStyle w:val="Hyperlink"/>
          </w:rPr>
          <w:t xml:space="preserve">https://doi.org/10.1002/smr.2723</w:t>
        </w:r>
      </w:hyperlink>
      <w:r>
        <w:t xml:space="preserve">.</w:t>
      </w:r>
    </w:p>
    <w:bookmarkEnd w:id="153"/>
    <w:bookmarkStart w:id="155" w:name="ref-Park2023"/>
    <w:p>
      <w:pPr>
        <w:pStyle w:val="Bibliography"/>
      </w:pPr>
      <w:r>
        <w:t xml:space="preserve">Park, Joon Sung, Joseph O’Brien, Carrie Jun Cai, Meredith Ringel Morris, Percy Liang, and Michael S. Bernstein. 2023.</w:t>
      </w:r>
      <w:r>
        <w:t xml:space="preserve"> </w:t>
      </w:r>
      <w:hyperlink r:id="rId154">
        <w:r>
          <w:rPr>
            <w:rStyle w:val="Hyperlink"/>
          </w:rPr>
          <w:t xml:space="preserve">Generative Agents: Interactive Simulacra of Human Behavior</w:t>
        </w:r>
      </w:hyperlink>
      <w:r>
        <w:t xml:space="preserve">, pp. 1–22.</w:t>
      </w:r>
    </w:p>
    <w:bookmarkEnd w:id="155"/>
    <w:bookmarkStart w:id="157"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6">
        <w:r>
          <w:rPr>
            <w:rStyle w:val="Hyperlink"/>
          </w:rPr>
          <w:t xml:space="preserve">https://doi.org/10.1017/chr.2026.10039</w:t>
        </w:r>
      </w:hyperlink>
      <w:r>
        <w:t xml:space="preserve">.</w:t>
      </w:r>
    </w:p>
    <w:bookmarkEnd w:id="157"/>
    <w:bookmarkStart w:id="159" w:name="ref-QuartoDocs2026"/>
    <w:p>
      <w:pPr>
        <w:pStyle w:val="Bibliography"/>
      </w:pPr>
      <w:r>
        <w:t xml:space="preserve">Quarto.</w:t>
      </w:r>
      <w:r>
        <w:t xml:space="preserve"> </w:t>
      </w:r>
      <w:r>
        <w:t xml:space="preserve">Tutorial: Hello, Quarto</w:t>
      </w:r>
      <w:r>
        <w:t xml:space="preserve">.</w:t>
      </w:r>
      <w:r>
        <w:t xml:space="preserve"> </w:t>
      </w:r>
      <w:hyperlink r:id="rId158">
        <w:r>
          <w:rPr>
            <w:rStyle w:val="Hyperlink"/>
          </w:rPr>
          <w:t xml:space="preserve">https://quarto.org/docs/get-started/hello/rstudio.html</w:t>
        </w:r>
      </w:hyperlink>
      <w:r>
        <w:t xml:space="preserve">, accessed September 17, 2026.</w:t>
      </w:r>
    </w:p>
    <w:bookmarkEnd w:id="159"/>
    <w:bookmarkStart w:id="161"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r>
        <w:rPr>
          <w:iCs/>
          <w:i/>
        </w:rPr>
        <w:t xml:space="preserve">TechRxiv Preprint</w:t>
      </w:r>
      <w:r>
        <w:t xml:space="preserve">.</w:t>
      </w:r>
      <w:r>
        <w:t xml:space="preserve"> </w:t>
      </w:r>
      <w:hyperlink r:id="rId160">
        <w:r>
          <w:rPr>
            <w:rStyle w:val="Hyperlink"/>
          </w:rPr>
          <w:t xml:space="preserve">https://doi.org/10.36227/techrxiv.176703982.24212722/v1</w:t>
        </w:r>
      </w:hyperlink>
      <w:r>
        <w:t xml:space="preserve">.</w:t>
      </w:r>
    </w:p>
    <w:bookmarkEnd w:id="161"/>
    <w:bookmarkStart w:id="163"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62">
        <w:r>
          <w:rPr>
            <w:rStyle w:val="Hyperlink"/>
          </w:rPr>
          <w:t xml:space="preserve">https://doi.org/10.1111/2041-210X.14341</w:t>
        </w:r>
      </w:hyperlink>
      <w:r>
        <w:t xml:space="preserve">.</w:t>
      </w:r>
    </w:p>
    <w:bookmarkEnd w:id="163"/>
    <w:bookmarkStart w:id="165" w:name="ref-Schick2023"/>
    <w:p>
      <w:pPr>
        <w:pStyle w:val="Bibliography"/>
      </w:pPr>
      <w:r>
        <w:t xml:space="preserve">Schick, Timo, Jane Dwivedi-Yu, Roberto Dessi, Roberta Raileanu, Maria Lomeli, Eric Hambro, Luke Zettlemoyer, et al. 2023.</w:t>
      </w:r>
      <w:r>
        <w:t xml:space="preserve"> </w:t>
      </w:r>
      <w:hyperlink r:id="rId164">
        <w:r>
          <w:rPr>
            <w:rStyle w:val="Hyperlink"/>
          </w:rPr>
          <w:t xml:space="preserve">Toolformer: Language Models Can Teach Themselves to Use Tools</w:t>
        </w:r>
      </w:hyperlink>
      <w:r>
        <w:t xml:space="preserve">, pp. 68539–68551.</w:t>
      </w:r>
    </w:p>
    <w:bookmarkEnd w:id="165"/>
    <w:bookmarkStart w:id="167"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66">
        <w:r>
          <w:rPr>
            <w:rStyle w:val="Hyperlink"/>
          </w:rPr>
          <w:t xml:space="preserve">https://ladal.edu.au/tutorials/llm_privacy/llm_privacy.html</w:t>
        </w:r>
      </w:hyperlink>
      <w:r>
        <w:t xml:space="preserve">, accessed September 18, 2026.</w:t>
      </w:r>
    </w:p>
    <w:bookmarkEnd w:id="167"/>
    <w:bookmarkStart w:id="169"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68">
        <w:r>
          <w:rPr>
            <w:rStyle w:val="Hyperlink"/>
          </w:rPr>
          <w:t xml:space="preserve">https://doi.org/10.1080/20548923.2025.2564519</w:t>
        </w:r>
      </w:hyperlink>
      <w:r>
        <w:t xml:space="preserve">.</w:t>
      </w:r>
    </w:p>
    <w:bookmarkEnd w:id="169"/>
    <w:bookmarkStart w:id="171" w:name="ref-Taylor2023"/>
    <w:p>
      <w:pPr>
        <w:pStyle w:val="Bibliography"/>
      </w:pPr>
      <w:r>
        <w:t xml:space="preserve">Taylor, Matthew E. 2023.</w:t>
      </w:r>
      <w:r>
        <w:t xml:space="preserve"> </w:t>
      </w:r>
      <w:hyperlink r:id="rId170">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71"/>
    <w:bookmarkStart w:id="173"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72">
        <w:r>
          <w:rPr>
            <w:rStyle w:val="Hyperlink"/>
          </w:rPr>
          <w:t xml:space="preserve">https://doi.org/10.11141/ia.67.8</w:t>
        </w:r>
      </w:hyperlink>
      <w:r>
        <w:t xml:space="preserve">.</w:t>
      </w:r>
    </w:p>
    <w:bookmarkEnd w:id="173"/>
    <w:bookmarkStart w:id="175" w:name="ref-RoyalSociety2024"/>
    <w:p>
      <w:pPr>
        <w:pStyle w:val="Bibliography"/>
      </w:pPr>
      <w:r>
        <w:t xml:space="preserve">The Royal Society. 2024.</w:t>
      </w:r>
      <w:r>
        <w:t xml:space="preserve"> </w:t>
      </w:r>
      <w:hyperlink r:id="rId174">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75"/>
    <w:bookmarkStart w:id="177"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76">
        <w:r>
          <w:rPr>
            <w:rStyle w:val="Hyperlink"/>
          </w:rPr>
          <w:t xml:space="preserve">https://doi.org/10.1038/s41598-023-41032-5</w:t>
        </w:r>
      </w:hyperlink>
      <w:r>
        <w:t xml:space="preserve">.</w:t>
      </w:r>
    </w:p>
    <w:bookmarkEnd w:id="177"/>
    <w:bookmarkStart w:id="179" w:name="ref-Wang2024"/>
    <w:p>
      <w:pPr>
        <w:pStyle w:val="Bibliography"/>
      </w:pPr>
      <w:r>
        <w:t xml:space="preserve">Wang, Lei, Chen Ma, Xueyang Feng, Zeyu Zhang, Hao Yang, Jingsen Zhang, Zhiyuan Chen,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w:t>
      </w:r>
      <w:r>
        <w:t xml:space="preserve"> </w:t>
      </w:r>
      <w:hyperlink r:id="rId178">
        <w:r>
          <w:rPr>
            <w:rStyle w:val="Hyperlink"/>
          </w:rPr>
          <w:t xml:space="preserve">https://doi.org/10.1007/s11704-024-40231-1</w:t>
        </w:r>
      </w:hyperlink>
      <w:r>
        <w:t xml:space="preserve">.</w:t>
      </w:r>
    </w:p>
    <w:bookmarkEnd w:id="179"/>
    <w:bookmarkStart w:id="181"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80">
        <w:r>
          <w:rPr>
            <w:rStyle w:val="Hyperlink"/>
          </w:rPr>
          <w:t xml:space="preserve">https://doi.org/10.21105/joss.01686</w:t>
        </w:r>
      </w:hyperlink>
      <w:r>
        <w:t xml:space="preserve">.</w:t>
      </w:r>
    </w:p>
    <w:bookmarkEnd w:id="181"/>
    <w:bookmarkStart w:id="183"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82">
        <w:r>
          <w:rPr>
            <w:rStyle w:val="Hyperlink"/>
          </w:rPr>
          <w:t xml:space="preserve">https://doi.org/10.1038/s41746-024-01233-2</w:t>
        </w:r>
      </w:hyperlink>
      <w:r>
        <w:t xml:space="preserve">.</w:t>
      </w:r>
    </w:p>
    <w:bookmarkEnd w:id="183"/>
    <w:bookmarkStart w:id="185"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84">
        <w:r>
          <w:rPr>
            <w:rStyle w:val="Hyperlink"/>
          </w:rPr>
          <w:t xml:space="preserve">https://doi.org/10.48550/arXiv.2602.12430</w:t>
        </w:r>
      </w:hyperlink>
      <w:r>
        <w:t xml:space="preserve">.</w:t>
      </w:r>
    </w:p>
    <w:bookmarkEnd w:id="185"/>
    <w:bookmarkStart w:id="187" w:name="ref-Xu2024"/>
    <w:p>
      <w:pPr>
        <w:pStyle w:val="Bibliography"/>
      </w:pPr>
      <w:r>
        <w:t xml:space="preserve">Xu, Xiaojun, Yixiao Chen, and Jing Miao. 2024.</w:t>
      </w:r>
      <w:r>
        <w:t xml:space="preserve"> </w:t>
      </w:r>
      <w:r>
        <w:t xml:space="preserve">Opportunities, Challenges, and Future Directions of Large Language Models, Including ChatGPT in Medical Education: A Systematic Scoping Review</w:t>
      </w:r>
      <w:r>
        <w:t xml:space="preserve">.</w:t>
      </w:r>
      <w:r>
        <w:t xml:space="preserve"> </w:t>
      </w:r>
      <w:r>
        <w:rPr>
          <w:iCs/>
          <w:i/>
        </w:rPr>
        <w:t xml:space="preserve">Journal of Educational Evaluation for Health Professions</w:t>
      </w:r>
      <w:r>
        <w:t xml:space="preserve"> </w:t>
      </w:r>
      <w:r>
        <w:t xml:space="preserve">21:6.</w:t>
      </w:r>
      <w:r>
        <w:t xml:space="preserve"> </w:t>
      </w:r>
      <w:hyperlink r:id="rId186">
        <w:r>
          <w:rPr>
            <w:rStyle w:val="Hyperlink"/>
          </w:rPr>
          <w:t xml:space="preserve">https://doi.org/10.3352/jeehp.2024.21.6</w:t>
        </w:r>
      </w:hyperlink>
      <w:r>
        <w:t xml:space="preserve">.</w:t>
      </w:r>
    </w:p>
    <w:bookmarkEnd w:id="187"/>
    <w:bookmarkStart w:id="189" w:name="ref-ZamfirescuPereira2023"/>
    <w:p>
      <w:pPr>
        <w:pStyle w:val="Bibliography"/>
      </w:pPr>
      <w:r>
        <w:t xml:space="preserve">Zamfirescu-Pereira, J. D., Richmond Y. Wong, Bjoern Hartmann, and Qian Yang. 2023.</w:t>
      </w:r>
      <w:r>
        <w:t xml:space="preserve"> </w:t>
      </w:r>
      <w:hyperlink r:id="rId188">
        <w:r>
          <w:rPr>
            <w:rStyle w:val="Hyperlink"/>
          </w:rPr>
          <w:t xml:space="preserve">Why Johnny Can’t Prompt: How Non-AI Experts Try (and Fail) to Design LLM Prompts</w:t>
        </w:r>
      </w:hyperlink>
      <w:r>
        <w:t xml:space="preserve">, New York, NY, USA.</w:t>
      </w:r>
    </w:p>
    <w:bookmarkEnd w:id="189"/>
    <w:bookmarkStart w:id="191"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90">
        <w:r>
          <w:rPr>
            <w:rStyle w:val="Hyperlink"/>
          </w:rPr>
          <w:t xml:space="preserve">https://doi.org/10.1613/jair.1.11345</w:t>
        </w:r>
      </w:hyperlink>
      <w:r>
        <w:t xml:space="preserve">.</w:t>
      </w:r>
    </w:p>
    <w:bookmarkEnd w:id="191"/>
    <w:bookmarkStart w:id="193"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92">
        <w:r>
          <w:rPr>
            <w:rStyle w:val="Hyperlink"/>
          </w:rPr>
          <w:t xml:space="preserve">https://doi.org/10.1038/s44387-025-00019-5</w:t>
        </w:r>
      </w:hyperlink>
      <w:r>
        <w:t xml:space="preserve">.</w:t>
      </w:r>
    </w:p>
    <w:bookmarkEnd w:id="193"/>
    <w:bookmarkStart w:id="195" w:name="ref-Zhang2026Vibe"/>
    <w:p>
      <w:pPr>
        <w:pStyle w:val="Bibliography"/>
      </w:pPr>
      <w:r>
        <w:t xml:space="preserve">Zhang, Yongjun. 2026. Vibe Researching: Can</w:t>
      </w:r>
      <w:r>
        <w:t xml:space="preserve"> </w:t>
      </w:r>
      <w:r>
        <w:t xml:space="preserve">AI</w:t>
      </w:r>
      <w:r>
        <w:t xml:space="preserve"> </w:t>
      </w:r>
      <w:r>
        <w:t xml:space="preserve">Agents with Skills Replace or Augment Social Scientists?</w:t>
      </w:r>
      <w:r>
        <w:t xml:space="preserve"> </w:t>
      </w:r>
      <w:r>
        <w:rPr>
          <w:iCs/>
          <w:i/>
        </w:rPr>
        <w:t xml:space="preserve">Chinese Sociological Review</w:t>
      </w:r>
      <w:r>
        <w:t xml:space="preserve">:1–36.</w:t>
      </w:r>
      <w:r>
        <w:t xml:space="preserve"> </w:t>
      </w:r>
      <w:hyperlink r:id="rId194">
        <w:r>
          <w:rPr>
            <w:rStyle w:val="Hyperlink"/>
          </w:rPr>
          <w:t xml:space="preserve">https://doi.org/10.1080/21620555.2026.2707167</w:t>
        </w:r>
      </w:hyperlink>
      <w:r>
        <w:t xml:space="preserve">.</w:t>
      </w:r>
    </w:p>
    <w:bookmarkEnd w:id="195"/>
    <w:bookmarkStart w:id="197"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96">
        <w:r>
          <w:rPr>
            <w:rStyle w:val="Hyperlink"/>
          </w:rPr>
          <w:t xml:space="preserve">https://doi.org/10.48550/arXiv.2311.10372</w:t>
        </w:r>
      </w:hyperlink>
      <w:r>
        <w:t xml:space="preserve">.</w:t>
      </w:r>
    </w:p>
    <w:bookmarkEnd w:id="197"/>
    <w:bookmarkStart w:id="199"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98">
        <w:r>
          <w:rPr>
            <w:rStyle w:val="Hyperlink"/>
          </w:rPr>
          <w:t xml:space="preserve">https://doi.org/10.1162/coli_a_00502</w:t>
        </w:r>
      </w:hyperlink>
      <w:r>
        <w:t xml:space="preserve">.</w:t>
      </w:r>
    </w:p>
    <w:bookmarkEnd w:id="199"/>
    <w:bookmarkStart w:id="201"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200">
        <w:r>
          <w:rPr>
            <w:rStyle w:val="Hyperlink"/>
          </w:rPr>
          <w:t xml:space="preserve">https://doi.org/10.48550/arXiv.2603.15914</w:t>
        </w:r>
      </w:hyperlink>
      <w:r>
        <w:t xml:space="preserve">.</w:t>
      </w:r>
    </w:p>
    <w:bookmarkEnd w:id="201"/>
    <w:bookmarkEnd w:id="202"/>
    <w:bookmarkEnd w:id="203"/>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76" Target="https://ai.google/static/documents/AI-in-Science.pdf" TargetMode="External" /><Relationship Type="http://schemas.openxmlformats.org/officeDocument/2006/relationships/hyperlink" Id="rId48" Target="https://arxiv.org/abs/2609.00006" TargetMode="External" /><Relationship Type="http://schemas.openxmlformats.org/officeDocument/2006/relationships/hyperlink" Id="rId152"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42" Target="https://doi.org/10.1007/s10816-015-9272-9" TargetMode="External" /><Relationship Type="http://schemas.openxmlformats.org/officeDocument/2006/relationships/hyperlink" Id="rId178" Target="https://doi.org/10.1007/s11704-024-40231-1" TargetMode="External" /><Relationship Type="http://schemas.openxmlformats.org/officeDocument/2006/relationships/hyperlink" Id="rId86" Target="https://doi.org/10.1007/s12599-023-00834-7" TargetMode="External" /><Relationship Type="http://schemas.openxmlformats.org/officeDocument/2006/relationships/hyperlink" Id="rId88" Target="https://doi.org/10.1016/j.culher.2024.11.020" TargetMode="External" /><Relationship Type="http://schemas.openxmlformats.org/officeDocument/2006/relationships/hyperlink" Id="rId118" Target="https://doi.org/10.1016/j.lindif.2023.102274" TargetMode="External" /><Relationship Type="http://schemas.openxmlformats.org/officeDocument/2006/relationships/hyperlink" Id="rId104" Target="https://doi.org/10.1016/j.sftr.2025.101152" TargetMode="External" /><Relationship Type="http://schemas.openxmlformats.org/officeDocument/2006/relationships/hyperlink" Id="rId80" Target="https://doi.org/10.1017/aap.2026.10173" TargetMode="External" /><Relationship Type="http://schemas.openxmlformats.org/officeDocument/2006/relationships/hyperlink" Id="rId156"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4" Target="https://doi.org/10.1038/s41586-024-07146-0" TargetMode="External" /><Relationship Type="http://schemas.openxmlformats.org/officeDocument/2006/relationships/hyperlink" Id="rId138" Target="https://doi.org/10.1038/s41586-026-10265-5" TargetMode="External" /><Relationship Type="http://schemas.openxmlformats.org/officeDocument/2006/relationships/hyperlink" Id="rId176" Target="https://doi.org/10.1038/s41598-023-41032-5" TargetMode="External" /><Relationship Type="http://schemas.openxmlformats.org/officeDocument/2006/relationships/hyperlink" Id="rId182" Target="https://doi.org/10.1038/s41746-024-01233-2" TargetMode="External" /><Relationship Type="http://schemas.openxmlformats.org/officeDocument/2006/relationships/hyperlink" Id="rId140" Target="https://doi.org/10.1038/s42256-024-00832-8" TargetMode="External" /><Relationship Type="http://schemas.openxmlformats.org/officeDocument/2006/relationships/hyperlink" Id="rId96" Target="https://doi.org/10.1038/s43586-022-00184-w" TargetMode="External" /><Relationship Type="http://schemas.openxmlformats.org/officeDocument/2006/relationships/hyperlink" Id="rId92" Target="https://doi.org/10.1038/s44185-024-00043-9" TargetMode="External" /><Relationship Type="http://schemas.openxmlformats.org/officeDocument/2006/relationships/hyperlink" Id="rId192" Target="https://doi.org/10.1038/s44387-025-00019-5" TargetMode="External" /><Relationship Type="http://schemas.openxmlformats.org/officeDocument/2006/relationships/hyperlink" Id="rId102"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0" Target="https://doi.org/10.1080/10584609.2023.2290497" TargetMode="External" /><Relationship Type="http://schemas.openxmlformats.org/officeDocument/2006/relationships/hyperlink" Id="rId168" Target="https://doi.org/10.1080/20548923.2025.2564519" TargetMode="External" /><Relationship Type="http://schemas.openxmlformats.org/officeDocument/2006/relationships/hyperlink" Id="rId194" Target="https://doi.org/10.1080/21620555.2026.2707167" TargetMode="External" /><Relationship Type="http://schemas.openxmlformats.org/officeDocument/2006/relationships/hyperlink" Id="rId84" Target="https://doi.org/10.1093/jmammal/gyaf082" TargetMode="External" /><Relationship Type="http://schemas.openxmlformats.org/officeDocument/2006/relationships/hyperlink" Id="rId174" Target="https://doi.org/10.1098/rs-policy.2026-31" TargetMode="External" /><Relationship Type="http://schemas.openxmlformats.org/officeDocument/2006/relationships/hyperlink" Id="rId78" Target="https://doi.org/10.1111/2041-210X.14325" TargetMode="External" /><Relationship Type="http://schemas.openxmlformats.org/officeDocument/2006/relationships/hyperlink" Id="rId162"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2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72"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98" Target="https://doi.org/10.1126/science.adi1778" TargetMode="External" /><Relationship Type="http://schemas.openxmlformats.org/officeDocument/2006/relationships/hyperlink" Id="rId188" Target="https://doi.org/10.1145/3544548.3581388" TargetMode="External" /><Relationship Type="http://schemas.openxmlformats.org/officeDocument/2006/relationships/hyperlink" Id="rId154" Target="https://doi.org/10.1145/3586183.3606763"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98" Target="https://doi.org/10.1162/coli_a_00502" TargetMode="External" /><Relationship Type="http://schemas.openxmlformats.org/officeDocument/2006/relationships/hyperlink" Id="rId122" Target="https://doi.org/10.1257/jel.20231736" TargetMode="External" /><Relationship Type="http://schemas.openxmlformats.org/officeDocument/2006/relationships/hyperlink" Id="rId82"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90" Target="https://doi.org/10.1613/jair.1.11345" TargetMode="External" /><Relationship Type="http://schemas.openxmlformats.org/officeDocument/2006/relationships/hyperlink" Id="rId150" Target="https://doi.org/10.17226/29488" TargetMode="External" /><Relationship Type="http://schemas.openxmlformats.org/officeDocument/2006/relationships/hyperlink" Id="rId180" Target="https://doi.org/10.21105/joss.01686" TargetMode="External" /><Relationship Type="http://schemas.openxmlformats.org/officeDocument/2006/relationships/hyperlink" Id="rId148" Target="https://doi.org/10.2139/ssrn.7011058" TargetMode="External" /><Relationship Type="http://schemas.openxmlformats.org/officeDocument/2006/relationships/hyperlink" Id="rId130" Target="https://doi.org/10.2196/51584" TargetMode="External" /><Relationship Type="http://schemas.openxmlformats.org/officeDocument/2006/relationships/hyperlink" Id="rId136" Target="https://doi.org/10.22582/ta.v14i2.778" TargetMode="External" /><Relationship Type="http://schemas.openxmlformats.org/officeDocument/2006/relationships/hyperlink" Id="rId100" Target="https://doi.org/10.24963/ijcai.2024/890" TargetMode="External" /><Relationship Type="http://schemas.openxmlformats.org/officeDocument/2006/relationships/hyperlink" Id="rId54" Target="https://doi.org/10.31235/osf.io/azs6r_v1" TargetMode="External" /><Relationship Type="http://schemas.openxmlformats.org/officeDocument/2006/relationships/hyperlink" Id="rId170" Target="https://doi.org/10.3233/faia230098" TargetMode="External" /><Relationship Type="http://schemas.openxmlformats.org/officeDocument/2006/relationships/hyperlink" Id="rId186" Target="https://doi.org/10.3352/jeehp.2024.21.6" TargetMode="External" /><Relationship Type="http://schemas.openxmlformats.org/officeDocument/2006/relationships/hyperlink" Id="rId120" Target="https://doi.org/10.35566/jbds/jikim" TargetMode="External" /><Relationship Type="http://schemas.openxmlformats.org/officeDocument/2006/relationships/hyperlink" Id="rId160"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4" Target="https://doi.org/10.48550/arXiv.2304.05128" TargetMode="External" /><Relationship Type="http://schemas.openxmlformats.org/officeDocument/2006/relationships/hyperlink" Id="rId196" Target="https://doi.org/10.48550/arXiv.2311.10372" TargetMode="External" /><Relationship Type="http://schemas.openxmlformats.org/officeDocument/2006/relationships/hyperlink" Id="rId128" Target="https://doi.org/10.48550/arXiv.2505.06120" TargetMode="External" /><Relationship Type="http://schemas.openxmlformats.org/officeDocument/2006/relationships/hyperlink" Id="rId94" Target="https://doi.org/10.48550/arXiv.2601.22638" TargetMode="External" /><Relationship Type="http://schemas.openxmlformats.org/officeDocument/2006/relationships/hyperlink" Id="rId184" Target="https://doi.org/10.48550/arXiv.2602.12430" TargetMode="External" /><Relationship Type="http://schemas.openxmlformats.org/officeDocument/2006/relationships/hyperlink" Id="rId200" Target="https://doi.org/10.48550/arXiv.2603.15914" TargetMode="External" /><Relationship Type="http://schemas.openxmlformats.org/officeDocument/2006/relationships/hyperlink" Id="rId134" Target="https://doi.org/10.48550/arXiv.2604.14228" TargetMode="External" /><Relationship Type="http://schemas.openxmlformats.org/officeDocument/2006/relationships/hyperlink" Id="rId146" Target="https://doi.org/10.48550/arXiv.2607.01507" TargetMode="External" /><Relationship Type="http://schemas.openxmlformats.org/officeDocument/2006/relationships/hyperlink" Id="rId72" Target="https://doi.org/10.48550/arXiv.2609.11198" TargetMode="External" /><Relationship Type="http://schemas.openxmlformats.org/officeDocument/2006/relationships/hyperlink" Id="rId132" Target="https://doi.org/10.48550/arXiv.2609.16995" TargetMode="External" /><Relationship Type="http://schemas.openxmlformats.org/officeDocument/2006/relationships/hyperlink" Id="rId164" Target="https://doi.org/10.52202/075280-2997" TargetMode="External" /><Relationship Type="http://schemas.openxmlformats.org/officeDocument/2006/relationships/hyperlink" Id="rId166" Target="https://ladal.edu.au/tutorials/llm_privacy/llm_privacy.html" TargetMode="External" /><Relationship Type="http://schemas.openxmlformats.org/officeDocument/2006/relationships/hyperlink" Id="rId158" Target="https://quarto.org/docs/get-started/hello/rstudio.html"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24" Target="https://www.nber.org/papers/w34202" TargetMode="External" /><Relationship Type="http://schemas.openxmlformats.org/officeDocument/2006/relationships/hyperlink" Id="rId62"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76" Target="https://ai.google/static/documents/AI-in-Science.pdf" TargetMode="External" /><Relationship Type="http://schemas.openxmlformats.org/officeDocument/2006/relationships/hyperlink" Id="rId48" Target="https://arxiv.org/abs/2609.00006" TargetMode="External" /><Relationship Type="http://schemas.openxmlformats.org/officeDocument/2006/relationships/hyperlink" Id="rId152"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42" Target="https://doi.org/10.1007/s10816-015-9272-9" TargetMode="External" /><Relationship Type="http://schemas.openxmlformats.org/officeDocument/2006/relationships/hyperlink" Id="rId178" Target="https://doi.org/10.1007/s11704-024-40231-1" TargetMode="External" /><Relationship Type="http://schemas.openxmlformats.org/officeDocument/2006/relationships/hyperlink" Id="rId86" Target="https://doi.org/10.1007/s12599-023-00834-7" TargetMode="External" /><Relationship Type="http://schemas.openxmlformats.org/officeDocument/2006/relationships/hyperlink" Id="rId88" Target="https://doi.org/10.1016/j.culher.2024.11.020" TargetMode="External" /><Relationship Type="http://schemas.openxmlformats.org/officeDocument/2006/relationships/hyperlink" Id="rId118" Target="https://doi.org/10.1016/j.lindif.2023.102274" TargetMode="External" /><Relationship Type="http://schemas.openxmlformats.org/officeDocument/2006/relationships/hyperlink" Id="rId104" Target="https://doi.org/10.1016/j.sftr.2025.101152" TargetMode="External" /><Relationship Type="http://schemas.openxmlformats.org/officeDocument/2006/relationships/hyperlink" Id="rId80" Target="https://doi.org/10.1017/aap.2026.10173" TargetMode="External" /><Relationship Type="http://schemas.openxmlformats.org/officeDocument/2006/relationships/hyperlink" Id="rId156"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4" Target="https://doi.org/10.1038/s41586-024-07146-0" TargetMode="External" /><Relationship Type="http://schemas.openxmlformats.org/officeDocument/2006/relationships/hyperlink" Id="rId138" Target="https://doi.org/10.1038/s41586-026-10265-5" TargetMode="External" /><Relationship Type="http://schemas.openxmlformats.org/officeDocument/2006/relationships/hyperlink" Id="rId176" Target="https://doi.org/10.1038/s41598-023-41032-5" TargetMode="External" /><Relationship Type="http://schemas.openxmlformats.org/officeDocument/2006/relationships/hyperlink" Id="rId182" Target="https://doi.org/10.1038/s41746-024-01233-2" TargetMode="External" /><Relationship Type="http://schemas.openxmlformats.org/officeDocument/2006/relationships/hyperlink" Id="rId140" Target="https://doi.org/10.1038/s42256-024-00832-8" TargetMode="External" /><Relationship Type="http://schemas.openxmlformats.org/officeDocument/2006/relationships/hyperlink" Id="rId96" Target="https://doi.org/10.1038/s43586-022-00184-w" TargetMode="External" /><Relationship Type="http://schemas.openxmlformats.org/officeDocument/2006/relationships/hyperlink" Id="rId92" Target="https://doi.org/10.1038/s44185-024-00043-9" TargetMode="External" /><Relationship Type="http://schemas.openxmlformats.org/officeDocument/2006/relationships/hyperlink" Id="rId192" Target="https://doi.org/10.1038/s44387-025-00019-5" TargetMode="External" /><Relationship Type="http://schemas.openxmlformats.org/officeDocument/2006/relationships/hyperlink" Id="rId102"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0" Target="https://doi.org/10.1080/10584609.2023.2290497" TargetMode="External" /><Relationship Type="http://schemas.openxmlformats.org/officeDocument/2006/relationships/hyperlink" Id="rId168" Target="https://doi.org/10.1080/20548923.2025.2564519" TargetMode="External" /><Relationship Type="http://schemas.openxmlformats.org/officeDocument/2006/relationships/hyperlink" Id="rId194" Target="https://doi.org/10.1080/21620555.2026.2707167" TargetMode="External" /><Relationship Type="http://schemas.openxmlformats.org/officeDocument/2006/relationships/hyperlink" Id="rId84" Target="https://doi.org/10.1093/jmammal/gyaf082" TargetMode="External" /><Relationship Type="http://schemas.openxmlformats.org/officeDocument/2006/relationships/hyperlink" Id="rId174" Target="https://doi.org/10.1098/rs-policy.2026-31" TargetMode="External" /><Relationship Type="http://schemas.openxmlformats.org/officeDocument/2006/relationships/hyperlink" Id="rId78" Target="https://doi.org/10.1111/2041-210X.14325" TargetMode="External" /><Relationship Type="http://schemas.openxmlformats.org/officeDocument/2006/relationships/hyperlink" Id="rId162"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2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72"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98" Target="https://doi.org/10.1126/science.adi1778" TargetMode="External" /><Relationship Type="http://schemas.openxmlformats.org/officeDocument/2006/relationships/hyperlink" Id="rId188" Target="https://doi.org/10.1145/3544548.3581388" TargetMode="External" /><Relationship Type="http://schemas.openxmlformats.org/officeDocument/2006/relationships/hyperlink" Id="rId154" Target="https://doi.org/10.1145/3586183.3606763"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98" Target="https://doi.org/10.1162/coli_a_00502" TargetMode="External" /><Relationship Type="http://schemas.openxmlformats.org/officeDocument/2006/relationships/hyperlink" Id="rId122" Target="https://doi.org/10.1257/jel.20231736" TargetMode="External" /><Relationship Type="http://schemas.openxmlformats.org/officeDocument/2006/relationships/hyperlink" Id="rId82"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90" Target="https://doi.org/10.1613/jair.1.11345" TargetMode="External" /><Relationship Type="http://schemas.openxmlformats.org/officeDocument/2006/relationships/hyperlink" Id="rId150" Target="https://doi.org/10.17226/29488" TargetMode="External" /><Relationship Type="http://schemas.openxmlformats.org/officeDocument/2006/relationships/hyperlink" Id="rId180" Target="https://doi.org/10.21105/joss.01686" TargetMode="External" /><Relationship Type="http://schemas.openxmlformats.org/officeDocument/2006/relationships/hyperlink" Id="rId148" Target="https://doi.org/10.2139/ssrn.7011058" TargetMode="External" /><Relationship Type="http://schemas.openxmlformats.org/officeDocument/2006/relationships/hyperlink" Id="rId130" Target="https://doi.org/10.2196/51584" TargetMode="External" /><Relationship Type="http://schemas.openxmlformats.org/officeDocument/2006/relationships/hyperlink" Id="rId136" Target="https://doi.org/10.22582/ta.v14i2.778" TargetMode="External" /><Relationship Type="http://schemas.openxmlformats.org/officeDocument/2006/relationships/hyperlink" Id="rId100" Target="https://doi.org/10.24963/ijcai.2024/890" TargetMode="External" /><Relationship Type="http://schemas.openxmlformats.org/officeDocument/2006/relationships/hyperlink" Id="rId54" Target="https://doi.org/10.31235/osf.io/azs6r_v1" TargetMode="External" /><Relationship Type="http://schemas.openxmlformats.org/officeDocument/2006/relationships/hyperlink" Id="rId170" Target="https://doi.org/10.3233/faia230098" TargetMode="External" /><Relationship Type="http://schemas.openxmlformats.org/officeDocument/2006/relationships/hyperlink" Id="rId186" Target="https://doi.org/10.3352/jeehp.2024.21.6" TargetMode="External" /><Relationship Type="http://schemas.openxmlformats.org/officeDocument/2006/relationships/hyperlink" Id="rId120" Target="https://doi.org/10.35566/jbds/jikim" TargetMode="External" /><Relationship Type="http://schemas.openxmlformats.org/officeDocument/2006/relationships/hyperlink" Id="rId160"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4" Target="https://doi.org/10.48550/arXiv.2304.05128" TargetMode="External" /><Relationship Type="http://schemas.openxmlformats.org/officeDocument/2006/relationships/hyperlink" Id="rId196" Target="https://doi.org/10.48550/arXiv.2311.10372" TargetMode="External" /><Relationship Type="http://schemas.openxmlformats.org/officeDocument/2006/relationships/hyperlink" Id="rId128" Target="https://doi.org/10.48550/arXiv.2505.06120" TargetMode="External" /><Relationship Type="http://schemas.openxmlformats.org/officeDocument/2006/relationships/hyperlink" Id="rId94" Target="https://doi.org/10.48550/arXiv.2601.22638" TargetMode="External" /><Relationship Type="http://schemas.openxmlformats.org/officeDocument/2006/relationships/hyperlink" Id="rId184" Target="https://doi.org/10.48550/arXiv.2602.12430" TargetMode="External" /><Relationship Type="http://schemas.openxmlformats.org/officeDocument/2006/relationships/hyperlink" Id="rId200" Target="https://doi.org/10.48550/arXiv.2603.15914" TargetMode="External" /><Relationship Type="http://schemas.openxmlformats.org/officeDocument/2006/relationships/hyperlink" Id="rId134" Target="https://doi.org/10.48550/arXiv.2604.14228" TargetMode="External" /><Relationship Type="http://schemas.openxmlformats.org/officeDocument/2006/relationships/hyperlink" Id="rId146" Target="https://doi.org/10.48550/arXiv.2607.01507" TargetMode="External" /><Relationship Type="http://schemas.openxmlformats.org/officeDocument/2006/relationships/hyperlink" Id="rId72" Target="https://doi.org/10.48550/arXiv.2609.11198" TargetMode="External" /><Relationship Type="http://schemas.openxmlformats.org/officeDocument/2006/relationships/hyperlink" Id="rId132" Target="https://doi.org/10.48550/arXiv.2609.16995" TargetMode="External" /><Relationship Type="http://schemas.openxmlformats.org/officeDocument/2006/relationships/hyperlink" Id="rId164" Target="https://doi.org/10.52202/075280-2997" TargetMode="External" /><Relationship Type="http://schemas.openxmlformats.org/officeDocument/2006/relationships/hyperlink" Id="rId166" Target="https://ladal.edu.au/tutorials/llm_privacy/llm_privacy.html" TargetMode="External" /><Relationship Type="http://schemas.openxmlformats.org/officeDocument/2006/relationships/hyperlink" Id="rId158" Target="https://quarto.org/docs/get-started/hello/rstudio.html"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24" Target="https://www.nber.org/papers/w34202" TargetMode="External" /><Relationship Type="http://schemas.openxmlformats.org/officeDocument/2006/relationships/hyperlink" Id="rId62"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2026-09-28T00:02:07Z</dcterms:created>
  <dcterms:modified xsi:type="dcterms:W3CDTF">2026-09-28T00:02:07Z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27,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