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Responsible</w:t>
      </w:r>
      <w:r>
        <w:t xml:space="preserve"> </w:t>
      </w:r>
      <w:r>
        <w:t xml:space="preserve">Agentic</w:t>
      </w:r>
      <w:r>
        <w:t xml:space="preserve"> </w:t>
      </w:r>
      <w:r>
        <w:t xml:space="preserve">AI</w:t>
      </w:r>
      <w:r>
        <w:t xml:space="preserve"> </w:t>
      </w:r>
      <w:r>
        <w:t xml:space="preserve">for</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17,</w:t>
      </w:r>
      <w:r>
        <w:t xml:space="preserve"> </w:t>
      </w:r>
      <w:r>
        <w:t xml:space="preserve">2026</w:t>
      </w:r>
    </w:p>
    <w:p>
      <w:pPr>
        <w:pStyle w:val="AbstractTitle"/>
      </w:pPr>
      <w:r>
        <w:t xml:space="preserve">Abstract</w:t>
      </w:r>
    </w:p>
    <w:p>
      <w:pPr>
        <w:pStyle w:val="Abstract"/>
      </w:pPr>
      <w:r>
        <w:t xml:space="preserve">Archaeologists</w:t>
      </w:r>
      <w:r>
        <w:t xml:space="preserve"> </w:t>
      </w:r>
      <w:r>
        <w:t xml:space="preserve">who</w:t>
      </w:r>
      <w:r>
        <w:t xml:space="preserve"> </w:t>
      </w:r>
      <w:r>
        <w:t xml:space="preserve">use</w:t>
      </w:r>
      <w:r>
        <w:t xml:space="preserve"> </w:t>
      </w:r>
      <w:r>
        <w:t xml:space="preserve">generative</w:t>
      </w:r>
      <w:r>
        <w:t xml:space="preserve"> </w:t>
      </w:r>
      <w:r>
        <w:t xml:space="preserve">artificial</w:t>
      </w:r>
      <w:r>
        <w:t xml:space="preserve"> </w:t>
      </w:r>
      <w:r>
        <w:t xml:space="preserve">intelligence</w:t>
      </w:r>
      <w:r>
        <w:t xml:space="preserve"> </w:t>
      </w:r>
      <w:r>
        <w:t xml:space="preserve">(AI)</w:t>
      </w:r>
      <w:r>
        <w:t xml:space="preserve"> </w:t>
      </w:r>
      <w:r>
        <w:t xml:space="preserve">for</w:t>
      </w:r>
      <w:r>
        <w:t xml:space="preserve"> </w:t>
      </w:r>
      <w:r>
        <w:t xml:space="preserve">data</w:t>
      </w:r>
      <w:r>
        <w:t xml:space="preserve"> </w:t>
      </w:r>
      <w:r>
        <w:t xml:space="preserve">analysis</w:t>
      </w:r>
      <w:r>
        <w:t xml:space="preserve"> </w:t>
      </w:r>
      <w:r>
        <w:t xml:space="preserve">need</w:t>
      </w:r>
      <w:r>
        <w:t xml:space="preserve"> </w:t>
      </w:r>
      <w:r>
        <w:t xml:space="preserve">procedures</w:t>
      </w:r>
      <w:r>
        <w:t xml:space="preserve"> </w:t>
      </w:r>
      <w:r>
        <w:t xml:space="preserve">for</w:t>
      </w:r>
      <w:r>
        <w:t xml:space="preserve"> </w:t>
      </w:r>
      <w:r>
        <w:t xml:space="preserve">inspecting</w:t>
      </w:r>
      <w:r>
        <w:t xml:space="preserve"> </w:t>
      </w:r>
      <w:r>
        <w:t xml:space="preserve">code,</w:t>
      </w:r>
      <w:r>
        <w:t xml:space="preserve"> </w:t>
      </w:r>
      <w:r>
        <w:t xml:space="preserve">evaluating</w:t>
      </w:r>
      <w:r>
        <w:t xml:space="preserve"> </w:t>
      </w:r>
      <w:r>
        <w:t xml:space="preserve">methods,</w:t>
      </w:r>
      <w:r>
        <w:t xml:space="preserve"> </w:t>
      </w:r>
      <w:r>
        <w:t xml:space="preserve">and</w:t>
      </w:r>
      <w:r>
        <w:t xml:space="preserve"> </w:t>
      </w:r>
      <w:r>
        <w:t xml:space="preserve">checking</w:t>
      </w:r>
      <w:r>
        <w:t xml:space="preserve"> </w:t>
      </w:r>
      <w:r>
        <w:t xml:space="preserve">sources.</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for</w:t>
      </w:r>
      <w:r>
        <w:t xml:space="preserve"> </w:t>
      </w:r>
      <w:r>
        <w:t xml:space="preserve">responsible</w:t>
      </w:r>
      <w:r>
        <w:t xml:space="preserve"> </w:t>
      </w:r>
      <w:r>
        <w:t xml:space="preserve">agentic</w:t>
      </w:r>
      <w:r>
        <w:t xml:space="preserve"> </w:t>
      </w:r>
      <w:r>
        <w:t xml:space="preserve">AI</w:t>
      </w:r>
      <w:r>
        <w:t xml:space="preserve"> </w:t>
      </w:r>
      <w:r>
        <w:t xml:space="preserve">use</w:t>
      </w:r>
      <w:r>
        <w:t xml:space="preserve"> </w:t>
      </w:r>
      <w:r>
        <w:t xml:space="preserve">in</w:t>
      </w:r>
      <w:r>
        <w:t xml:space="preserve"> </w:t>
      </w:r>
      <w:r>
        <w:t xml:space="preserve">R.</w:t>
      </w:r>
      <w:r>
        <w:t xml:space="preserve"> </w:t>
      </w:r>
      <w:r>
        <w:t xml:space="preserve">First,</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research</w:t>
      </w:r>
      <w:r>
        <w:t xml:space="preserve"> </w:t>
      </w:r>
      <w:r>
        <w:t xml:space="preserve">tools</w:t>
      </w:r>
      <w:r>
        <w:t xml:space="preserve"> </w:t>
      </w:r>
      <w:r>
        <w:t xml:space="preserve">and</w:t>
      </w:r>
      <w:r>
        <w:t xml:space="preserve"> </w:t>
      </w:r>
      <w:r>
        <w:t xml:space="preserve">standards</w:t>
      </w:r>
      <w:r>
        <w:t xml:space="preserve"> </w:t>
      </w:r>
      <w:r>
        <w:t xml:space="preserve">to</w:t>
      </w:r>
      <w:r>
        <w:t xml:space="preserve"> </w:t>
      </w:r>
      <w:r>
        <w:t xml:space="preserve">judge</w:t>
      </w:r>
      <w:r>
        <w:t xml:space="preserve"> </w:t>
      </w:r>
      <w:r>
        <w:t xml:space="preserve">AI-generated</w:t>
      </w:r>
      <w:r>
        <w:t xml:space="preserve"> </w:t>
      </w:r>
      <w:r>
        <w:t xml:space="preserve">outputs.</w:t>
      </w:r>
      <w:r>
        <w:t xml:space="preserve"> </w:t>
      </w:r>
      <w:r>
        <w:t xml:space="preserve">R</w:t>
      </w:r>
      <w:r>
        <w:t xml:space="preserve"> </w:t>
      </w:r>
      <w:r>
        <w:t xml:space="preserve">supports</w:t>
      </w:r>
      <w:r>
        <w:t xml:space="preserve"> </w:t>
      </w:r>
      <w:r>
        <w:t xml:space="preserve">analysis,</w:t>
      </w:r>
      <w:r>
        <w:t xml:space="preserve"> </w:t>
      </w:r>
      <w:r>
        <w:t xml:space="preserve">Quarto</w:t>
      </w:r>
      <w:r>
        <w:t xml:space="preserve"> </w:t>
      </w:r>
      <w:r>
        <w:t xml:space="preserve">combines</w:t>
      </w:r>
      <w:r>
        <w:t xml:space="preserve"> </w:t>
      </w:r>
      <w:r>
        <w:t xml:space="preserve">code</w:t>
      </w:r>
      <w:r>
        <w:t xml:space="preserve"> </w:t>
      </w:r>
      <w:r>
        <w:t xml:space="preserve">and</w:t>
      </w:r>
      <w:r>
        <w:t xml:space="preserve"> </w:t>
      </w:r>
      <w:r>
        <w:t xml:space="preserve">text</w:t>
      </w:r>
      <w:r>
        <w:t xml:space="preserve"> </w:t>
      </w:r>
      <w:r>
        <w:t xml:space="preserve">in</w:t>
      </w:r>
      <w:r>
        <w:t xml:space="preserve"> </w:t>
      </w:r>
      <w:r>
        <w:t xml:space="preserve">executable</w:t>
      </w:r>
      <w:r>
        <w:t xml:space="preserve"> </w:t>
      </w:r>
      <w:r>
        <w:t xml:space="preserve">documents,</w:t>
      </w:r>
      <w:r>
        <w:t xml:space="preserve"> </w:t>
      </w:r>
      <w:r>
        <w:t xml:space="preserve">and</w:t>
      </w:r>
      <w:r>
        <w:t xml:space="preserve"> </w:t>
      </w:r>
      <w:r>
        <w:t xml:space="preserve">Git</w:t>
      </w:r>
      <w:r>
        <w:t xml:space="preserve"> </w:t>
      </w:r>
      <w:r>
        <w:t xml:space="preserve">records</w:t>
      </w:r>
      <w:r>
        <w:t xml:space="preserve"> </w:t>
      </w:r>
      <w:r>
        <w:t xml:space="preserve">changes</w:t>
      </w:r>
      <w:r>
        <w:t xml:space="preserve"> </w:t>
      </w:r>
      <w:r>
        <w:t xml:space="preserve">for</w:t>
      </w:r>
      <w:r>
        <w:t xml:space="preserve"> </w:t>
      </w:r>
      <w:r>
        <w:t xml:space="preserve">inspection.</w:t>
      </w:r>
      <w:r>
        <w:t xml:space="preserve"> </w:t>
      </w:r>
      <w:r>
        <w:t xml:space="preserve">Second,</w:t>
      </w:r>
      <w:r>
        <w:t xml:space="preserve"> </w:t>
      </w:r>
      <w:r>
        <w:t xml:space="preserve">configure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explicit</w:t>
      </w:r>
      <w:r>
        <w:t xml:space="preserve"> </w:t>
      </w:r>
      <w:r>
        <w:t xml:space="preserve">project</w:t>
      </w:r>
      <w:r>
        <w:t xml:space="preserve"> </w:t>
      </w:r>
      <w:r>
        <w:t xml:space="preserve">instructions</w:t>
      </w:r>
      <w:r>
        <w:t xml:space="preserve"> </w:t>
      </w:r>
      <w:r>
        <w:t xml:space="preserve">and</w:t>
      </w:r>
      <w:r>
        <w:t xml:space="preserve"> </w:t>
      </w:r>
      <w:r>
        <w:t xml:space="preserve">permissions.</w:t>
      </w:r>
      <w:r>
        <w:t xml:space="preserve"> </w:t>
      </w:r>
      <w:r>
        <w:t xml:space="preserve">Third,</w:t>
      </w:r>
      <w:r>
        <w:t xml:space="preserve"> </w:t>
      </w:r>
      <w:r>
        <w:t xml:space="preserve">use</w:t>
      </w:r>
      <w:r>
        <w:t xml:space="preserve"> </w:t>
      </w:r>
      <w:r>
        <w:t xml:space="preserve">skills,</w:t>
      </w:r>
      <w:r>
        <w:t xml:space="preserve"> </w:t>
      </w:r>
      <w:r>
        <w:t xml:space="preserve">tools,</w:t>
      </w:r>
      <w:r>
        <w:t xml:space="preserve"> </w:t>
      </w:r>
      <w:r>
        <w:t xml:space="preserve">and</w:t>
      </w:r>
      <w:r>
        <w:t xml:space="preserve"> </w:t>
      </w:r>
      <w:r>
        <w:t xml:space="preserve">Model</w:t>
      </w:r>
      <w:r>
        <w:t xml:space="preserve"> </w:t>
      </w:r>
      <w:r>
        <w:t xml:space="preserve">Context</w:t>
      </w:r>
      <w:r>
        <w:t xml:space="preserve"> </w:t>
      </w:r>
      <w:r>
        <w:t xml:space="preserve">Protocol</w:t>
      </w:r>
      <w:r>
        <w:t xml:space="preserve"> </w:t>
      </w:r>
      <w:r>
        <w:t xml:space="preserve">servers</w:t>
      </w:r>
      <w:r>
        <w:t xml:space="preserve"> </w:t>
      </w:r>
      <w:r>
        <w:t xml:space="preserve">to</w:t>
      </w:r>
      <w:r>
        <w:t xml:space="preserve"> </w:t>
      </w:r>
      <w:r>
        <w:t xml:space="preserve">research</w:t>
      </w:r>
      <w:r>
        <w:t xml:space="preserve"> </w:t>
      </w:r>
      <w:r>
        <w:t xml:space="preserve">a</w:t>
      </w:r>
      <w:r>
        <w:t xml:space="preserve"> </w:t>
      </w:r>
      <w:r>
        <w:t xml:space="preserve">question,</w:t>
      </w:r>
      <w:r>
        <w:t xml:space="preserve"> </w:t>
      </w:r>
      <w:r>
        <w:t xml:space="preserve">critique</w:t>
      </w:r>
      <w:r>
        <w:t xml:space="preserve"> </w:t>
      </w:r>
      <w:r>
        <w:t xml:space="preserve">a</w:t>
      </w:r>
      <w:r>
        <w:t xml:space="preserve"> </w:t>
      </w:r>
      <w:r>
        <w:t xml:space="preserve">researcher-written</w:t>
      </w:r>
      <w:r>
        <w:t xml:space="preserve"> </w:t>
      </w:r>
      <w:r>
        <w:t xml:space="preserve">plan,</w:t>
      </w:r>
      <w:r>
        <w:t xml:space="preserve"> </w:t>
      </w:r>
      <w:r>
        <w:t xml:space="preserve">execute</w:t>
      </w:r>
      <w:r>
        <w:t xml:space="preserve"> </w:t>
      </w:r>
      <w:r>
        <w:t xml:space="preserve">approved</w:t>
      </w:r>
      <w:r>
        <w:t xml:space="preserve"> </w:t>
      </w:r>
      <w:r>
        <w:t xml:space="preserve">analyses,</w:t>
      </w:r>
      <w:r>
        <w:t xml:space="preserve"> </w:t>
      </w:r>
      <w:r>
        <w:t xml:space="preserve">and</w:t>
      </w:r>
      <w:r>
        <w:t xml:space="preserve"> </w:t>
      </w:r>
      <w:r>
        <w:t xml:space="preserve">verify</w:t>
      </w:r>
      <w:r>
        <w:t xml:space="preserve"> </w:t>
      </w:r>
      <w:r>
        <w:t xml:space="preserve">results.</w:t>
      </w:r>
      <w:r>
        <w:t xml:space="preserve"> </w:t>
      </w:r>
      <w:r>
        <w:t xml:space="preserve">We</w:t>
      </w:r>
      <w:r>
        <w:t xml:space="preserve"> </w:t>
      </w:r>
      <w:r>
        <w:t xml:space="preserve">describe</w:t>
      </w:r>
      <w:r>
        <w:t xml:space="preserve"> </w:t>
      </w:r>
      <w:r>
        <w:t xml:space="preserve">the</w:t>
      </w:r>
      <w:r>
        <w:t xml:space="preserve"> </w:t>
      </w:r>
      <w:r>
        <w:t xml:space="preserve">inputs,</w:t>
      </w:r>
      <w:r>
        <w:t xml:space="preserve"> </w:t>
      </w:r>
      <w:r>
        <w:t xml:space="preserve">actions,</w:t>
      </w:r>
      <w:r>
        <w:t xml:space="preserve"> </w:t>
      </w:r>
      <w:r>
        <w:t xml:space="preserve">and</w:t>
      </w:r>
      <w:r>
        <w:t xml:space="preserve"> </w:t>
      </w:r>
      <w:r>
        <w:t xml:space="preserve">checks</w:t>
      </w:r>
      <w:r>
        <w:t xml:space="preserve"> </w:t>
      </w:r>
      <w:r>
        <w:t xml:space="preserve">for</w:t>
      </w:r>
      <w:r>
        <w:t xml:space="preserve"> </w:t>
      </w:r>
      <w:r>
        <w:t xml:space="preserve">each</w:t>
      </w:r>
      <w:r>
        <w:t xml:space="preserve"> </w:t>
      </w:r>
      <w:r>
        <w:t xml:space="preserve">practice,</w:t>
      </w:r>
      <w:r>
        <w:t xml:space="preserve"> </w:t>
      </w:r>
      <w:r>
        <w:t xml:space="preserve">including</w:t>
      </w:r>
      <w:r>
        <w:t xml:space="preserve"> </w:t>
      </w:r>
      <w:r>
        <w:t xml:space="preserve">precautions</w:t>
      </w:r>
      <w:r>
        <w:t xml:space="preserve"> </w:t>
      </w:r>
      <w:r>
        <w:t xml:space="preserve">for</w:t>
      </w:r>
      <w:r>
        <w:t xml:space="preserve"> </w:t>
      </w:r>
      <w:r>
        <w:t xml:space="preserve">restricted</w:t>
      </w:r>
      <w:r>
        <w:t xml:space="preserve"> </w:t>
      </w:r>
      <w:r>
        <w:t xml:space="preserve">archaeological</w:t>
      </w:r>
      <w:r>
        <w:t xml:space="preserve"> </w:t>
      </w:r>
      <w:r>
        <w:t xml:space="preserve">data.</w:t>
      </w:r>
      <w:r>
        <w:t xml:space="preserve"> </w:t>
      </w:r>
      <w:r>
        <w:t xml:space="preserve">The</w:t>
      </w:r>
      <w:r>
        <w:t xml:space="preserve"> </w:t>
      </w:r>
      <w:r>
        <w:t xml:space="preserve">workflow</w:t>
      </w:r>
      <w:r>
        <w:t xml:space="preserve"> </w:t>
      </w:r>
      <w:r>
        <w:t xml:space="preserve">retains</w:t>
      </w:r>
      <w:r>
        <w:t xml:space="preserve"> </w:t>
      </w:r>
      <w:r>
        <w:t xml:space="preserve">the</w:t>
      </w:r>
      <w:r>
        <w:t xml:space="preserve"> </w:t>
      </w:r>
      <w:r>
        <w:t xml:space="preserve">researcher’s</w:t>
      </w:r>
      <w:r>
        <w:t xml:space="preserve"> </w:t>
      </w:r>
      <w:r>
        <w:t xml:space="preserve">responsibility</w:t>
      </w:r>
      <w:r>
        <w:t xml:space="preserve"> </w:t>
      </w:r>
      <w:r>
        <w:t xml:space="preserve">for</w:t>
      </w:r>
      <w:r>
        <w:t xml:space="preserve"> </w:t>
      </w:r>
      <w:r>
        <w:t xml:space="preserve">analytical</w:t>
      </w:r>
      <w:r>
        <w:t xml:space="preserve"> </w:t>
      </w:r>
      <w:r>
        <w:t xml:space="preserve">decisions</w:t>
      </w:r>
      <w:r>
        <w:t xml:space="preserve"> </w:t>
      </w:r>
      <w:r>
        <w:t xml:space="preserve">and</w:t>
      </w:r>
      <w:r>
        <w:t xml:space="preserve"> </w:t>
      </w:r>
      <w:r>
        <w:t xml:space="preserve">produces</w:t>
      </w:r>
      <w:r>
        <w:t xml:space="preserve"> </w:t>
      </w:r>
      <w:r>
        <w:t xml:space="preserve">code,</w:t>
      </w:r>
      <w:r>
        <w:t xml:space="preserve"> </w:t>
      </w:r>
      <w:r>
        <w:t xml:space="preserve">documentation,</w:t>
      </w:r>
      <w:r>
        <w:t xml:space="preserve"> </w:t>
      </w:r>
      <w:r>
        <w:t xml:space="preserve">and</w:t>
      </w:r>
      <w:r>
        <w:t xml:space="preserve"> </w:t>
      </w:r>
      <w:r>
        <w:t xml:space="preserve">a</w:t>
      </w:r>
      <w:r>
        <w:t xml:space="preserve"> </w:t>
      </w:r>
      <w:r>
        <w:t xml:space="preserve">report</w:t>
      </w:r>
      <w:r>
        <w:t xml:space="preserve"> </w:t>
      </w:r>
      <w:r>
        <w:t xml:space="preserve">that</w:t>
      </w:r>
      <w:r>
        <w:t xml:space="preserve"> </w:t>
      </w:r>
      <w:r>
        <w:t xml:space="preserve">others</w:t>
      </w:r>
      <w:r>
        <w:t xml:space="preserve"> </w:t>
      </w:r>
      <w:r>
        <w:t xml:space="preserve">can</w:t>
      </w:r>
      <w:r>
        <w:t xml:space="preserve"> </w:t>
      </w:r>
      <w:r>
        <w:t xml:space="preserve">inspect.</w:t>
      </w:r>
      <w:r>
        <w:t xml:space="preserve"> </w:t>
      </w:r>
      <w:r>
        <w:t xml:space="preserve">We</w:t>
      </w:r>
      <w:r>
        <w:t xml:space="preserve"> </w:t>
      </w:r>
      <w:r>
        <w:t xml:space="preserve">discuss</w:t>
      </w:r>
      <w:r>
        <w:t xml:space="preserve"> </w:t>
      </w:r>
      <w:r>
        <w:t xml:space="preserve">setup</w:t>
      </w:r>
      <w:r>
        <w:t xml:space="preserve"> </w:t>
      </w:r>
      <w:r>
        <w:t xml:space="preserve">costs,</w:t>
      </w:r>
      <w:r>
        <w:t xml:space="preserve"> </w:t>
      </w:r>
      <w:r>
        <w:t xml:space="preserve">limitations</w:t>
      </w:r>
      <w:r>
        <w:t xml:space="preserve"> </w:t>
      </w:r>
      <w:r>
        <w:t xml:space="preserve">of</w:t>
      </w:r>
      <w:r>
        <w:t xml:space="preserve"> </w:t>
      </w:r>
      <w:r>
        <w:t xml:space="preserve">automated</w:t>
      </w:r>
      <w:r>
        <w:t xml:space="preserve"> </w:t>
      </w:r>
      <w:r>
        <w:t xml:space="preserve">checking,</w:t>
      </w:r>
      <w:r>
        <w:t xml:space="preserve"> </w:t>
      </w:r>
      <w:r>
        <w:t xml:space="preserve">and</w:t>
      </w:r>
      <w:r>
        <w:t xml:space="preserve"> </w:t>
      </w:r>
      <w:r>
        <w:t xml:space="preserve">the</w:t>
      </w:r>
      <w:r>
        <w:t xml:space="preserve"> </w:t>
      </w:r>
      <w:r>
        <w:t xml:space="preserve">distinction</w:t>
      </w:r>
      <w:r>
        <w:t xml:space="preserve"> </w:t>
      </w:r>
      <w:r>
        <w:t xml:space="preserve">between</w:t>
      </w:r>
      <w:r>
        <w:t xml:space="preserve"> </w:t>
      </w:r>
      <w:r>
        <w:t xml:space="preserve">reproducing</w:t>
      </w:r>
      <w:r>
        <w:t xml:space="preserve"> </w:t>
      </w:r>
      <w:r>
        <w:t xml:space="preserve">a</w:t>
      </w:r>
      <w:r>
        <w:t xml:space="preserve"> </w:t>
      </w:r>
      <w:r>
        <w:t xml:space="preserve">saved</w:t>
      </w:r>
      <w:r>
        <w:t xml:space="preserve"> </w:t>
      </w:r>
      <w:r>
        <w:t xml:space="preserve">analysis</w:t>
      </w:r>
      <w:r>
        <w:t xml:space="preserve"> </w:t>
      </w:r>
      <w:r>
        <w:t xml:space="preserve">and</w:t>
      </w:r>
      <w:r>
        <w:t xml:space="preserve"> </w:t>
      </w:r>
      <w:r>
        <w:t xml:space="preserve">repeating</w:t>
      </w:r>
      <w:r>
        <w:t xml:space="preserve"> </w:t>
      </w:r>
      <w:r>
        <w:t xml:space="preserve">an</w:t>
      </w:r>
      <w:r>
        <w:t xml:space="preserve"> </w:t>
      </w:r>
      <w:r>
        <w:t xml:space="preserve">agent</w:t>
      </w:r>
      <w:r>
        <w:t xml:space="preserve"> </w:t>
      </w:r>
      <w:r>
        <w:t xml:space="preserve">interaction.</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 but incorrect explanations</w:t>
      </w:r>
      <w:r>
        <w:t xml:space="preserve"> </w:t>
      </w:r>
      <w:r>
        <w:t xml:space="preserve">(Leung et al. 2023; Messeri and Crockett 2024)</w:t>
      </w:r>
      <w:r>
        <w:t xml:space="preserve">. Financial, environmental and energy costs, commercial dependence, and privacy are also concerns for archaeological use of mainstream commercial LLM services</w:t>
      </w:r>
      <w:r>
        <w:t xml:space="preserve"> </w:t>
      </w:r>
      <w:r>
        <w:t xml:space="preserve">(Kansa 2026)</w:t>
      </w:r>
      <w:r>
        <w:t xml:space="preserve">. The jagged frontier of AI means AI assistance improves performance on certain tasks but degrades quality on others of seemingly identical difficulty, making it hard to predict when an AI will produce high-quality output</w:t>
      </w:r>
      <w:r>
        <w:t xml:space="preserve"> </w:t>
      </w:r>
      <w:r>
        <w:t xml:space="preserve">(Dell’Acqua et al. 2026)</w:t>
      </w:r>
      <w:r>
        <w:t xml:space="preserve">. In this guide we introduce a basic agentic AI workflow suitable for archaeological work that has potential to address some of these issues.</w:t>
      </w:r>
    </w:p>
    <w:p>
      <w:pPr>
        <w:pStyle w:val="BodyText"/>
      </w:pPr>
      <w:r>
        <w:t xml:space="preserve">Agentic AI refers to systems in which a language model uses rich context and specialised tools to plan and take actions, rather than only responding to a prompt. An AI agent connects a language model to tools that can read files, execute code, or retrieve information. A harness is the software we install on our computer that manages those connections and the interaction with the researcher. A wide variety of agentic and harness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This guide focuses on the low-autonomy end of that range: the researcher directs each stage, and the agent works only within a single project. We are not describing end-to-end fully automated AI pipelines that generate ideas, run experiments, write manuscripts, and review the results with limited human intervention</w:t>
      </w:r>
      <w:r>
        <w:t xml:space="preserve"> </w:t>
      </w:r>
      <w:r>
        <w:t xml:space="preserve">(Lu et al. 2026)</w:t>
      </w:r>
      <w:r>
        <w:t xml:space="preserve">. Instead, we recommend a configured assistant for particular tasks, whose file access, code execution, and outputs remain subject to researcher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use</w:t>
      </w:r>
      <w:r>
        <w:t xml:space="preserve"> </w:t>
      </w:r>
      <w:r>
        <w:t xml:space="preserve">“</w:t>
      </w:r>
      <w:r>
        <w:t xml:space="preserve">human at the helm</w:t>
      </w:r>
      <w:r>
        <w:t xml:space="preserve">”</w:t>
      </w:r>
      <w:r>
        <w:t xml:space="preserve"> </w:t>
      </w:r>
      <w:r>
        <w:t xml:space="preserve">to describe responsibility for setting goals, approving methods, interpreting findings, and deciding what to publish</w:t>
      </w:r>
      <w:r>
        <w:t xml:space="preserve"> </w:t>
      </w:r>
      <w:r>
        <w:t xml:space="preserve">(Jonker et al. 2024; Monakhov 2026)</w:t>
      </w:r>
      <w:r>
        <w:t xml:space="preserve">. Human-in-the-loop approaches also include human feedback and intervention</w:t>
      </w:r>
      <w:r>
        <w:t xml:space="preserve"> </w:t>
      </w:r>
      <w:r>
        <w:t xml:space="preserve">(Taylor 2023; Zanzotto 2019)</w:t>
      </w:r>
      <w:r>
        <w:t xml:space="preserve">; neither label alone establishes meaningful control.</w:t>
      </w:r>
      <w:r>
        <w:t xml:space="preserve"> </w:t>
      </w:r>
      <w:hyperlink w:anchor="tbl-helm-vs-loop">
        <w:r>
          <w:rPr>
            <w:rStyle w:val="Hyperlink"/>
          </w:rPr>
          <w:t xml:space="preserve">Table 2</w:t>
        </w:r>
      </w:hyperlink>
      <w:r>
        <w:t xml:space="preserve"> </w:t>
      </w:r>
      <w:r>
        <w:t xml:space="preserve">compares the two framings dimension by dimension. In this workflow, control requires observable actions: the researcher reviews changes, checks evidence, and can stop or redirect the work. In a perspective on future automated ecosystem modeling,</w:t>
      </w:r>
      <w:r>
        <w:t xml:space="preserve"> </w:t>
      </w:r>
      <w:r>
        <w:t xml:space="preserve">Spillias et al. (2026)</w:t>
      </w:r>
      <w:r>
        <w:t xml:space="preserve"> </w:t>
      </w:r>
      <w:r>
        <w:t xml:space="preserve">argues that human engagement and control remain essential even as technical capabilities advance.</w:t>
      </w:r>
    </w:p>
    <w:p>
      <w:pPr>
        <w:pStyle w:val="BodyText"/>
      </w:pPr>
      <w:r>
        <w:t xml:space="preserve">Researcher control also requires attention to responsibilities toward affected communities.</w:t>
      </w:r>
      <w:r>
        <w:t xml:space="preserve"> </w:t>
      </w:r>
      <w:r>
        <w:t xml:space="preserve">Spillias et al. (2026)</w:t>
      </w:r>
      <w:r>
        <w:t xml:space="preserve"> </w:t>
      </w:r>
      <w:r>
        <w:t xml:space="preserve">cautions that AI-generated perspectives cannot replace participation by affected communities. Where archaeological work requires community consultation or consent, researcher approval of an agent’s actions does not replace those obligations.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judge AI-generated outputs. Second, configure an AI agent in a local harness to work with project files under researcher-defined permissions. Third, use skills, tools, and Model Context Protocol (MCP) servers to research, plan, execute, and verify data analyses. These practices will be most useful to archaeologists who currently analyze their own data in R, whether in academia, government, or private practice, and are looking to reduce some of the friction and tedium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data, calculate summaries, and draw a figure in R before asking an agent to modify an analysis. Researchers also need to inspect the code and explain its relationship to the archaeological question. Learning these fundamentals provides a basis for evaluating AI suggestions</w:t>
      </w:r>
      <w:r>
        <w:t xml:space="preserve"> </w:t>
      </w:r>
      <w:r>
        <w:t xml:space="preserve">(Bridgeford et al. 2026; Dyck 2026)</w:t>
      </w:r>
      <w:r>
        <w:t xml:space="preserve">.</w:t>
      </w:r>
      <w:r>
        <w:t xml:space="preserve"> </w:t>
      </w:r>
      <w:r>
        <w:t xml:space="preserve">Vaithilingam et al. (2022)</w:t>
      </w:r>
      <w:r>
        <w:t xml:space="preserve"> </w:t>
      </w:r>
      <w:r>
        <w:t xml:space="preserve">found that code-assistant users still struggled to verify generated code, so we require expert review of every AI-generated change before accepting it.</w:t>
      </w:r>
    </w:p>
    <w:p>
      <w:pPr>
        <w:pStyle w:val="BodyText"/>
      </w:pPr>
      <w:r>
        <w:t xml:space="preserve">Choose a small set of tools and learn how they work together. We use the tidyverse for data preparation and ggplot2 for visualization</w:t>
      </w:r>
      <w:r>
        <w:t xml:space="preserve"> </w:t>
      </w:r>
      <w:r>
        <w:t xml:space="preserve">(Wickham et al. 2019)</w:t>
      </w:r>
      <w:r>
        <w:t xml:space="preserve">. The here package helps construct project-relative file paths, and renv records R package dependencies. These tools support the organization of reproducible analyses, although they do not guarantee that code will run in every environment.</w:t>
      </w:r>
    </w:p>
    <w:p>
      <w:pPr>
        <w:pStyle w:val="BodyText"/>
      </w:pPr>
      <w:r>
        <w:t xml:space="preserve">Quarto combines prose, executable code, and results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works the same way as R Markdown, combines its bookdown and distill extensions, and runs the Knitr and Jupyter engines</w:t>
      </w:r>
      <w:r>
        <w:t xml:space="preserve"> </w:t>
      </w:r>
      <w:r>
        <w:t xml:space="preserve">(Quarto)</w:t>
      </w:r>
      <w:r>
        <w:t xml:space="preserve">. Practice reading a data file, drawing a figure, and rendering that document before delegating changes to an agent. Check that changing the code changes the corresponding result in the rendered report. Keep the</w:t>
      </w:r>
      <w:r>
        <w:t xml:space="preserve"> </w:t>
      </w:r>
      <w:r>
        <w:rPr>
          <w:rStyle w:val="VerbatimChar"/>
        </w:rPr>
        <w:t xml:space="preserve">.qmd</w:t>
      </w:r>
      <w:r>
        <w:t xml:space="preserve"> </w:t>
      </w:r>
      <w:r>
        <w:t xml:space="preserve">source as the document you edit; regenerate Word or HTML outputs from it. Markdown is the most efficient format for LLMs to read and write: skills ship as markdown instruction files, and converters turn PDFs into markdown before agents read them</w:t>
      </w:r>
      <w:r>
        <w:t xml:space="preserve"> </w:t>
      </w:r>
      <w:r>
        <w:t xml:space="preserve">(Anthropic 2025)</w:t>
      </w:r>
      <w:r>
        <w:t xml:space="preserve">.</w:t>
      </w:r>
    </w:p>
    <w:p>
      <w:pPr>
        <w:pStyle w:val="BodyText"/>
      </w:pPr>
      <w:r>
        <w:t xml:space="preserve">Git records versions of project files so researchers can inspect changes and retrieve earlier work</w:t>
      </w:r>
      <w:r>
        <w:t xml:space="preserve"> </w:t>
      </w:r>
      <w:r>
        <w:t xml:space="preserve">(Wilson et al. 2014)</w:t>
      </w:r>
      <w:r>
        <w:t xml:space="preserve">. Version control with Git supports reproducibility and transparency in science</w:t>
      </w:r>
      <w:r>
        <w:t xml:space="preserve"> </w:t>
      </w:r>
      <w:r>
        <w:t xml:space="preserve">(Ram 2013)</w:t>
      </w:r>
      <w:r>
        <w:t xml:space="preserve">, and primers introduce the Git and GitHub workflow to new users</w:t>
      </w:r>
      <w:r>
        <w:t xml:space="preserve"> </w:t>
      </w:r>
      <w:r>
        <w:t xml:space="preserve">(Blischak et al. 2016)</w:t>
      </w:r>
      <w:r>
        <w:t xml:space="preserve">. A commit is a saved snapshot of tracked files, accompanied by a message describing the changes; a diff shows differences between versions. Before inviting an agent to edit a project, practice inspecting a diff and making a commit of reviewed changes. Save a known working version of the Quarto document and its supporting code, then inspect each agent-generated change. Keep credentials and restricted data out of any shared repository.</w:t>
      </w:r>
    </w:p>
    <w:p>
      <w:pPr>
        <w:pStyle w:val="BodyText"/>
      </w:pPr>
      <w:r>
        <w:t xml:space="preserve">These skills require practice.</w:t>
      </w:r>
      <w:r>
        <w:t xml:space="preserve"> </w:t>
      </w:r>
      <w:r>
        <w:t xml:space="preserve">Campbell et al. (2024)</w:t>
      </w:r>
      <w:r>
        <w:t xml:space="preserve"> </w:t>
      </w:r>
      <w:r>
        <w:t xml:space="preserve">and</w:t>
      </w:r>
      <w:r>
        <w:t xml:space="preserve"> </w:t>
      </w:r>
      <w:r>
        <w:t xml:space="preserve">Dyck (2026)</w:t>
      </w:r>
      <w:r>
        <w:t xml:space="preserve"> </w:t>
      </w:r>
      <w:r>
        <w:t xml:space="preserve">argue for learning coding fundamentals despite the availability of AI assistance. Cooper and colleagues also reaffirm teaching coding so researchers can interpret generated code and think critically, while noting variable output quality in mathematics, logic, and reproducibility</w:t>
      </w:r>
      <w:r>
        <w:t xml:space="preserve"> </w:t>
      </w:r>
      <w:r>
        <w:t xml:space="preserve">(Cooper et al. 2024)</w:t>
      </w:r>
      <w:r>
        <w:t xml:space="preserve">. Sociologists now describe computational literacy as a core methodological competence rather than an optional extra</w:t>
      </w:r>
      <w:r>
        <w:t xml:space="preserve"> </w:t>
      </w:r>
      <w:r>
        <w:t xml:space="preserve">(Abramson et al. 2026)</w:t>
      </w:r>
      <w:r>
        <w:t xml:space="preserve">.</w:t>
      </w:r>
      <w:r>
        <w:t xml:space="preserve"> </w:t>
      </w:r>
      <w:r>
        <w:t xml:space="preserve">Morgan and Wright (2018)</w:t>
      </w:r>
      <w:r>
        <w:t xml:space="preserve"> </w:t>
      </w:r>
      <w:r>
        <w:t xml:space="preserve">examines the relationship between drawing and interpretation in archaeological field recording. We use this as an analogy for attending to the work a tool performs, rather than evidence that manual coding always improves understanding.</w:t>
      </w:r>
    </w:p>
    <w:p>
      <w:pPr>
        <w:pStyle w:val="BodyText"/>
      </w:pPr>
      <w:r>
        <w:t xml:space="preserve">Consider a task that counts artifacts by site. Before requesting code, specify that each row represents one artifact, explain missing site labels, and decide how the plot should display counts. A short base R solution might use</w:t>
      </w:r>
      <w:r>
        <w:t xml:space="preserve"> </w:t>
      </w:r>
      <w:r>
        <w:rPr>
          <w:rStyle w:val="VerbatimChar"/>
        </w:rPr>
        <w:t xml:space="preserve">table()</w:t>
      </w:r>
      <w:r>
        <w:t xml:space="preserve"> </w:t>
      </w:r>
      <w:r>
        <w:t xml:space="preserve">and</w:t>
      </w:r>
      <w:r>
        <w:t xml:space="preserve"> </w:t>
      </w:r>
      <w:r>
        <w:rPr>
          <w:rStyle w:val="VerbatimChar"/>
        </w:rPr>
        <w:t xml:space="preserve">barplot()</w:t>
      </w:r>
      <w:r>
        <w:t xml:space="preserve">. A tidyverse solution might use</w:t>
      </w:r>
      <w:r>
        <w:t xml:space="preserve"> </w:t>
      </w:r>
      <w:r>
        <w:rPr>
          <w:rStyle w:val="VerbatimChar"/>
        </w:rPr>
        <w:t xml:space="preserve">count()</w:t>
      </w:r>
      <w:r>
        <w:t xml:space="preserve"> </w:t>
      </w:r>
      <w:r>
        <w:t xml:space="preserve">and</w:t>
      </w:r>
      <w:r>
        <w:t xml:space="preserve"> </w:t>
      </w:r>
      <w:r>
        <w:rPr>
          <w:rStyle w:val="VerbatimChar"/>
        </w:rPr>
        <w:t xml:space="preserve">geom_col()</w:t>
      </w:r>
      <w:r>
        <w:t xml:space="preserve">. The package choice alone cannot establish correctness: the researcher must check what each operation counts and excludes.</w:t>
      </w:r>
    </w:p>
    <w:p>
      <w:pPr>
        <w:pStyle w:val="BodyText"/>
      </w:pPr>
      <w:r>
        <w:t xml:space="preserve">To practice, use a small, non-sensitive data file whose counts you can check by hand. Write or adapt code from a tutorial, explain how it handles missing labels, and compare the plotted totals with the included records. Save these checks for evaluating later agent-generated changes. Guidance for scientific computing recommends testing programs against known results and reviewing changes in small increments</w:t>
      </w:r>
      <w:r>
        <w:t xml:space="preserve"> </w:t>
      </w:r>
      <w:r>
        <w:t xml:space="preserve">(Wilson et al. 2014)</w:t>
      </w:r>
      <w:r>
        <w:t xml:space="preserve">.</w:t>
      </w:r>
    </w:p>
    <w:p>
      <w:pPr>
        <w:pStyle w:val="BodyText"/>
      </w:pPr>
      <w:r>
        <w:t xml:space="preserve">Before proceeding, render the Quarto document from a new R session and inspect its figure. Commit the reviewed source files and record the expected counts in the project documentation. The output of this practice is an analysis the researcher can explain, a reproducible document, and a Git history against which later changes can be compared.</w:t>
      </w:r>
    </w:p>
    <w:bookmarkEnd w:id="23"/>
    <w:bookmarkStart w:id="28" w:name="sec-harness"/>
    <w:p>
      <w:pPr>
        <w:pStyle w:val="Heading1"/>
      </w:pPr>
      <w:r>
        <w:t xml:space="preserve">Step 2: Configure an Agent Harness for Your Project</w:t>
      </w:r>
    </w:p>
    <w:p>
      <w:pPr>
        <w:pStyle w:val="FirstParagraph"/>
      </w:pPr>
      <w:r>
        <w:t xml:space="preserve">Use the project prepared in</w:t>
      </w:r>
      <w:r>
        <w:t xml:space="preserve"> </w:t>
      </w:r>
      <w:hyperlink w:anchor="sec-tools">
        <w:r>
          <w:rPr>
            <w:rStyle w:val="Hyperlink"/>
          </w:rPr>
          <w:t xml:space="preserve">Section 2</w:t>
        </w:r>
      </w:hyperlink>
      <w:r>
        <w:t xml:space="preserve"> </w:t>
      </w:r>
      <w:r>
        <w:t xml:space="preserve">to configure the agent’s working environment. We recommend a local harness when the task requires editing and running project code. The relevant distinction is the configured access to files and tools: a text-only exchange requires manual transfer, whereas a tool-enabled interface may act on the project.</w:t>
      </w:r>
      <w:r>
        <w:t xml:space="preserve"> </w:t>
      </w:r>
      <w:hyperlink w:anchor="tbl-advantages">
        <w:r>
          <w:rPr>
            <w:rStyle w:val="Hyperlink"/>
          </w:rPr>
          <w:t xml:space="preserve">Table 3</w:t>
        </w:r>
      </w:hyperlink>
      <w:r>
        <w:t xml:space="preserve"> </w:t>
      </w:r>
      <w:r>
        <w:t xml:space="preserve">lists capabilities to check before choosing software.</w:t>
      </w:r>
    </w:p>
    <w:tbl>
      <w:tblPr>
        <w:tblStyle w:val="Table"/>
        <w:tblW w:type="pct" w:w="5000"/>
        <w:tblLook w:firstRow="0" w:lastRow="0" w:firstColumn="0" w:lastColumn="0" w:noHBand="0" w:noVBand="0" w:val="0000"/>
        <w:jc w:val="start"/>
        <w:tblLayout w:type="fixed"/>
      </w:tblPr>
      <w:tblGrid>
        <w:gridCol w:w="7920"/>
      </w:tblGrid>
      <w:tr>
        <w:tc>
          <w:tcPr/>
          <w:bookmarkStart w:id="24" w:name="tbl-advantages"/>
          <w:p>
            <w:pPr>
              <w:jc w:val="center"/>
            </w:pPr>
            <w:pPr>
              <w:jc w:val="start"/>
              <w:spacing w:before="200"/>
              <w:pStyle w:val="ImageCaption"/>
            </w:pPr>
            <w:r>
              <w:t xml:space="preserve">Table 3: Capabilities to check when selecting and configuring an agent harness. Availability depends on the software, model, and permissions.</w:t>
            </w:r>
          </w:p>
          <w:tbl>
            <w:tblPr>
              <w:tblStyle w:val="Table"/>
              <w:tblW w:type="pct" w:w="5000"/>
              <w:tblLook w:firstRow="1" w:lastRow="0" w:firstColumn="0" w:lastColumn="0" w:noHBand="0" w:noVBand="0" w:val="0020"/>
              <w:jc w:val="start"/>
              <w:tblLayout w:type="fixed"/>
            </w:tblPr>
            <w:tblGrid>
              <w:gridCol w:w="1101"/>
              <w:gridCol w:w="3304"/>
              <w:gridCol w:w="3514"/>
            </w:tblGrid>
            <w:tr>
              <w:trPr>
                <w:tblHeader w:val="true"/>
              </w:trPr>
              <w:tc>
                <w:tcPr/>
                <w:p>
                  <w:pPr>
                    <w:pStyle w:val="Compact"/>
                    <w:jc w:val="left"/>
                    <w:jc w:val="center"/>
                  </w:pPr>
                  <w:r>
                    <w:t xml:space="preserve">Capability</w:t>
                  </w:r>
                </w:p>
              </w:tc>
              <w:tc>
                <w:tcPr/>
                <w:p>
                  <w:pPr>
                    <w:pStyle w:val="Compact"/>
                    <w:jc w:val="left"/>
                    <w:jc w:val="center"/>
                  </w:pPr>
                  <w:r>
                    <w:t xml:space="preserve">What.to.check</w:t>
                  </w:r>
                </w:p>
              </w:tc>
              <w:tc>
                <w:tcPr/>
                <w:p>
                  <w:pPr>
                    <w:pStyle w:val="Compact"/>
                    <w:jc w:val="left"/>
                    <w:jc w:val="center"/>
                  </w:pPr>
                  <w:r>
                    <w:t xml:space="preserve">Researcher.action</w:t>
                  </w:r>
                </w:p>
              </w:tc>
            </w:tr>
            <w:tr>
              <w:tc>
                <w:tcPr/>
                <w:p>
                  <w:pPr>
                    <w:pStyle w:val="Compact"/>
                    <w:jc w:val="left"/>
                    <w:jc w:val="center"/>
                  </w:pPr>
                  <w:r>
                    <w:t xml:space="preserve">Project context</w:t>
                  </w:r>
                </w:p>
              </w:tc>
              <w:tc>
                <w:tcPr/>
                <w:p>
                  <w:pPr>
                    <w:pStyle w:val="Compact"/>
                    <w:jc w:val="left"/>
                    <w:jc w:val="center"/>
                  </w:pPr>
                  <w:r>
                    <w:t xml:space="preserve">Which files and tool outputs can enter the model context?</w:t>
                  </w:r>
                </w:p>
              </w:tc>
              <w:tc>
                <w:tcPr/>
                <w:p>
                  <w:pPr>
                    <w:pStyle w:val="Compact"/>
                    <w:jc w:val="left"/>
                    <w:jc w:val="center"/>
                  </w:pPr>
                  <w:r>
                    <w:t xml:space="preserve">Provide only approved material and inspect the agent’s summary</w:t>
                  </w:r>
                </w:p>
              </w:tc>
            </w:tr>
            <w:tr>
              <w:tc>
                <w:tcPr/>
                <w:p>
                  <w:pPr>
                    <w:pStyle w:val="Compact"/>
                    <w:jc w:val="left"/>
                    <w:jc w:val="center"/>
                  </w:pPr>
                  <w:r>
                    <w:t xml:space="preserve">File editing</w:t>
                  </w:r>
                </w:p>
              </w:tc>
              <w:tc>
                <w:tcPr/>
                <w:p>
                  <w:pPr>
                    <w:pStyle w:val="Compact"/>
                    <w:jc w:val="left"/>
                    <w:jc w:val="center"/>
                  </w:pPr>
                  <w:r>
                    <w:t xml:space="preserve">Can the software restrict changes to the intended files?</w:t>
                  </w:r>
                </w:p>
              </w:tc>
              <w:tc>
                <w:tcPr/>
                <w:p>
                  <w:pPr>
                    <w:pStyle w:val="Compact"/>
                    <w:jc w:val="left"/>
                    <w:jc w:val="center"/>
                  </w:pPr>
                  <w:r>
                    <w:t xml:space="preserve">Test a small edit in a disposable project and inspect the Git diff</w:t>
                  </w:r>
                </w:p>
              </w:tc>
            </w:tr>
            <w:tr>
              <w:tc>
                <w:tcPr/>
                <w:p>
                  <w:pPr>
                    <w:pStyle w:val="Compact"/>
                    <w:jc w:val="left"/>
                    <w:jc w:val="center"/>
                  </w:pPr>
                  <w:r>
                    <w:t xml:space="preserve">Code execution</w:t>
                  </w:r>
                </w:p>
              </w:tc>
              <w:tc>
                <w:tcPr/>
                <w:p>
                  <w:pPr>
                    <w:pStyle w:val="Compact"/>
                    <w:jc w:val="left"/>
                    <w:jc w:val="center"/>
                  </w:pPr>
                  <w:r>
                    <w:t xml:space="preserve">Which commands require approval and where do they run?</w:t>
                  </w:r>
                </w:p>
              </w:tc>
              <w:tc>
                <w:tcPr/>
                <w:p>
                  <w:pPr>
                    <w:pStyle w:val="Compact"/>
                    <w:jc w:val="left"/>
                    <w:jc w:val="center"/>
                  </w:pPr>
                  <w:r>
                    <w:t xml:space="preserve">Review commands and independently check outputs</w:t>
                  </w:r>
                </w:p>
              </w:tc>
            </w:tr>
            <w:tr>
              <w:tc>
                <w:tcPr/>
                <w:p>
                  <w:pPr>
                    <w:pStyle w:val="Compact"/>
                    <w:jc w:val="left"/>
                    <w:jc w:val="center"/>
                  </w:pPr>
                  <w:r>
                    <w:t xml:space="preserve">Project instructions</w:t>
                  </w:r>
                </w:p>
              </w:tc>
              <w:tc>
                <w:tcPr/>
                <w:p>
                  <w:pPr>
                    <w:pStyle w:val="Compact"/>
                    <w:jc w:val="left"/>
                    <w:jc w:val="center"/>
                  </w:pPr>
                  <w:r>
                    <w:t xml:space="preserve">How does the software load and prioritize written conventions?</w:t>
                  </w:r>
                </w:p>
              </w:tc>
              <w:tc>
                <w:tcPr/>
                <w:p>
                  <w:pPr>
                    <w:pStyle w:val="Compact"/>
                    <w:jc w:val="left"/>
                    <w:jc w:val="center"/>
                  </w:pPr>
                  <w:r>
                    <w:t xml:space="preserve">Document conventions and check compliance rather than assuming it</w:t>
                  </w:r>
                </w:p>
              </w:tc>
            </w:tr>
            <w:tr>
              <w:tc>
                <w:tcPr/>
                <w:p>
                  <w:pPr>
                    <w:pStyle w:val="Compact"/>
                    <w:jc w:val="left"/>
                    <w:jc w:val="center"/>
                  </w:pPr>
                  <w:r>
                    <w:t xml:space="preserve">External tools</w:t>
                  </w:r>
                </w:p>
              </w:tc>
              <w:tc>
                <w:tcPr/>
                <w:p>
                  <w:pPr>
                    <w:pStyle w:val="Compact"/>
                    <w:jc w:val="left"/>
                    <w:jc w:val="center"/>
                  </w:pPr>
                  <w:r>
                    <w:t xml:space="preserve">Which services receive information and what do they return?</w:t>
                  </w:r>
                </w:p>
              </w:tc>
              <w:tc>
                <w:tcPr/>
                <w:p>
                  <w:pPr>
                    <w:pStyle w:val="Compact"/>
                    <w:jc w:val="left"/>
                    <w:jc w:val="center"/>
                  </w:pPr>
                  <w:r>
                    <w:t xml:space="preserve">Test each connection on known inputs before using it in research</w:t>
                  </w:r>
                </w:p>
              </w:tc>
            </w:tr>
          </w:tbl>
          <w:bookmarkEnd w:id="24"/>
          <w:p/>
        </w:tc>
      </w:tr>
    </w:tbl>
    <w:bookmarkStart w:id="25" w:name="choose-a-harness-and-model"/>
    <w:p>
      <w:pPr>
        <w:pStyle w:val="Heading2"/>
      </w:pPr>
      <w:r>
        <w:t xml:space="preserve">Choose a Harness and Model</w:t>
      </w:r>
    </w:p>
    <w:p>
      <w:pPr>
        <w:pStyle w:val="FirstParagraph"/>
      </w:pPr>
      <w:r>
        <w:t xml:space="preserve">The harness and model have different roles. The harness manages files and tool calls; the model generates responses and requests actions. OpenCode provides configurable permissions for reading, editing, and executing commands</w:t>
      </w:r>
      <w:r>
        <w:t xml:space="preserve"> </w:t>
      </w:r>
      <w:r>
        <w:t xml:space="preserve">(OpenCode)</w:t>
      </w:r>
      <w:r>
        <w:t xml:space="preserve">. Aider offers a different workflow in which users select files for editing and inspect the resulting changes</w:t>
      </w:r>
      <w:r>
        <w:t xml:space="preserve"> </w:t>
      </w:r>
      <w:r>
        <w:t xml:space="preserve">(Aider)</w:t>
      </w:r>
      <w:r>
        <w:t xml:space="preserve">. Compare the software’s documentation against the tasks in your project rather than assuming that every harness supports the same capabilities.</w:t>
      </w:r>
    </w:p>
    <w:p>
      <w:pPr>
        <w:pStyle w:val="BodyText"/>
      </w:pPr>
      <w:r>
        <w:t xml:space="preserve">For either route, install the software from its documented source, select a supported model, and follow the provider’s authentication instructions. An application programming interface (API) key is a credential that authorizes access to a service; keep it outside version-controlled files. OpenCode users should configure permissions before requesting changes. Aider users should select only the files needed for the task and review its automatic-commit settings. Record the harness version, model identifier, provider, and date, and set a spending limit where available.</w:t>
      </w:r>
    </w:p>
    <w:p>
      <w:pPr>
        <w:pStyle w:val="BodyText"/>
      </w:pPr>
      <w:r>
        <w:t xml:space="preserve">A local harness does not ensure that data remain local. OpenCode’s documentation distinguishes local processing from API calls to the model provider</w:t>
      </w:r>
      <w:r>
        <w:t xml:space="preserve"> </w:t>
      </w:r>
      <w:r>
        <w:t xml:space="preserve">(OpenCode)</w:t>
      </w:r>
      <w:r>
        <w:t xml:space="preserve">. File contents and tool outputs may enter the context sent to a remote model. Before connecting, establish which materials may leave the institution and which services are approved. Exclude restricted site coordinates, confidential client information, and community-governed knowledge unless the relevant permissions explicitly allow their use. Keep sensitive files in a directory entirely outside the project folder so the agent cannot open them by accident</w:t>
      </w:r>
      <w:r>
        <w:t xml:space="preserve"> </w:t>
      </w:r>
      <w:r>
        <w:t xml:space="preserve">(Brown 2026)</w:t>
      </w:r>
      <w:r>
        <w:t xml:space="preserve">. Prefer a provider with a no-data-retention option where available, and never paste analysis outputs back into prompts, which leaks the same information as the raw data</w:t>
      </w:r>
      <w:r>
        <w:t xml:space="preserve"> </w:t>
      </w:r>
      <w:r>
        <w:t xml:space="preserve">(Brown 2026)</w:t>
      </w:r>
      <w:r>
        <w:t xml:space="preserve">. Simulated data with the same structure can replace restricted data during code development</w:t>
      </w:r>
      <w:r>
        <w:t xml:space="preserve"> </w:t>
      </w:r>
      <w:r>
        <w:t xml:space="preserve">(Brown 2026)</w:t>
      </w:r>
      <w:r>
        <w:t xml:space="preserve">. A locally hosted model suits simpler tasks on capable hardware but trails leading hosted models on harder ones</w:t>
      </w:r>
      <w:r>
        <w:t xml:space="preserve"> </w:t>
      </w:r>
      <w:r>
        <w:t xml:space="preserve">(Brown 2026)</w:t>
      </w:r>
      <w:r>
        <w:t xml:space="preserve">. One sociological team shared no data with commercial systems and extended codes with local models in under one-third the manual time, with secondary human review ensuring accuracy</w:t>
      </w:r>
      <w:r>
        <w:t xml:space="preserve"> </w:t>
      </w:r>
      <w:r>
        <w:t xml:space="preserve">(Abramson et al. 2026)</w:t>
      </w:r>
      <w:r>
        <w:t xml:space="preserve">.</w:t>
      </w:r>
    </w:p>
    <w:bookmarkEnd w:id="25"/>
    <w:bookmarkStart w:id="26" w:name="set-project-instructions-and-permissions"/>
    <w:p>
      <w:pPr>
        <w:pStyle w:val="Heading2"/>
      </w:pPr>
      <w:r>
        <w:t xml:space="preserve">Set Project Instructions and Permissions</w:t>
      </w:r>
    </w:p>
    <w:p>
      <w:pPr>
        <w:pStyle w:val="FirstParagraph"/>
      </w:pPr>
      <w:r>
        <w:t xml:space="preserve">Write a short project instructions file that states the conventions established in</w:t>
      </w:r>
      <w:r>
        <w:t xml:space="preserve"> </w:t>
      </w:r>
      <w:hyperlink w:anchor="sec-tools">
        <w:r>
          <w:rPr>
            <w:rStyle w:val="Hyperlink"/>
          </w:rPr>
          <w:t xml:space="preserve">Section 2</w:t>
        </w:r>
      </w:hyperlink>
      <w:r>
        <w:t xml:space="preserve">. In OpenCode,</w:t>
      </w:r>
      <w:r>
        <w:t xml:space="preserve"> </w:t>
      </w:r>
      <w:r>
        <w:rPr>
          <w:rStyle w:val="VerbatimChar"/>
        </w:rPr>
        <w:t xml:space="preserve">AGENTS.md</w:t>
      </w:r>
      <w:r>
        <w:t xml:space="preserve"> </w:t>
      </w:r>
      <w:r>
        <w:t xml:space="preserve">supplies project instructions</w:t>
      </w:r>
      <w:r>
        <w:t xml:space="preserve"> </w:t>
      </w:r>
      <w:r>
        <w:t xml:space="preserve">(OpenCode)</w:t>
      </w:r>
      <w:r>
        <w:t xml:space="preserve">. Include the language, document format, file locations, and checks expected before reporting completion. For example, instruct the agent to use R, edit the Quarto source, preserve raw data, explain proposed dependency changes, and request approval before committing or publishing files.</w:t>
      </w:r>
    </w:p>
    <w:p>
      <w:pPr>
        <w:pStyle w:val="BodyText"/>
      </w:pPr>
      <w:r>
        <w:t xml:space="preserve">Instructions need technical controls as well as prose. OpenCode can allow, deny, or request approval for specified actions</w:t>
      </w:r>
      <w:r>
        <w:t xml:space="preserve"> </w:t>
      </w:r>
      <w:r>
        <w:t xml:space="preserve">(OpenCode)</w:t>
      </w:r>
      <w:r>
        <w:t xml:space="preserve">. Start with restricted access and require approval for edits and commands until you understand their effects. Treat</w:t>
      </w:r>
      <w:r>
        <w:t xml:space="preserve"> </w:t>
      </w:r>
      <w:r>
        <w:rPr>
          <w:rStyle w:val="VerbatimChar"/>
        </w:rPr>
        <w:t xml:space="preserve">AGENTS.md</w:t>
      </w:r>
      <w:r>
        <w:t xml:space="preserve"> </w:t>
      </w:r>
      <w:r>
        <w:t xml:space="preserve">as guidance the agent may fail to follow, and check its actions against the configured permissions. Maintain a separate backup: Git can recover committed versions, but cannot recover every unsaved or untracked file.</w:t>
      </w:r>
    </w:p>
    <w:bookmarkEnd w:id="26"/>
    <w:bookmarkStart w:id="27" w:name="test-the-connection"/>
    <w:p>
      <w:pPr>
        <w:pStyle w:val="Heading2"/>
      </w:pPr>
      <w:r>
        <w:t xml:space="preserve">Test the Connection</w:t>
      </w:r>
    </w:p>
    <w:p>
      <w:pPr>
        <w:pStyle w:val="FirstParagraph"/>
      </w:pPr>
      <w:r>
        <w:t xml:space="preserve">Begin with a read-only task using non-sensitive documentation. Ask the agent to summarize the research question, name the data files, and identify the variables it would need. Compare the response with the actual files. Check the permission settings directly; an agent’s claim that it lacks access is insufficient evidence of a restriction.</w:t>
      </w:r>
    </w:p>
    <w:p>
      <w:pPr>
        <w:pStyle w:val="BodyText"/>
      </w:pPr>
      <w:r>
        <w:t xml:space="preserve">Next, use a disposable copy of the project to test a small authorized edit. Ask the agent to change a figure label, inspect the diff yourself, and render the document. Confirm that the intended label changed and that the calculation remained intact. The output is a configured agent, written conventions, and a tested procedure for reviewing its changes. If the agent’s answers go wrong, restart with a clearer prompt in a fresh conversation rather than patching the same thread: an early wrong answer keeps shaping later replies</w:t>
      </w:r>
      <w:r>
        <w:t xml:space="preserve"> </w:t>
      </w:r>
      <w:r>
        <w:t xml:space="preserve">(Brown 2026)</w:t>
      </w:r>
      <w:r>
        <w:t xml:space="preserve">. The penalty is large: across 200,000 simulated conversations, models performed 39% worse in multi-turn than single-turn settings and rarely recovered after a wrong turn</w:t>
      </w:r>
      <w:r>
        <w:t xml:space="preserve"> </w:t>
      </w:r>
      <w:r>
        <w:t xml:space="preserve">(Laban et al. 2025)</w:t>
      </w:r>
      <w:r>
        <w:t xml:space="preserve">. Delete superseded scripts instead of keeping several versions of the same file: stale code in the project can keep influencing suggestions</w:t>
      </w:r>
      <w:r>
        <w:t xml:space="preserve"> </w:t>
      </w:r>
      <w:r>
        <w:t xml:space="preserve">(Brown 2026)</w:t>
      </w:r>
      <w:r>
        <w:t xml:space="preserve">.</w:t>
      </w:r>
    </w:p>
    <w:bookmarkEnd w:id="27"/>
    <w:bookmarkEnd w:id="28"/>
    <w:bookmarkStart w:id="39" w:name="sec-analysis"/>
    <w:p>
      <w:pPr>
        <w:pStyle w:val="Heading1"/>
      </w:pPr>
      <w:r>
        <w:t xml:space="preserve">Step 3: Use Skills and Tools to Research, Plan, and Analyze</w:t>
      </w:r>
    </w:p>
    <w:p>
      <w:pPr>
        <w:pStyle w:val="FirstParagraph"/>
      </w:pPr>
      <w:r>
        <w:t xml:space="preserve">With the harness configured, select the capabilities needed for the archaeological task. Use them in a sequence that produces inspectable outputs: source notes, an approved plan, reviewed code, and a rendered report. The researcher decides when the work is ready to advance.</w:t>
      </w:r>
    </w:p>
    <w:bookmarkStart w:id="30" w:name="X634db6125e43fa547a7074feffcb5e40d272294"/>
    <w:p>
      <w:pPr>
        <w:pStyle w:val="Heading2"/>
      </w:pPr>
      <w:r>
        <w:t xml:space="preserve">Select and Test the Capabilities You Need</w:t>
      </w:r>
    </w:p>
    <w:p>
      <w:pPr>
        <w:pStyle w:val="FirstParagraph"/>
      </w:pPr>
      <w:r>
        <w:t xml:space="preserve">A skill is a package of instructions and supporting resources for a recurring task</w:t>
      </w:r>
      <w:r>
        <w:t xml:space="preserve"> </w:t>
      </w:r>
      <w:r>
        <w:t xml:space="preserve">(Anthropic 2025; Xu and Yan 2026)</w:t>
      </w:r>
      <w:r>
        <w:t xml:space="preserve">. A tool is a function the agent can call, such as looking up a DOI or running R. MCP is a standard for connecting an agent to tools and data sources; an MCP server supplies those connections</w:t>
      </w:r>
      <w:r>
        <w:t xml:space="preserve"> </w:t>
      </w:r>
      <w:r>
        <w:t xml:space="preserve">(Anthropic 2024; Hou et al. 2026)</w:t>
      </w:r>
      <w:r>
        <w:t xml:space="preserve">. A skill describes a procedure, while tools perform its actions.</w:t>
      </w:r>
      <w:r>
        <w:t xml:space="preserve"> </w:t>
      </w:r>
      <w:hyperlink w:anchor="tbl-stack">
        <w:r>
          <w:rPr>
            <w:rStyle w:val="Hyperlink"/>
          </w:rPr>
          <w:t xml:space="preserve">Table 4</w:t>
        </w:r>
      </w:hyperlink>
      <w:r>
        <w:t xml:space="preserve"> </w:t>
      </w:r>
      <w:r>
        <w:t xml:space="preserve">lists the five MCP servers and five skills named in this guide.</w:t>
      </w:r>
    </w:p>
    <w:tbl>
      <w:tblPr>
        <w:tblStyle w:val="Table"/>
        <w:tblW w:type="pct" w:w="5000"/>
        <w:tblLook w:firstRow="0" w:lastRow="0" w:firstColumn="0" w:lastColumn="0" w:noHBand="0" w:noVBand="0" w:val="0000"/>
        <w:jc w:val="start"/>
        <w:tblLayout w:type="fixed"/>
      </w:tblPr>
      <w:tblGrid>
        <w:gridCol w:w="7920"/>
      </w:tblGrid>
      <w:tr>
        <w:tc>
          <w:tcPr/>
          <w:bookmarkStart w:id="29" w:name="tbl-stack"/>
          <w:p>
            <w:pPr>
              <w:jc w:val="center"/>
            </w:pPr>
            <w:pPr>
              <w:jc w:val="start"/>
              <w:spacing w:before="200"/>
              <w:pStyle w:val="ImageCaption"/>
            </w:pPr>
            <w:r>
              <w:t xml:space="preserve">Table 4: MCP servers and skills installed in the author’s OpenCode configuration.</w:t>
            </w:r>
          </w:p>
          <w:tbl>
            <w:tblPr>
              <w:tblStyle w:val="Table"/>
              <w:tblW w:type="pct" w:w="5000"/>
              <w:tblLook w:firstRow="1" w:lastRow="0" w:firstColumn="0" w:lastColumn="0" w:noHBand="0" w:noVBand="0" w:val="0020"/>
              <w:jc w:val="start"/>
              <w:tblLayout w:type="fixed"/>
            </w:tblPr>
            <w:tblGrid>
              <w:gridCol w:w="362"/>
              <w:gridCol w:w="1450"/>
              <w:gridCol w:w="1390"/>
              <w:gridCol w:w="4715"/>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Source</w:t>
                  </w:r>
                </w:p>
              </w:tc>
              <w:tc>
                <w:tcPr/>
                <w:p>
                  <w:pPr>
                    <w:pStyle w:val="Compact"/>
                    <w:jc w:val="left"/>
                    <w:jc w:val="center"/>
                  </w:pPr>
                  <w:r>
                    <w:t xml:space="preserve">Purpose</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(Anthropic 2024)</w:t>
                  </w:r>
                </w:p>
              </w:tc>
              <w:tc>
                <w:tcPr/>
                <w:p>
                  <w:pPr>
                    <w:pStyle w:val="Compact"/>
                    <w:jc w:val="left"/>
                    <w:jc w:val="center"/>
                  </w:pPr>
                  <w:r>
                    <w:t xml:space="preserve">Exposes a running R session so the agent can execute code and read results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(Anthropic 2024)</w:t>
                  </w:r>
                </w:p>
              </w:tc>
              <w:tc>
                <w:tcPr/>
                <w:p>
                  <w:pPr>
                    <w:pStyle w:val="Compact"/>
                    <w:jc w:val="left"/>
                    <w:jc w:val="center"/>
                  </w:pPr>
                  <w:r>
                    <w:t xml:space="preserve">Searches publication databases and returns verified references with BibTeX</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(Anthropic 2024)</w:t>
                  </w:r>
                </w:p>
              </w:tc>
              <w:tc>
                <w:tcPr/>
                <w:p>
                  <w:pPr>
                    <w:pStyle w:val="Compact"/>
                    <w:jc w:val="left"/>
                    <w:jc w:val="center"/>
                  </w:pPr>
                  <w:r>
                    <w:t xml:space="preserve">Retrieves paper metadata and references and validates manuscript citations</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(Anthropic 2024)</w:t>
                  </w:r>
                </w:p>
              </w:tc>
              <w:tc>
                <w:tcPr/>
                <w:p>
                  <w:pPr>
                    <w:pStyle w:val="Compact"/>
                    <w:jc w:val="left"/>
                    <w:jc w:val="center"/>
                  </w:pPr>
                  <w:r>
                    <w:t xml:space="preserve">Converts DOCX files, PDFs and web pages to plain text the agent can read</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(Anthropic 2024)</w:t>
                  </w:r>
                </w:p>
              </w:tc>
              <w:tc>
                <w:tcPr/>
                <w:p>
                  <w:pPr>
                    <w:pStyle w:val="Compact"/>
                    <w:jc w:val="left"/>
                    <w:jc w:val="center"/>
                  </w:pPr>
                  <w:r>
                    <w:t xml:space="preserve">Queries Semantic Scholar arXiv and Scholar author records</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(Anthropic 2025)</w:t>
                  </w:r>
                </w:p>
              </w:tc>
              <w:tc>
                <w:tcPr/>
                <w:p>
                  <w:pPr>
                    <w:pStyle w:val="Compact"/>
                    <w:jc w:val="left"/>
                    <w:jc w:val="center"/>
                  </w:pPr>
                  <w:r>
                    <w:t xml:space="preserve">Simulates independent reviewers plus a devil’s advocate for manuscripts</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(Anthropic 2025)</w:t>
                  </w:r>
                </w:p>
              </w:tc>
              <w:tc>
                <w:tcPr/>
                <w:p>
                  <w:pPr>
                    <w:pStyle w:val="Compact"/>
                    <w:jc w:val="left"/>
                    <w:jc w:val="center"/>
                  </w:pPr>
                  <w:r>
                    <w:t xml:space="preserve">Agent team for literature search verification synthesis and systematic review</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(Anthropic 2025)</w:t>
                  </w:r>
                </w:p>
              </w:tc>
              <w:tc>
                <w:tcPr/>
                <w:p>
                  <w:pPr>
                    <w:pStyle w:val="Compact"/>
                    <w:jc w:val="left"/>
                    <w:jc w:val="center"/>
                  </w:pPr>
                  <w:r>
                    <w:t xml:space="preserve">Naming spacing layout and function design conventions for R</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(Anthropic 2025)</w:t>
                  </w:r>
                </w:p>
              </w:tc>
              <w:tc>
                <w:tcPr/>
                <w:p>
                  <w:pPr>
                    <w:pStyle w:val="Compact"/>
                    <w:jc w:val="left"/>
                    <w:jc w:val="center"/>
                  </w:pPr>
                  <w:r>
                    <w:t xml:space="preserve">Modern pipes joins grouping and string handling across the tidyverse</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(Anthropic 2025)</w:t>
                  </w:r>
                </w:p>
              </w:tc>
              <w:tc>
                <w:tcPr/>
                <w:p>
                  <w:pPr>
                    <w:pStyle w:val="Compact"/>
                    <w:jc w:val="left"/>
                    <w:jc w:val="center"/>
                  </w:pPr>
                  <w:r>
                    <w:t xml:space="preserve">Authoring with Quarto documents cross-references citations and extensions</w:t>
                  </w:r>
                </w:p>
              </w:tc>
            </w:tr>
          </w:tbl>
          <w:bookmarkEnd w:id="29"/>
          <w:p/>
        </w:tc>
      </w:tr>
    </w:tbl>
    <w:p>
      <w:pPr>
        <w:pStyle w:val="BodyText"/>
      </w:pPr>
      <w:r>
        <w:t xml:space="preserve">Start with a task such as retrieving a cited paper or checking a calculation. Inspect the skill’s instructions and the server’s documentation before enabling either. Give each tool only the access its task requires, and test its output against a known input. Untrusted documents or tool descriptions can contain instructions that redirect an agent, a risk examined in MCP security research</w:t>
      </w:r>
      <w:r>
        <w:t xml:space="preserve"> </w:t>
      </w:r>
      <w:r>
        <w:t xml:space="preserve">(Hou et al. 2026)</w:t>
      </w:r>
      <w:r>
        <w:t xml:space="preserve">. Review unexpected requests for file access, code execution, or network connections before allowing them.</w:t>
      </w:r>
    </w:p>
    <w:p>
      <w:pPr>
        <w:pStyle w:val="BodyText"/>
      </w:pPr>
      <w:r>
        <w:t xml:space="preserve">An archaeology team could write a skill that specifies its compendium structure, expected checks, and reporting conventions. Record the skill version and any local modifications with the analysis. A documented procedure makes the intended method inspectable; it does not guarantee that every agent run follows it.</w:t>
      </w:r>
    </w:p>
    <w:bookmarkEnd w:id="30"/>
    <w:bookmarkStart w:id="31" w:name="Xce8fd7fb7122ab05f8cd962721e9c2109d5eeb8"/>
    <w:p>
      <w:pPr>
        <w:pStyle w:val="Heading2"/>
      </w:pPr>
      <w:r>
        <w:t xml:space="preserve">Research the Question and Check the Sources</w:t>
      </w:r>
    </w:p>
    <w:p>
      <w:pPr>
        <w:pStyle w:val="FirstParagraph"/>
      </w:pPr>
      <w:r>
        <w:t xml:space="preserve">Use literature tools to retrieve evidence relevant to the question. Services such as Crossref and Semantic Scholar provide bibliographic records; PDF-conversion tools such as markitdown make documents available as text. Check extracted text against the original when page order, tables, or mathematical notation matter. Literature retrieval and document conversion are separate operations from evaluating the evidence.</w:t>
      </w:r>
      <w:r>
        <w:t xml:space="preserve"> </w:t>
      </w:r>
      <w:r>
        <w:t xml:space="preserve">Faniel et al. (2013)</w:t>
      </w:r>
      <w:r>
        <w:t xml:space="preserve"> </w:t>
      </w:r>
      <w:r>
        <w:t xml:space="preserve">found that reusers judge collection context, wording, and repository trust decisive, and</w:t>
      </w:r>
      <w:r>
        <w:t xml:space="preserve"> </w:t>
      </w:r>
      <w:r>
        <w:t xml:space="preserve">Huggett (2018)</w:t>
      </w:r>
      <w:r>
        <w:t xml:space="preserve"> </w:t>
      </w:r>
      <w:r>
        <w:t xml:space="preserve">warns that preservation alone does not produce reuse, so we check fitness before repurposing any archive.</w:t>
      </w:r>
    </w:p>
    <w:p>
      <w:pPr>
        <w:pStyle w:val="BodyText"/>
      </w:pPr>
      <w:r>
        <w:t xml:space="preserve">For each proposed citation, ask the agent to retrieve the record and locate the passage supporting the claim. Check the title, authors, year, and DOI against the publication, then inspect the relevant passage yourself. A real DOI confirms a record’s identity, not its relevance to a sentence.</w:t>
      </w:r>
      <w:r>
        <w:t xml:space="preserve"> </w:t>
      </w:r>
      <w:r>
        <w:t xml:space="preserve">Leung et al. (2023)</w:t>
      </w:r>
      <w:r>
        <w:t xml:space="preserve">’s warning about fictitious citations supports checking references regardless of the interface used to generate them. Flag unresolved citations instead of filling gaps with plausible details. Save source notes with the retrieved record, supporting passage, page or section location, and verification status.</w:t>
      </w:r>
    </w:p>
    <w:p>
      <w:pPr>
        <w:pStyle w:val="BodyText"/>
      </w:pPr>
      <w:r>
        <w:t xml:space="preserve">The same principle applies when AI extracts variables from archaeological reports.</w:t>
      </w:r>
      <w:r>
        <w:t xml:space="preserve"> </w:t>
      </w:r>
      <w:r>
        <w:t xml:space="preserve">Hariri et al. (2025)</w:t>
      </w:r>
      <w:r>
        <w:t xml:space="preserve"> </w:t>
      </w:r>
      <w:r>
        <w:t xml:space="preserve">describes structured knowledge extraction from archaeological texts, and</w:t>
      </w:r>
      <w:r>
        <w:t xml:space="preserve"> </w:t>
      </w:r>
      <w:r>
        <w:t xml:space="preserve">Syme et al. (2026)</w:t>
      </w:r>
      <w:r>
        <w:t xml:space="preserve"> </w:t>
      </w:r>
      <w:r>
        <w:t xml:space="preserve">examines validation of LLM-generated units for cross-cultural research.</w:t>
      </w:r>
      <w:r>
        <w:t xml:space="preserve"> </w:t>
      </w:r>
      <w:r>
        <w:t xml:space="preserve">Gilardi et al. (2023)</w:t>
      </w:r>
      <w:r>
        <w:t xml:space="preserve"> </w:t>
      </w:r>
      <w:r>
        <w:t xml:space="preserve">found {LLM} labels matched or exceeded crowd workers on tested tasks, while</w:t>
      </w:r>
      <w:r>
        <w:t xml:space="preserve"> </w:t>
      </w:r>
      <w:r>
        <w:t xml:space="preserve">Ziems et al. (2024)</w:t>
      </w:r>
      <w:r>
        <w:t xml:space="preserve"> </w:t>
      </w:r>
      <w:r>
        <w:t xml:space="preserve">found uneven validity across social concepts, so we validate each coding task on a human-coded sample. One LLM extracted ecological data from literature 50 times faster than a human reviewer, with accuracy above 90% on discrete and categorical data</w:t>
      </w:r>
      <w:r>
        <w:t xml:space="preserve"> </w:t>
      </w:r>
      <w:r>
        <w:t xml:space="preserve">(Gougherty and Clipp 2024)</w:t>
      </w:r>
      <w:r>
        <w:t xml:space="preserve">. It performed poorly on certain quantitative data, so quantitative fields need extra quality checks</w:t>
      </w:r>
      <w:r>
        <w:t xml:space="preserve"> </w:t>
      </w:r>
      <w:r>
        <w:t xml:space="preserve">(Gougherty and Clipp 2024)</w:t>
      </w:r>
      <w:r>
        <w:t xml:space="preserve">. GPT-4 extracted species at F1 99.8% and locations at 95.3% from pest-control abstracts and distinguished ecological roles, though a small number of confabulated details appeared</w:t>
      </w:r>
      <w:r>
        <w:t xml:space="preserve"> </w:t>
      </w:r>
      <w:r>
        <w:t xml:space="preserve">(Scheepens et al. 2024)</w:t>
      </w:r>
      <w:r>
        <w:t xml:space="preserve">. Context-rich prompting improved every tested model, though no single model dominated all extraction tasks, so test several model-prompt pairings and keep validation workflows that build trust in outputs</w:t>
      </w:r>
      <w:r>
        <w:t xml:space="preserve"> </w:t>
      </w:r>
      <w:r>
        <w:t xml:space="preserve">(Krishna Moorthy et al. 2026)</w:t>
      </w:r>
      <w:r>
        <w:t xml:space="preserve">. Before using machine-coded variables, define the categories, compare a sample against human coding, and document errors. Save source locations with extracted values so another researcher can inspect the evidence.</w:t>
      </w:r>
    </w:p>
    <w:bookmarkEnd w:id="31"/>
    <w:bookmarkStart w:id="32" w:name="draft-and-critique-the-analysis-plan"/>
    <w:p>
      <w:pPr>
        <w:pStyle w:val="Heading2"/>
      </w:pPr>
      <w:r>
        <w:t xml:space="preserve">Draft and Critique the Analysis Plan</w:t>
      </w:r>
    </w:p>
    <w:p>
      <w:pPr>
        <w:pStyle w:val="FirstParagraph"/>
      </w:pPr>
      <w:r>
        <w:t xml:space="preserve">Write the initial plan yourself. Specify the archaeological question, observation unit, variables, exclusions, treatment of missing data, and proposed methods. Identify the assumptions that would make the analysis appropriate.</w:t>
      </w:r>
      <w:r>
        <w:t xml:space="preserve"> </w:t>
      </w:r>
      <w:r>
        <w:t xml:space="preserve">Spillias et al. (2026)</w:t>
      </w:r>
      <w:r>
        <w:t xml:space="preserve"> </w:t>
      </w:r>
      <w:r>
        <w:t xml:space="preserve">recommends documenting expert knowledge that AI training materials may omit. For an archaeological analysis, record relevant excavation practices, changes in recording conventions, and known gaps in recovery. State each check explicitly: in one study no tested model checked predictor collinearity because the specification never asked, though the check is standard practice</w:t>
      </w:r>
      <w:r>
        <w:t xml:space="preserve"> </w:t>
      </w:r>
      <w:r>
        <w:t xml:space="preserve">(Brown et al. 2026)</w:t>
      </w:r>
      <w:r>
        <w:t xml:space="preserve">. Save the plan as a text file, such as</w:t>
      </w:r>
      <w:r>
        <w:t xml:space="preserve"> </w:t>
      </w:r>
      <w:r>
        <w:rPr>
          <w:rStyle w:val="VerbatimChar"/>
        </w:rPr>
        <w:t xml:space="preserve">analysis-plan.md</w:t>
      </w:r>
      <w:r>
        <w:t xml:space="preserve">, so its revisions can be reviewed with Git. Ideation and feedback are uses of generative AI identified by</w:t>
      </w:r>
      <w:r>
        <w:t xml:space="preserve"> </w:t>
      </w:r>
      <w:r>
        <w:t xml:space="preserve">Korinek (2023)</w:t>
      </w:r>
      <w:r>
        <w:t xml:space="preserve">; we recommend recording which suggestions the researcher accepts or rejects.</w:t>
      </w:r>
      <w:r>
        <w:t xml:space="preserve"> </w:t>
      </w:r>
      <w:r>
        <w:t xml:space="preserve">Huggett (2022)</w:t>
      </w:r>
      <w:r>
        <w:t xml:space="preserve"> </w:t>
      </w:r>
      <w:r>
        <w:t xml:space="preserve">distinguishes augmentation, automatization, and heteromation, so we assign assistive tasks to the software and keep method choice with the researcher.</w:t>
      </w:r>
    </w:p>
    <w:p>
      <w:pPr>
        <w:pStyle w:val="BodyText"/>
      </w:pPr>
      <w:r>
        <w:t xml:space="preserve">Ask the agent to identify gaps before generating code:</w:t>
      </w:r>
      <w:r>
        <w:t xml:space="preserve"> </w:t>
      </w:r>
      <w:r>
        <w:t xml:space="preserve">“</w:t>
      </w:r>
      <w:r>
        <w:t xml:space="preserve">What information is missing? Which assumptions require checking? What alternative analysis would answer this question?</w:t>
      </w:r>
      <w:r>
        <w:t xml:space="preserve">”</w:t>
      </w:r>
      <w:r>
        <w:t xml:space="preserve"> </w:t>
      </w:r>
      <w:r>
        <w:t xml:space="preserve">Evaluate the response against the data documentation and literature. Prompt specificity pays: a generic prompt never elicited count models for abundance data, while a detailed prompt specifying variables, sample size, and design guaranteed them across models</w:t>
      </w:r>
      <w:r>
        <w:t xml:space="preserve"> </w:t>
      </w:r>
      <w:r>
        <w:t xml:space="preserve">(Brown and Spillias 2026)</w:t>
      </w:r>
      <w:r>
        <w:t xml:space="preserve">. Detailed prompts also produced more consistent code across repeated runs</w:t>
      </w:r>
      <w:r>
        <w:t xml:space="preserve"> </w:t>
      </w:r>
      <w:r>
        <w:t xml:space="preserve">(Brown and Spillias 2026)</w:t>
      </w:r>
      <w:r>
        <w:t xml:space="preserve">.</w:t>
      </w:r>
      <w:r>
        <w:t xml:space="preserve"> </w:t>
      </w:r>
      <w:r>
        <w:t xml:space="preserve">Messeri and Crockett (2024)</w:t>
      </w:r>
      <w:r>
        <w:t xml:space="preserve"> </w:t>
      </w:r>
      <w:r>
        <w:t xml:space="preserve">cautions that authoritative explanations can create an illusion of understanding. Require reasons for each proposed method, and set aside suggestions you cannot evaluate.</w:t>
      </w:r>
    </w:p>
    <w:p>
      <w:pPr>
        <w:pStyle w:val="BodyText"/>
      </w:pPr>
      <w:r>
        <w:t xml:space="preserve">For example, suppose a plan compares artifact densities between excavation trenches. Before choosing a test, identify whether the records describe artifacts, excavation units, or trench totals. Check how excavation volume was measured and whether units share contexts. Ask the agent to distinguish counts from calculated densities and explain how the proposed method addresses unequal sampling effort. Many zeros alone are insufficient grounds for selecting a quasi-Poisson model. Resolve these questions with statistical guidance appropriate to the design before approving code generation.</w:t>
      </w:r>
    </w:p>
    <w:p>
      <w:pPr>
        <w:pStyle w:val="BodyText"/>
      </w:pPr>
      <w:r>
        <w:t xml:space="preserve">A second model can provide another critique, but agreement between models is not independent validation.</w:t>
      </w:r>
      <w:r>
        <w:t xml:space="preserve"> </w:t>
      </w:r>
      <w:r>
        <w:t xml:space="preserve">Bertran et al. (2026)</w:t>
      </w:r>
      <w:r>
        <w:t xml:space="preserve"> </w:t>
      </w:r>
      <w:r>
        <w:t xml:space="preserve">reports that analytical conclusions can vary with model and prompt choices. Record substantive changes to the plan and their reasons. Following</w:t>
      </w:r>
      <w:r>
        <w:t xml:space="preserve"> </w:t>
      </w:r>
      <w:r>
        <w:t xml:space="preserve">Piper (2026)</w:t>
      </w:r>
      <w:r>
        <w:t xml:space="preserve">’s theory-first approach, require each choice to address the archaeological question rather than merely produce an available output. Applicability errors dominate model mistakes: even GPT-4o peaks near 65% on a statistical-analysis benchmark, while humans err by confusing tasks, so model and researcher supply complementary checks</w:t>
      </w:r>
      <w:r>
        <w:t xml:space="preserve"> </w:t>
      </w:r>
      <w:r>
        <w:t xml:space="preserve">(Zhu et al. 2024)</w:t>
      </w:r>
      <w:r>
        <w:t xml:space="preserve">.</w:t>
      </w:r>
    </w:p>
    <w:bookmarkEnd w:id="32"/>
    <w:bookmarkStart w:id="33" w:name="execute-and-verify-the-analysis"/>
    <w:p>
      <w:pPr>
        <w:pStyle w:val="Heading2"/>
      </w:pPr>
      <w:r>
        <w:t xml:space="preserve">Execute and Verify the Analysis</w:t>
      </w:r>
    </w:p>
    <w:p>
      <w:pPr>
        <w:pStyle w:val="FirstParagraph"/>
      </w:pPr>
      <w:r>
        <w:t xml:space="preserve">Ask the agent to implement one approved part of the plan at a time in the Quarto document, since smaller tasks are easier to learn from and test</w:t>
      </w:r>
      <w:r>
        <w:t xml:space="preserve"> </w:t>
      </w:r>
      <w:r>
        <w:t xml:space="preserve">(Mammides and Papadopoulos 2024)</w:t>
      </w:r>
      <w:r>
        <w:t xml:space="preserve">. Require it to report the changed files, commands run, checks performed, and unresolved problems. Inspect the Git diff before accepting the work. For the artifact-count task, compare plotted totals with independently checked records and confirm that missing labels receive the planned treatment. Test numerical results rather than accepting successful execution as evidence of correctness</w:t>
      </w:r>
      <w:r>
        <w:t xml:space="preserve"> </w:t>
      </w:r>
      <w:r>
        <w:t xml:space="preserve">(Wilson et al. 2014)</w:t>
      </w:r>
      <w:r>
        <w:t xml:space="preserve">. Confirm that scripts actually ran and reports actually rendered rather than trusting a completion message: in one controlled study, agents reported finishing tasks they had not completed and filled results tables with fabricated values after code silently failed</w:t>
      </w:r>
      <w:r>
        <w:t xml:space="preserve"> </w:t>
      </w:r>
      <w:r>
        <w:t xml:space="preserve">(Brown et al. 2026)</w:t>
      </w:r>
      <w:r>
        <w:t xml:space="preserve">. Inspect the diff for scope as well as correctness: agents sometimes add analyses or files nobody requested, which look thorough but were not asked for</w:t>
      </w:r>
      <w:r>
        <w:t xml:space="preserve"> </w:t>
      </w:r>
      <w:r>
        <w:t xml:space="preserve">(Brown 2026)</w:t>
      </w:r>
      <w:r>
        <w:t xml:space="preserve">.</w:t>
      </w:r>
    </w:p>
    <w:p>
      <w:pPr>
        <w:pStyle w:val="BodyText"/>
      </w:pPr>
      <w:r>
        <w:t xml:space="preserve">Tools that execute R can expose errors for inspection, but automated correction still needs review.</w:t>
      </w:r>
      <w:r>
        <w:t xml:space="preserve"> </w:t>
      </w:r>
      <w:r>
        <w:t xml:space="preserve">Brown et al. (2026)</w:t>
      </w:r>
      <w:r>
        <w:t xml:space="preserve"> </w:t>
      </w:r>
      <w:r>
        <w:t xml:space="preserve">tested agentic workflows for ecological and fisheries modelling and found variable accuracy and failures to follow instructions. When code fails, check whether the proposed correction preserves the approved method. Do not accept a different analysis simply because it runs. Agents also change methods without flagging it: one agent swapped a requested bootstrap interval for a t-distribution interval, so read the code produced, not the summary</w:t>
      </w:r>
      <w:r>
        <w:t xml:space="preserve"> </w:t>
      </w:r>
      <w:r>
        <w:t xml:space="preserve">(Brown et al. 2026)</w:t>
      </w:r>
      <w:r>
        <w:t xml:space="preserve">. Such limits also distinguish this workflow from self-improving research pipelines: The AI Scientist generated, debugged, and selected among its own experiments through automated multi-stage search, with humans filtering outputs rather than reviewing each code change</w:t>
      </w:r>
      <w:r>
        <w:t xml:space="preserve"> </w:t>
      </w:r>
      <w:r>
        <w:t xml:space="preserve">(Lu et al. 2026)</w:t>
      </w:r>
      <w:r>
        <w:t xml:space="preserve">. We recommend the reverse arrangement, in which the agent reports changes and waits for approval.</w:t>
      </w:r>
    </w:p>
    <w:p>
      <w:pPr>
        <w:pStyle w:val="BodyText"/>
      </w:pPr>
      <w:r>
        <w:t xml:space="preserve">Check whether plausible analytical alternatives change the conclusion. Multiverse analysis evaluates results across a defined set of defensible choices</w:t>
      </w:r>
      <w:r>
        <w:t xml:space="preserve"> </w:t>
      </w:r>
      <w:r>
        <w:t xml:space="preserve">(Steegen et al. 2016)</w:t>
      </w:r>
      <w:r>
        <w:t xml:space="preserve">. Recent agent studies emphasize how model and prompt choices can affect analytical exploration</w:t>
      </w:r>
      <w:r>
        <w:t xml:space="preserve"> </w:t>
      </w:r>
      <w:r>
        <w:t xml:space="preserve">(Bertran et al. 2026; Miao et al. 2026)</w:t>
      </w:r>
      <w:r>
        <w:t xml:space="preserve">. For an archaeological analysis, specify alternatives with substantive justification, document the variants actually tested, and report disagreements. An agent can help execute these checks, but the researcher must define the defensible choices and budget their computational cost. Before trusting a model on real data, fit the same code to simulated data with a chosen effect</w:t>
      </w:r>
      <w:r>
        <w:t xml:space="preserve"> </w:t>
      </w:r>
      <w:r>
        <w:t xml:space="preserve">(Brown 2026)</w:t>
      </w:r>
      <w:r>
        <w:t xml:space="preserve">. If the pipeline cannot recover a relationship built in on purpose, distrust it on data where the answer is unknown. Repeat the simulation and check that the true value falls inside the 95% interval in most runs. Check row counts before and after every join or filter: an unexpected change usually means a many-to-many join mistaken for a one-to-one match</w:t>
      </w:r>
      <w:r>
        <w:t xml:space="preserve"> </w:t>
      </w:r>
      <w:r>
        <w:t xml:space="preserve">(Brown 2026)</w:t>
      </w:r>
      <w:r>
        <w:t xml:space="preserve">. Sanity-check summaries against known ranges: a maximum far outside expectation signals a units error, not a finding. As an option, write the check before the code: assert a coefficient sign known from prior work in a testthat test, watch it fail, then implement until it passes</w:t>
      </w:r>
      <w:r>
        <w:t xml:space="preserve"> </w:t>
      </w:r>
      <w:r>
        <w:t xml:space="preserve">(Brown 2026)</w:t>
      </w:r>
      <w:r>
        <w:t xml:space="preserve">.</w:t>
      </w:r>
    </w:p>
    <w:bookmarkEnd w:id="33"/>
    <w:bookmarkStart w:id="38" w:name="render-and-archive-the-results"/>
    <w:p>
      <w:pPr>
        <w:pStyle w:val="Heading2"/>
      </w:pPr>
      <w:r>
        <w:t xml:space="preserve">Render and Archive the Results</w:t>
      </w:r>
    </w:p>
    <w:p>
      <w:pPr>
        <w:pStyle w:val="FirstParagraph"/>
      </w:pPr>
      <w:r>
        <w:t xml:space="preserve">Render the Quarto document from a fresh R session and inspect the text, figures, tables, and references together. Record package versions with renv, then test the documented procedure in a separate checkout of the project. A successful render verifies execution in that environment; interpretation still requires the checks described above.</w:t>
      </w:r>
    </w:p>
    <w:p>
      <w:pPr>
        <w:pStyle w:val="BodyText"/>
      </w:pPr>
      <w:r>
        <w:t xml:space="preserve">Prepare a research compendium containing the permitted data, source document, analysis plan, project instructions, dependency record, and reviewed code</w:t>
      </w:r>
      <w:r>
        <w:t xml:space="preserve"> </w:t>
      </w:r>
      <w:r>
        <w:t xml:space="preserve">(Marwick 2017)</w:t>
      </w:r>
      <w:r>
        <w:t xml:space="preserve">. Standardized quality-control guidelines for archived data and code now exist for ecology and evolution, motivated by persistently low reproducibility of archived materials</w:t>
      </w:r>
      <w:r>
        <w:t xml:space="preserve"> </w:t>
      </w:r>
      <w:r>
        <w:t xml:space="preserve">(Pick et al. 2026)</w:t>
      </w:r>
      <w:r>
        <w:t xml:space="preserve">. Record the model identifier, dates, relevant prompts, and tool or skill versions where available. Reporting standards for LLM-assisted work now exist: reviewers use the recorded methods to judge rigor and replicability</w:t>
      </w:r>
      <w:r>
        <w:t xml:space="preserve"> </w:t>
      </w:r>
      <w:r>
        <w:t xml:space="preserve">(Abdurahman et al. 2025)</w:t>
      </w:r>
      <w:r>
        <w:t xml:space="preserve">. Remove credentials and restricted material before sharing any logs. Provide a README with the render command, expected outputs, data provenance, licenses, and access restrictions. Archive an approved release in a repository such as Zenodo or the Open Science Framework and cite its DOI.</w:t>
      </w:r>
      <w:r>
        <w:t xml:space="preserve"> </w:t>
      </w:r>
      <w:r>
        <w:t xml:space="preserve">Wilkinson et al. (2016)</w:t>
      </w:r>
      <w:r>
        <w:t xml:space="preserve"> </w:t>
      </w:r>
      <w:r>
        <w:t xml:space="preserve">defines {FAIR} stewardship,</w:t>
      </w:r>
      <w:r>
        <w:t xml:space="preserve"> </w:t>
      </w:r>
      <w:r>
        <w:t xml:space="preserve">Carroll et al. (2020)</w:t>
      </w:r>
      <w:r>
        <w:t xml:space="preserve"> </w:t>
      </w:r>
      <w:r>
        <w:t xml:space="preserve">adds {CARE} governance, and</w:t>
      </w:r>
      <w:r>
        <w:t xml:space="preserve"> </w:t>
      </w:r>
      <w:r>
        <w:t xml:space="preserve">Gupta et al. (2023)</w:t>
      </w:r>
      <w:r>
        <w:t xml:space="preserve"> </w:t>
      </w:r>
      <w:r>
        <w:t xml:space="preserve">applies both to {Canadian} archaeology, so we record consent and access terms with the deposit.</w:t>
      </w:r>
      <w:r>
        <w:t xml:space="preserve"> </w:t>
      </w:r>
      <w:r>
        <w:t xml:space="preserve">Wells et al. (2026)</w:t>
      </w:r>
      <w:r>
        <w:t xml:space="preserve"> </w:t>
      </w:r>
      <w:r>
        <w:t xml:space="preserve">emphasizes that archaeological archiving also requires attention to data labor and Indigenous data sovereignty.</w:t>
      </w:r>
    </w:p>
    <w:p>
      <w:pPr>
        <w:pStyle w:val="BodyText"/>
      </w:pPr>
      <w:r>
        <w:t xml:space="preserve">The output of this practice is an inspected analysis and the materials needed to reproduce its saved results.</w:t>
      </w:r>
      <w:r>
        <w:t xml:space="preserve"> </w:t>
      </w:r>
      <w:hyperlink w:anchor="fig-workflow">
        <w:r>
          <w:rPr>
            <w:rStyle w:val="Hyperlink"/>
          </w:rPr>
          <w:t xml:space="preserve">Figure 1</w:t>
        </w:r>
      </w:hyperlink>
      <w:r>
        <w:t xml:space="preserve"> </w:t>
      </w:r>
      <w:r>
        <w:t xml:space="preserve">summarizes how preparation and harness configuration support that work.</w:t>
      </w:r>
    </w:p>
    <w:tbl>
      <w:tblPr>
        <w:tblStyle w:val="Table"/>
        <w:tblW w:type="pct" w:w="5000"/>
        <w:tblLook w:firstRow="0" w:lastRow="0" w:firstColumn="0" w:lastColumn="0" w:noHBand="0" w:noVBand="0" w:val="0000"/>
        <w:jc w:val="start"/>
        <w:tblLayout w:type="fixed"/>
      </w:tblPr>
      <w:tblGrid>
        <w:gridCol w:w="7920"/>
      </w:tblGrid>
      <w:tr>
        <w:tc>
          <w:tcPr/>
          <w:bookmarkStart w:id="37" w:name="fig-workflow"/>
          <w:p>
            <w:pPr>
              <w:pStyle w:val="Compact"/>
              <w:jc w:val="center"/>
            </w:pPr>
            <w:r>
              <w:drawing>
                <wp:inline>
                  <wp:extent cx="5943600" cy="2971800"/>
                  <wp:effectExtent b="0" l="0" r="0" t="0"/>
                  <wp:docPr descr="" title="" id="35" name="Picture"/>
                  <a:graphic>
                    <a:graphicData uri="http://schemas.openxmlformats.org/drawingml/2006/picture">
                      <pic:pic>
                        <pic:nvPicPr>
                          <pic:cNvPr descr="paper_files/figure-docx/fig-workflow-1.png" id="36" name="Picture"/>
                          <pic:cNvPicPr>
                            <a:picLocks noChangeArrowheads="1" noChangeAspect="1"/>
                          </pic:cNvPicPr>
                        </pic:nvPicPr>
                        <pic:blipFill>
                          <a:blip r:embed="rId3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Three practices for agentic AI-assisted archaeological analysis. Researcher review connects preparation, harness configuration, and the research-to-archive sequence.</w:t>
            </w:r>
          </w:p>
          <w:bookmarkEnd w:id="37"/>
        </w:tc>
      </w:tr>
    </w:tbl>
    <w:bookmarkEnd w:id="38"/>
    <w:bookmarkEnd w:id="39"/>
    <w:bookmarkStart w:id="41" w:name="a-checklist-before-you-publish"/>
    <w:p>
      <w:pPr>
        <w:pStyle w:val="Heading1"/>
      </w:pPr>
      <w:r>
        <w:t xml:space="preserve">A Checklist Before You Publish</w:t>
      </w:r>
    </w:p>
    <w:p>
      <w:pPr>
        <w:pStyle w:val="FirstParagraph"/>
      </w:pPr>
      <w:r>
        <w:t xml:space="preserve">Use</w:t>
      </w:r>
      <w:r>
        <w:t xml:space="preserve"> </w:t>
      </w:r>
      <w:hyperlink w:anchor="tbl-checklist">
        <w:r>
          <w:rPr>
            <w:rStyle w:val="Hyperlink"/>
          </w:rPr>
          <w:t xml:space="preserve">Table 5</w:t>
        </w:r>
      </w:hyperlink>
      <w:r>
        <w:t xml:space="preserve"> </w:t>
      </w:r>
      <w:r>
        <w:t xml:space="preserve">to review the completed workflow. Record unresolved checks before treating the report as ready for circulation.</w:t>
      </w:r>
    </w:p>
    <w:tbl>
      <w:tblPr>
        <w:tblStyle w:val="Table"/>
        <w:tblW w:type="pct" w:w="5000"/>
        <w:tblLook w:firstRow="0" w:lastRow="0" w:firstColumn="0" w:lastColumn="0" w:noHBand="0" w:noVBand="0" w:val="0000"/>
        <w:jc w:val="start"/>
        <w:tblLayout w:type="fixed"/>
      </w:tblPr>
      <w:tblGrid>
        <w:gridCol w:w="7920"/>
      </w:tblGrid>
      <w:tr>
        <w:tc>
          <w:tcPr/>
          <w:bookmarkStart w:id="40" w:name="tbl-checklist"/>
          <w:p>
            <w:pPr>
              <w:jc w:val="center"/>
            </w:pPr>
            <w:pPr>
              <w:jc w:val="start"/>
              <w:spacing w:before="200"/>
              <w:pStyle w:val="ImageCaption"/>
            </w:pPr>
            <w:r>
              <w:t xml:space="preserve">Table 5: Checks before publishing an AI-assisted archaeological analysis.</w:t>
            </w:r>
          </w:p>
          <w:tbl>
            <w:tblPr>
              <w:tblStyle w:val="Table"/>
              <w:tblW w:type="pct" w:w="5000"/>
              <w:tblLook w:firstRow="1" w:lastRow="0" w:firstColumn="0" w:lastColumn="0" w:noHBand="0" w:noVBand="0" w:val="0020"/>
              <w:jc w:val="start"/>
              <w:tblLayout w:type="fixed"/>
            </w:tblPr>
            <w:tblGrid>
              <w:gridCol w:w="892"/>
              <w:gridCol w:w="5763"/>
              <w:gridCol w:w="1264"/>
            </w:tblGrid>
            <w:tr>
              <w:trPr>
                <w:tblHeader w:val="true"/>
              </w:trPr>
              <w:tc>
                <w:tcPr/>
                <w:p>
                  <w:pPr>
                    <w:pStyle w:val="Compact"/>
                    <w:jc w:val="left"/>
                    <w:jc w:val="center"/>
                  </w:pPr>
                  <w:r>
                    <w:t xml:space="preserve">Domain</w:t>
                  </w:r>
                </w:p>
              </w:tc>
              <w:tc>
                <w:tcPr/>
                <w:p>
                  <w:pPr>
                    <w:pStyle w:val="Compact"/>
                    <w:jc w:val="left"/>
                    <w:jc w:val="center"/>
                  </w:pPr>
                  <w:r>
                    <w:t xml:space="preserve">Check</w:t>
                  </w:r>
                </w:p>
              </w:tc>
              <w:tc>
                <w:tcPr/>
                <w:p>
                  <w:pPr>
                    <w:pStyle w:val="Compact"/>
                    <w:jc w:val="left"/>
                    <w:jc w:val="center"/>
                  </w:pPr>
                  <w:r>
                    <w:t xml:space="preserve">Key.sources</w:t>
                  </w:r>
                </w:p>
              </w:tc>
            </w:tr>
            <w:tr>
              <w:tc>
                <w:tcPr/>
                <w:p>
                  <w:pPr>
                    <w:pStyle w:val="Compact"/>
                    <w:jc w:val="left"/>
                    <w:jc w:val="center"/>
                  </w:pPr>
                  <w:r>
                    <w:t xml:space="preserve">Research tools</w:t>
                  </w:r>
                </w:p>
              </w:tc>
              <w:tc>
                <w:tcPr/>
                <w:p>
                  <w:pPr>
                    <w:pStyle w:val="Compact"/>
                    <w:jc w:val="left"/>
                    <w:jc w:val="center"/>
                  </w:pPr>
                  <w:r>
                    <w:t xml:space="preserve">Can you explain the R calculations, regenerate the Quarto report, and inspect changes with Git?</w:t>
                  </w:r>
                </w:p>
              </w:tc>
              <w:tc>
                <w:tcPr/>
                <w:p>
                  <w:pPr>
                    <w:pStyle w:val="Compact"/>
                    <w:jc w:val="left"/>
                    <w:jc w:val="center"/>
                  </w:pPr>
                  <w:r>
                    <w:t xml:space="preserve">Wilson et al. (2014)</w:t>
                  </w:r>
                </w:p>
              </w:tc>
            </w:tr>
            <w:tr>
              <w:tc>
                <w:tcPr/>
                <w:p>
                  <w:pPr>
                    <w:pStyle w:val="Compact"/>
                    <w:jc w:val="left"/>
                    <w:jc w:val="center"/>
                  </w:pPr>
                  <w:r>
                    <w:t xml:space="preserve">Permissions and privacy</w:t>
                  </w:r>
                </w:p>
              </w:tc>
              <w:tc>
                <w:tcPr/>
                <w:p>
                  <w:pPr>
                    <w:pStyle w:val="Compact"/>
                    <w:jc w:val="left"/>
                    <w:jc w:val="center"/>
                  </w:pPr>
                  <w:r>
                    <w:t xml:space="preserve">Did you approve the files and services used, inspect permission settings, and exclude credentials and restricted material?</w:t>
                  </w:r>
                </w:p>
              </w:tc>
              <w:tc>
                <w:tcPr/>
                <w:p>
                  <w:pPr>
                    <w:pStyle w:val="Compact"/>
                    <w:jc w:val="left"/>
                    <w:jc w:val="center"/>
                  </w:pPr>
                  <w:r>
                    <w:t xml:space="preserve">OpenCode</w:t>
                  </w:r>
                </w:p>
              </w:tc>
            </w:tr>
            <w:tr>
              <w:tc>
                <w:tcPr/>
                <w:p>
                  <w:pPr>
                    <w:pStyle w:val="Compact"/>
                    <w:jc w:val="left"/>
                    <w:jc w:val="center"/>
                  </w:pPr>
                  <w:r>
                    <w:t xml:space="preserve">Analysis plan</w:t>
                  </w:r>
                </w:p>
              </w:tc>
              <w:tc>
                <w:tcPr/>
                <w:p>
                  <w:pPr>
                    <w:pStyle w:val="Compact"/>
                    <w:jc w:val="left"/>
                    <w:jc w:val="center"/>
                  </w:pPr>
                  <w:r>
                    <w:t xml:space="preserve">Did you approve the question, observation unit, methods, assumptions, and reasons for changing the plan before code generation?</w:t>
                  </w:r>
                </w:p>
              </w:tc>
              <w:tc>
                <w:tcPr/>
                <w:p>
                  <w:pPr>
                    <w:pStyle w:val="Compact"/>
                    <w:jc w:val="left"/>
                    <w:jc w:val="center"/>
                  </w:pPr>
                  <w:r>
                    <w:t xml:space="preserve">Piper (2026)</w:t>
                  </w:r>
                </w:p>
              </w:tc>
            </w:tr>
            <w:tr>
              <w:tc>
                <w:tcPr/>
                <w:p>
                  <w:pPr>
                    <w:pStyle w:val="Compact"/>
                    <w:jc w:val="left"/>
                    <w:jc w:val="center"/>
                  </w:pPr>
                  <w:r>
                    <w:t xml:space="preserve">Code and statistics</w:t>
                  </w:r>
                </w:p>
              </w:tc>
              <w:tc>
                <w:tcPr/>
                <w:p>
                  <w:pPr>
                    <w:pStyle w:val="Compact"/>
                    <w:jc w:val="left"/>
                    <w:jc w:val="center"/>
                  </w:pPr>
                  <w:r>
                    <w:t xml:space="preserve">Do independently checked results match the code output? Were assumptions and relevant analytical alternatives examined?</w:t>
                  </w:r>
                </w:p>
              </w:tc>
              <w:tc>
                <w:tcPr/>
                <w:p>
                  <w:pPr>
                    <w:pStyle w:val="Compact"/>
                    <w:jc w:val="left"/>
                    <w:jc w:val="center"/>
                  </w:pPr>
                  <w:r>
                    <w:t xml:space="preserve">Wilson et al. (2014)</w:t>
                  </w:r>
                  <w:r>
                    <w:t xml:space="preserve">;</w:t>
                  </w:r>
                  <w:r>
                    <w:t xml:space="preserve"> </w:t>
                  </w:r>
                  <w:r>
                    <w:t xml:space="preserve">Steegen et al. (2016)</w:t>
                  </w:r>
                </w:p>
              </w:tc>
            </w:tr>
            <w:tr>
              <w:tc>
                <w:tcPr/>
                <w:p>
                  <w:pPr>
                    <w:pStyle w:val="Compact"/>
                    <w:jc w:val="left"/>
                    <w:jc w:val="center"/>
                  </w:pPr>
                  <w:r>
                    <w:t xml:space="preserve">References</w:t>
                  </w:r>
                </w:p>
              </w:tc>
              <w:tc>
                <w:tcPr/>
                <w:p>
                  <w:pPr>
                    <w:pStyle w:val="Compact"/>
                    <w:jc w:val="left"/>
                    <w:jc w:val="center"/>
                  </w:pPr>
                  <w:r>
                    <w:t xml:space="preserve">Do the records match the cited publications, and do the inspected source passages support the claims?</w:t>
                  </w:r>
                </w:p>
              </w:tc>
              <w:tc>
                <w:tcPr/>
                <w:p>
                  <w:pPr>
                    <w:pStyle w:val="Compact"/>
                    <w:jc w:val="left"/>
                    <w:jc w:val="center"/>
                  </w:pPr>
                  <w:r>
                    <w:t xml:space="preserve">Leung et al. (2023)</w:t>
                  </w:r>
                </w:p>
              </w:tc>
            </w:tr>
            <w:tr>
              <w:tc>
                <w:tcPr/>
                <w:p>
                  <w:pPr>
                    <w:pStyle w:val="Compact"/>
                    <w:jc w:val="left"/>
                    <w:jc w:val="center"/>
                  </w:pPr>
                  <w:r>
                    <w:t xml:space="preserve">Reproducibility</w:t>
                  </w:r>
                </w:p>
              </w:tc>
              <w:tc>
                <w:tcPr/>
                <w:p>
                  <w:pPr>
                    <w:pStyle w:val="Compact"/>
                    <w:jc w:val="left"/>
                    <w:jc w:val="center"/>
                  </w:pPr>
                  <w:r>
                    <w:t xml:space="preserve">Does the documented procedure work in a separate checkout with recorded dependencies? Are approved materials archived with licenses and access conditions?</w:t>
                  </w:r>
                </w:p>
              </w:tc>
              <w:tc>
                <w:tcPr/>
                <w:p>
                  <w:pPr>
                    <w:pStyle w:val="Compact"/>
                    <w:jc w:val="left"/>
                    <w:jc w:val="center"/>
                  </w:pPr>
                  <w:r>
                    <w:t xml:space="preserve">Marwick (2017)</w:t>
                  </w:r>
                </w:p>
              </w:tc>
            </w:tr>
            <w:tr>
              <w:tc>
                <w:tcPr/>
                <w:p>
                  <w:pPr>
                    <w:pStyle w:val="Compact"/>
                    <w:jc w:val="left"/>
                    <w:jc w:val="center"/>
                  </w:pPr>
                  <w:r>
                    <w:t xml:space="preserve">Disclosure</w:t>
                  </w:r>
                </w:p>
              </w:tc>
              <w:tc>
                <w:tcPr/>
                <w:p>
                  <w:pPr>
                    <w:pStyle w:val="Compact"/>
                    <w:jc w:val="left"/>
                    <w:jc w:val="center"/>
                  </w:pPr>
                  <w:r>
                    <w:t xml:space="preserve">Have you recorded tool versions, model identifiers where available, dates, and uses in the appropriate manuscript sections?</w:t>
                  </w:r>
                </w:p>
              </w:tc>
              <w:tc>
                <w:tcPr/>
                <w:p>
                  <w:pPr>
                    <w:pStyle w:val="Compact"/>
                    <w:jc w:val="left"/>
                    <w:jc w:val="center"/>
                  </w:pPr>
                  <w:r>
                    <w:t xml:space="preserve">Cooper et al. (2024)</w:t>
                  </w:r>
                  <w:r>
                    <w:t xml:space="preserve">; Journal instructions</w:t>
                  </w:r>
                </w:p>
              </w:tc>
            </w:tr>
            <w:tr>
              <w:tc>
                <w:tcPr/>
                <w:p>
                  <w:pPr>
                    <w:pStyle w:val="Compact"/>
                    <w:jc w:val="left"/>
                    <w:jc w:val="center"/>
                  </w:pPr>
                  <w:r>
                    <w:t xml:space="preserve">Human responsibility</w:t>
                  </w:r>
                </w:p>
              </w:tc>
              <w:tc>
                <w:tcPr/>
                <w:p>
                  <w:pPr>
                    <w:pStyle w:val="Compact"/>
                    <w:jc w:val="left"/>
                    <w:jc w:val="center"/>
                  </w:pPr>
                  <w:r>
                    <w:t xml:space="preserve">Can you explain and defend every analytical decision and authorize the release of the resulting materials?</w:t>
                  </w:r>
                </w:p>
              </w:tc>
              <w:tc>
                <w:tcPr/>
                <w:p>
                  <w:pPr>
                    <w:pStyle w:val="Compact"/>
                    <w:jc w:val="left"/>
                    <w:jc w:val="center"/>
                  </w:pPr>
                  <w:r>
                    <w:t xml:space="preserve">Monakhov (2026)</w:t>
                  </w:r>
                  <w:r>
                    <w:t xml:space="preserve">;</w:t>
                  </w:r>
                  <w:r>
                    <w:t xml:space="preserve"> </w:t>
                  </w:r>
                  <w:r>
                    <w:t xml:space="preserve">Jonker et al. (2024)</w:t>
                  </w:r>
                </w:p>
              </w:tc>
            </w:tr>
          </w:tbl>
          <w:bookmarkEnd w:id="40"/>
          <w:p/>
        </w:tc>
      </w:tr>
    </w:tbl>
    <w:bookmarkEnd w:id="41"/>
    <w:bookmarkStart w:id="42" w:name="discussion"/>
    <w:p>
      <w:pPr>
        <w:pStyle w:val="Heading1"/>
      </w:pPr>
      <w:r>
        <w:t xml:space="preserve">Discussion</w:t>
      </w:r>
    </w:p>
    <w:p>
      <w:pPr>
        <w:pStyle w:val="FirstParagraph"/>
      </w:pPr>
      <w:r>
        <w:t xml:space="preserve">The three practices assign distinct responsibilities to the researcher. Familiarity with R, Quarto, and Git supports inspection of calculations, reports, and changes. Harness configuration defines the permitted working environment. Tested skills and tools then support research, planning, execution, and verification within that environment. This sequence applies existing scientific-computing practices to agent-assisted archaeological work</w:t>
      </w:r>
      <w:r>
        <w:t xml:space="preserve"> </w:t>
      </w:r>
      <w:r>
        <w:t xml:space="preserve">(Bridgeford et al. 2026; Marwick 2017; Wilson et al. 2014)</w:t>
      </w:r>
      <w:r>
        <w:t xml:space="preserve">.</w:t>
      </w:r>
    </w:p>
    <w:p>
      <w:pPr>
        <w:pStyle w:val="BodyText"/>
      </w:pPr>
      <w:r>
        <w:t xml:space="preserve">Each practice has costs. Learning R and version control requires time, while configuring a harness introduces provider choices and access decisions. Skills and servers add dependencies that require testing and maintenance.</w:t>
      </w:r>
      <w:r>
        <w:t xml:space="preserve"> </w:t>
      </w:r>
      <w:r>
        <w:t xml:space="preserve">Kansa (2026)</w:t>
      </w:r>
      <w:r>
        <w:t xml:space="preserve"> </w:t>
      </w:r>
      <w:r>
        <w:t xml:space="preserve">discusses commercial dependence, and</w:t>
      </w:r>
      <w:r>
        <w:t xml:space="preserve"> </w:t>
      </w:r>
      <w:r>
        <w:t xml:space="preserve">Johnson and Eberl (2026)</w:t>
      </w:r>
      <w:r>
        <w:t xml:space="preserve"> </w:t>
      </w:r>
      <w:r>
        <w:t xml:space="preserve">examines environmental costs of AI in archaeology.</w:t>
      </w:r>
      <w:r>
        <w:t xml:space="preserve"> </w:t>
      </w:r>
      <w:r>
        <w:t xml:space="preserve">Luccioni et al. (2024)</w:t>
      </w:r>
      <w:r>
        <w:t xml:space="preserve"> </w:t>
      </w:r>
      <w:r>
        <w:t xml:space="preserve">measured inference energy across models and tasks, so we batch queries and log usage. Treat heavy token use as a reason to inspect output: in one study the costliest runs were agents stuck in unproductive loops, not the most accurate ones</w:t>
      </w:r>
      <w:r>
        <w:t xml:space="preserve"> </w:t>
      </w:r>
      <w:r>
        <w:t xml:space="preserve">(Brown et al. 2026)</w:t>
      </w:r>
      <w:r>
        <w:t xml:space="preserve">. Mapping latency, token cost, and F1 score guides model choice under budget constraints</w:t>
      </w:r>
      <w:r>
        <w:t xml:space="preserve"> </w:t>
      </w:r>
      <w:r>
        <w:t xml:space="preserve">(Krishna Moorthy et al. 2026)</w:t>
      </w:r>
      <w:r>
        <w:t xml:space="preserve">. We recommend recording available cost and usage information, limiting unnecessary repeated calls, and considering whether an existing R script already completes the task.</w:t>
      </w:r>
    </w:p>
    <w:p>
      <w:pPr>
        <w:pStyle w:val="BodyText"/>
      </w:pPr>
      <w:r>
        <w:t xml:space="preserve">These instructions do not establish that agent assistance improves every analysis. The illustrative tasks are teaching examples, and we have not measured their effects on accuracy or completion time. Reproducing saved R code differs from repeating an agent conversation: a model may generate different code on another attempt. Provider-side model updates add a second source of non-repeatability: the same prompt can behave differently months later because the provider changed the model</w:t>
      </w:r>
      <w:r>
        <w:t xml:space="preserve"> </w:t>
      </w:r>
      <w:r>
        <w:t xml:space="preserve">(Abdurahman et al. 2025; Abramson et al. 2026)</w:t>
      </w:r>
      <w:r>
        <w:t xml:space="preserve">. Preserve the inspected code and document the interaction, rather than promising identical agent behavior. Incentives sharpen a further risk: when publication metrics define success, researchers may use LLMs as a shortcut to game output rather than support innovation, which reduces quality and stifles development</w:t>
      </w:r>
      <w:r>
        <w:t xml:space="preserve"> </w:t>
      </w:r>
      <w:r>
        <w:t xml:space="preserve">(Johnson et al. 2024)</w:t>
      </w:r>
      <w:r>
        <w:t xml:space="preserve">.</w:t>
      </w:r>
    </w:p>
    <w:bookmarkEnd w:id="42"/>
    <w:bookmarkStart w:id="43" w:name="conclusion"/>
    <w:p>
      <w:pPr>
        <w:pStyle w:val="Heading1"/>
      </w:pPr>
      <w:r>
        <w:t xml:space="preserve">Conclusion</w:t>
      </w:r>
    </w:p>
    <w:p>
      <w:pPr>
        <w:pStyle w:val="FirstParagraph"/>
      </w:pPr>
      <w:r>
        <w:t xml:space="preserve">We recommend three practices for responsible agentic AI use in archaeological data analysis: learn the research tools and standards, configure a harness with explicit permissions, and use tested skills and tools to research, plan, and analyze. Quarto makes the relationship between code and report inspectable, while Git records reviewed changes. Planning and verification remain part of the researcher’s work throughout.</w:t>
      </w:r>
    </w:p>
    <w:p>
      <w:pPr>
        <w:pStyle w:val="BodyText"/>
      </w:pPr>
      <w:r>
        <w:t xml:space="preserve">The practical result should be a documented analysis whose inputs, decisions, code, and outputs another researcher can examine. The agent may assist with each task, but the researcher must explain the methods, assess the evidence, and authorize release. These responsibilities define when the work is ready to share.</w:t>
      </w:r>
    </w:p>
    <w:bookmarkEnd w:id="43"/>
    <w:bookmarkStart w:id="44" w:name="acknowledgments"/>
    <w:p>
      <w:pPr>
        <w:pStyle w:val="Heading1"/>
      </w:pPr>
      <w:r>
        <w:t xml:space="preserve">Acknowledgments</w:t>
      </w:r>
    </w:p>
    <w:p>
      <w:pPr>
        <w:pStyle w:val="FirstParagraph"/>
      </w:pPr>
      <w:r>
        <w:t xml:space="preserve">No permits were required for the preparation of this manuscript. This article describes general practices for using AI tools in archaeological data analysis. The author used OpenCode (https://opencode.ai/), an open-source AI coding agent, and OpenRouter (https://openrouter.ai/) to assist with drafting, code verification, and reference checking during the preparation of this manuscript. All AI-generated suggestions were reviewed and revised by the author.</w:t>
      </w:r>
    </w:p>
    <w:bookmarkEnd w:id="44"/>
    <w:bookmarkStart w:id="45"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45"/>
    <w:bookmarkStart w:id="46" w:name="data-availability-statement"/>
    <w:p>
      <w:pPr>
        <w:pStyle w:val="Heading1"/>
      </w:pPr>
      <w:r>
        <w:t xml:space="preserve">Data Availability Statement</w:t>
      </w:r>
    </w:p>
    <w:p>
      <w:pPr>
        <w:pStyle w:val="FirstParagraph"/>
      </w:pPr>
      <w:r>
        <w:t xml:space="preserve">No original data were used.</w:t>
      </w:r>
    </w:p>
    <w:bookmarkEnd w:id="46"/>
    <w:bookmarkStart w:id="47" w:name="competing-interests"/>
    <w:p>
      <w:pPr>
        <w:pStyle w:val="Heading1"/>
      </w:pPr>
      <w:r>
        <w:t xml:space="preserve">Competing Interests</w:t>
      </w:r>
    </w:p>
    <w:p>
      <w:pPr>
        <w:pStyle w:val="FirstParagraph"/>
      </w:pPr>
      <w:r>
        <w:t xml:space="preserve">The author declares none.</w:t>
      </w:r>
    </w:p>
    <w:bookmarkEnd w:id="47"/>
    <w:bookmarkStart w:id="48" w:name="notes"/>
    <w:p>
      <w:pPr>
        <w:pStyle w:val="Heading1"/>
      </w:pPr>
      <w:r>
        <w:t xml:space="preserve">Notes</w:t>
      </w:r>
    </w:p>
    <w:p>
      <w:pPr>
        <w:pStyle w:val="FirstParagraph"/>
      </w:pPr>
      <w:r>
        <w:t xml:space="preserve">This manuscript was prepared as a Quarto document within an rrtools research compendium. The rendered output files (paper.docx) and the Colophon section at the end of this document are internal to the compendium and should be removed before submission to a journal.</w:t>
      </w:r>
    </w:p>
    <w:bookmarkEnd w:id="48"/>
    <w:bookmarkStart w:id="193" w:name="references"/>
    <w:p>
      <w:pPr>
        <w:pStyle w:val="Heading1"/>
      </w:pPr>
      <w:r>
        <w:t xml:space="preserve">References</w:t>
      </w:r>
    </w:p>
    <w:bookmarkStart w:id="191" w:name="refs"/>
    <w:bookmarkStart w:id="50" w:name="ref-Abdurahman2025"/>
    <w:p>
      <w:pPr>
        <w:pStyle w:val="Bibliography"/>
      </w:pPr>
      <w:r>
        <w:t xml:space="preserve">Abdurahman, Suhaib, Alireza Salkhordeh Ziabari, Alexander K. Moore, Daniel M. Bartels, and Morteza Dehghani. 2025. A Primer for Evaluating</w:t>
      </w:r>
      <w:r>
        <w:t xml:space="preserve"> </w:t>
      </w:r>
      <w:r>
        <w:t xml:space="preserve">Large Language Models</w:t>
      </w:r>
      <w:r>
        <w:t xml:space="preserve"> </w:t>
      </w:r>
      <w:r>
        <w:t xml:space="preserve">in Social-Science Research.</w:t>
      </w:r>
      <w:r>
        <w:t xml:space="preserve"> </w:t>
      </w:r>
      <w:r>
        <w:rPr>
          <w:iCs/>
          <w:i/>
        </w:rPr>
        <w:t xml:space="preserve">Advances in Methods and Practices in Psychological Science</w:t>
      </w:r>
      <w:r>
        <w:t xml:space="preserve"> </w:t>
      </w:r>
      <w:r>
        <w:t xml:space="preserve">8(2).</w:t>
      </w:r>
      <w:r>
        <w:t xml:space="preserve"> </w:t>
      </w:r>
      <w:hyperlink r:id="rId49">
        <w:r>
          <w:rPr>
            <w:rStyle w:val="Hyperlink"/>
          </w:rPr>
          <w:t xml:space="preserve">https://doi.org/10.1177/25152459251325174</w:t>
        </w:r>
      </w:hyperlink>
      <w:r>
        <w:t xml:space="preserve">.</w:t>
      </w:r>
    </w:p>
    <w:bookmarkEnd w:id="50"/>
    <w:bookmarkStart w:id="52"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51">
        <w:r>
          <w:rPr>
            <w:rStyle w:val="Hyperlink"/>
          </w:rPr>
          <w:t xml:space="preserve">https://doi.org/10.1146/annurev-soc-011824-104836</w:t>
        </w:r>
      </w:hyperlink>
      <w:r>
        <w:t xml:space="preserve">.</w:t>
      </w:r>
    </w:p>
    <w:bookmarkEnd w:id="52"/>
    <w:bookmarkStart w:id="54" w:name="ref-AiderUsage2026"/>
    <w:p>
      <w:pPr>
        <w:pStyle w:val="Bibliography"/>
      </w:pPr>
      <w:r>
        <w:t xml:space="preserve">Aider.</w:t>
      </w:r>
      <w:r>
        <w:t xml:space="preserve"> </w:t>
      </w:r>
      <w:r>
        <w:t xml:space="preserve">Usage</w:t>
      </w:r>
      <w:r>
        <w:t xml:space="preserve">.</w:t>
      </w:r>
      <w:r>
        <w:t xml:space="preserve"> </w:t>
      </w:r>
      <w:hyperlink r:id="rId53">
        <w:r>
          <w:rPr>
            <w:rStyle w:val="Hyperlink"/>
          </w:rPr>
          <w:t xml:space="preserve">https://aider.chat/docs/usage.html</w:t>
        </w:r>
      </w:hyperlink>
      <w:r>
        <w:t xml:space="preserve">, accessed September 17, 2026.</w:t>
      </w:r>
    </w:p>
    <w:bookmarkEnd w:id="54"/>
    <w:bookmarkStart w:id="56" w:name="ref-Anthropic2024"/>
    <w:p>
      <w:pPr>
        <w:pStyle w:val="Bibliography"/>
      </w:pPr>
      <w:r>
        <w:t xml:space="preserve">Anthropic. 2024. Introducing the</w:t>
      </w:r>
      <w:r>
        <w:t xml:space="preserve"> </w:t>
      </w:r>
      <w:r>
        <w:t xml:space="preserve">Model Context Protocol</w:t>
      </w:r>
      <w:r>
        <w:t xml:space="preserve">.</w:t>
      </w:r>
      <w:r>
        <w:t xml:space="preserve"> </w:t>
      </w:r>
      <w:hyperlink r:id="rId55">
        <w:r>
          <w:rPr>
            <w:rStyle w:val="Hyperlink"/>
          </w:rPr>
          <w:t xml:space="preserve">https://www.anthropic.com/research/model-context-protocol</w:t>
        </w:r>
      </w:hyperlink>
      <w:r>
        <w:t xml:space="preserve">, accessed September 16, 2026.</w:t>
      </w:r>
    </w:p>
    <w:bookmarkEnd w:id="56"/>
    <w:bookmarkStart w:id="58" w:name="ref-Anthropic2025Skills"/>
    <w:p>
      <w:pPr>
        <w:pStyle w:val="Bibliography"/>
      </w:pPr>
      <w:r>
        <w:t xml:space="preserve">Anthropic. 2025. Equipping Agents for the Real World with</w:t>
      </w:r>
      <w:r>
        <w:t xml:space="preserve"> </w:t>
      </w:r>
      <w:r>
        <w:t xml:space="preserve">Agent Skills</w:t>
      </w:r>
      <w:r>
        <w:t xml:space="preserve">.</w:t>
      </w:r>
      <w:r>
        <w:t xml:space="preserve"> </w:t>
      </w:r>
      <w:hyperlink r:id="rId57">
        <w:r>
          <w:rPr>
            <w:rStyle w:val="Hyperlink"/>
          </w:rPr>
          <w:t xml:space="preserve">https://www.anthropic.com/engineering/equipping-agents-for-the-real-world-with-agent-skills</w:t>
        </w:r>
      </w:hyperlink>
      <w:r>
        <w:t xml:space="preserve">, accessed September 16, 2026.</w:t>
      </w:r>
    </w:p>
    <w:bookmarkEnd w:id="58"/>
    <w:bookmarkStart w:id="60" w:name="ref-BeckBurri2024"/>
    <w:p>
      <w:pPr>
        <w:pStyle w:val="Bibliography"/>
      </w:pPr>
      <w:r>
        <w:t xml:space="preserve">Beck, Juliane, and Thomas Burri. 2024.</w:t>
      </w:r>
      <w:r>
        <w:t xml:space="preserve"> </w:t>
      </w:r>
      <w:hyperlink r:id="rId59">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60"/>
    <w:bookmarkStart w:id="62"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61">
        <w:r>
          <w:rPr>
            <w:rStyle w:val="Hyperlink"/>
          </w:rPr>
          <w:t xml:space="preserve">https://doi.org/10.1073/pnas.2606495123</w:t>
        </w:r>
      </w:hyperlink>
      <w:r>
        <w:t xml:space="preserve">.</w:t>
      </w:r>
    </w:p>
    <w:bookmarkEnd w:id="62"/>
    <w:bookmarkStart w:id="64" w:name="ref-Blischak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63">
        <w:r>
          <w:rPr>
            <w:rStyle w:val="Hyperlink"/>
          </w:rPr>
          <w:t xml:space="preserve">https://doi.org/10.1371/journal.pcbi.1004668</w:t>
        </w:r>
      </w:hyperlink>
      <w:r>
        <w:t xml:space="preserve">.</w:t>
      </w:r>
    </w:p>
    <w:bookmarkEnd w:id="64"/>
    <w:bookmarkStart w:id="66"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5">
        <w:r>
          <w:rPr>
            <w:rStyle w:val="Hyperlink"/>
          </w:rPr>
          <w:t xml:space="preserve">https://doi.org/10.1371/journal.pcbi.1014428</w:t>
        </w:r>
      </w:hyperlink>
      <w:r>
        <w:t xml:space="preserve">.</w:t>
      </w:r>
    </w:p>
    <w:bookmarkEnd w:id="66"/>
    <w:bookmarkStart w:id="68"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7">
        <w:r>
          <w:rPr>
            <w:rStyle w:val="Hyperlink"/>
          </w:rPr>
          <w:t xml:space="preserve">https://www.seascapemodels.org/AI-assistants-for-scientific-coding/</w:t>
        </w:r>
      </w:hyperlink>
      <w:r>
        <w:t xml:space="preserve">, accessed September 18, 2026.</w:t>
      </w:r>
    </w:p>
    <w:bookmarkEnd w:id="68"/>
    <w:bookmarkStart w:id="70"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9">
        <w:r>
          <w:rPr>
            <w:rStyle w:val="Hyperlink"/>
          </w:rPr>
          <w:t xml:space="preserve">https://doi.org/10.1111/faf.70079</w:t>
        </w:r>
      </w:hyperlink>
      <w:r>
        <w:t xml:space="preserve">.</w:t>
      </w:r>
    </w:p>
    <w:bookmarkEnd w:id="70"/>
    <w:bookmarkStart w:id="72"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71">
        <w:r>
          <w:rPr>
            <w:rStyle w:val="Hyperlink"/>
          </w:rPr>
          <w:t xml:space="preserve">https://doi.org/10.1111/2041-210x.70267</w:t>
        </w:r>
      </w:hyperlink>
      <w:r>
        <w:t xml:space="preserve">.</w:t>
      </w:r>
    </w:p>
    <w:bookmarkEnd w:id="72"/>
    <w:bookmarkStart w:id="74"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3">
        <w:r>
          <w:rPr>
            <w:rStyle w:val="Hyperlink"/>
          </w:rPr>
          <w:t xml:space="preserve">https://doi.org/10.1111/2041-210X.14396</w:t>
        </w:r>
      </w:hyperlink>
      <w:r>
        <w:t xml:space="preserve">.</w:t>
      </w:r>
    </w:p>
    <w:bookmarkEnd w:id="74"/>
    <w:bookmarkStart w:id="76" w:name="ref-Carroll2020"/>
    <w:p>
      <w:pPr>
        <w:pStyle w:val="Bibliography"/>
      </w:pPr>
      <w:r>
        <w:t xml:space="preserve">Carroll, Stephanie Russo, Ibrahim Garba, Oscar L. Figueroa-Rodríguez, Jarita Holbrook, Raymond Lovett, Simeon Materechera, Mark Parsons, et al. 2020. The</w:t>
      </w:r>
      <w:r>
        <w:t xml:space="preserve"> </w:t>
      </w:r>
      <w:r>
        <w:t xml:space="preserve">CARE</w:t>
      </w:r>
      <w:r>
        <w:t xml:space="preserve"> </w:t>
      </w:r>
      <w:r>
        <w:t xml:space="preserve">Principles for Indigenous Data Governance.</w:t>
      </w:r>
      <w:r>
        <w:t xml:space="preserve"> </w:t>
      </w:r>
      <w:r>
        <w:rPr>
          <w:iCs/>
          <w:i/>
        </w:rPr>
        <w:t xml:space="preserve">Data Science Journal</w:t>
      </w:r>
      <w:r>
        <w:t xml:space="preserve"> </w:t>
      </w:r>
      <w:r>
        <w:t xml:space="preserve">19:43.</w:t>
      </w:r>
      <w:r>
        <w:t xml:space="preserve"> </w:t>
      </w:r>
      <w:hyperlink r:id="rId75">
        <w:r>
          <w:rPr>
            <w:rStyle w:val="Hyperlink"/>
          </w:rPr>
          <w:t xml:space="preserve">https://doi.org/10.5334/dsj-2020-043</w:t>
        </w:r>
      </w:hyperlink>
      <w:r>
        <w:t xml:space="preserve">.</w:t>
      </w:r>
    </w:p>
    <w:bookmarkEnd w:id="76"/>
    <w:bookmarkStart w:id="78"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7">
        <w:r>
          <w:rPr>
            <w:rStyle w:val="Hyperlink"/>
          </w:rPr>
          <w:t xml:space="preserve">https://doi.org/10.1111/2041-210X.14325</w:t>
        </w:r>
      </w:hyperlink>
      <w:r>
        <w:t xml:space="preserve">.</w:t>
      </w:r>
    </w:p>
    <w:bookmarkEnd w:id="78"/>
    <w:bookmarkStart w:id="80"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9">
        <w:r>
          <w:rPr>
            <w:rStyle w:val="Hyperlink"/>
          </w:rPr>
          <w:t xml:space="preserve">https://doi.org/10.1287/orsc.2025.21838</w:t>
        </w:r>
      </w:hyperlink>
      <w:r>
        <w:t xml:space="preserve">.</w:t>
      </w:r>
    </w:p>
    <w:bookmarkEnd w:id="80"/>
    <w:bookmarkStart w:id="82"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1">
        <w:r>
          <w:rPr>
            <w:rStyle w:val="Hyperlink"/>
          </w:rPr>
          <w:t xml:space="preserve">https://doi.org/10.1093/jmammal/gyaf082</w:t>
        </w:r>
      </w:hyperlink>
      <w:r>
        <w:t xml:space="preserve">.</w:t>
      </w:r>
    </w:p>
    <w:bookmarkEnd w:id="82"/>
    <w:bookmarkStart w:id="84" w:name="ref-Faniel2013"/>
    <w:p>
      <w:pPr>
        <w:pStyle w:val="Bibliography"/>
      </w:pPr>
      <w:r>
        <w:t xml:space="preserve">Faniel, Ixchel, Eric Kansa, Sarah Whitcher Kansa, Julianna Barrera-Gomez, and Elizabeth Yakel. 2013.</w:t>
      </w:r>
      <w:r>
        <w:t xml:space="preserve"> </w:t>
      </w:r>
      <w:hyperlink r:id="rId83">
        <w:r>
          <w:rPr>
            <w:rStyle w:val="Hyperlink"/>
          </w:rPr>
          <w:t xml:space="preserve">The Challenges of Digging Data: A Study of Context in Archaeological Data Reuse</w:t>
        </w:r>
      </w:hyperlink>
      <w:r>
        <w:t xml:space="preserve">, pp. 295–304.</w:t>
      </w:r>
    </w:p>
    <w:bookmarkEnd w:id="84"/>
    <w:bookmarkStart w:id="86"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5">
        <w:r>
          <w:rPr>
            <w:rStyle w:val="Hyperlink"/>
          </w:rPr>
          <w:t xml:space="preserve">https://doi.org/10.1007/s12599-023-00834-7</w:t>
        </w:r>
      </w:hyperlink>
      <w:r>
        <w:t xml:space="preserve">.</w:t>
      </w:r>
    </w:p>
    <w:bookmarkEnd w:id="86"/>
    <w:bookmarkStart w:id="88"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7">
        <w:r>
          <w:rPr>
            <w:rStyle w:val="Hyperlink"/>
          </w:rPr>
          <w:t xml:space="preserve">https://doi.org/10.1080/10584609.2023.2290497</w:t>
        </w:r>
      </w:hyperlink>
      <w:r>
        <w:t xml:space="preserve">.</w:t>
      </w:r>
    </w:p>
    <w:bookmarkEnd w:id="88"/>
    <w:bookmarkStart w:id="90" w:name="ref-Gilardi2023"/>
    <w:p>
      <w:pPr>
        <w:pStyle w:val="Bibliography"/>
      </w:pPr>
      <w:r>
        <w:t xml:space="preserve">Gilardi, Fabrizio, Meysam Alizadeh, and Maël Kubli. 2023.</w:t>
      </w:r>
      <w:r>
        <w:t xml:space="preserve"> </w:t>
      </w:r>
      <w:r>
        <w:t xml:space="preserve">ChatGPT</w:t>
      </w:r>
      <w:r>
        <w:t xml:space="preserve"> </w:t>
      </w:r>
      <w:r>
        <w:t xml:space="preserve">Outperforms Crowd Workers for Text-Annotation Tasks.</w:t>
      </w:r>
      <w:r>
        <w:t xml:space="preserve"> </w:t>
      </w:r>
      <w:r>
        <w:rPr>
          <w:iCs/>
          <w:i/>
        </w:rPr>
        <w:t xml:space="preserve">Proceedings of the National Academy of Sciences</w:t>
      </w:r>
      <w:r>
        <w:t xml:space="preserve"> </w:t>
      </w:r>
      <w:r>
        <w:t xml:space="preserve">120(30):e2305016120.</w:t>
      </w:r>
      <w:r>
        <w:t xml:space="preserve"> </w:t>
      </w:r>
      <w:hyperlink r:id="rId89">
        <w:r>
          <w:rPr>
            <w:rStyle w:val="Hyperlink"/>
          </w:rPr>
          <w:t xml:space="preserve">https://doi.org/10.1073/pnas.2305016120</w:t>
        </w:r>
      </w:hyperlink>
      <w:r>
        <w:t xml:space="preserve">.</w:t>
      </w:r>
    </w:p>
    <w:bookmarkEnd w:id="90"/>
    <w:bookmarkStart w:id="92"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1">
        <w:r>
          <w:rPr>
            <w:rStyle w:val="Hyperlink"/>
          </w:rPr>
          <w:t xml:space="preserve">https://doi.org/10.1038/s44185-024-00043-9</w:t>
        </w:r>
      </w:hyperlink>
      <w:r>
        <w:t xml:space="preserve">.</w:t>
      </w:r>
    </w:p>
    <w:bookmarkEnd w:id="92"/>
    <w:bookmarkStart w:id="94" w:name="ref-Gupta2023"/>
    <w:p>
      <w:pPr>
        <w:pStyle w:val="Bibliography"/>
      </w:pPr>
      <w:r>
        <w:t xml:space="preserve">Gupta, Neha, Andrew Martindale, Kisha Supernant, and Michael Elvidge. 2023. The</w:t>
      </w:r>
      <w:r>
        <w:t xml:space="preserve"> </w:t>
      </w:r>
      <w:r>
        <w:t xml:space="preserve">CARE</w:t>
      </w:r>
      <w:r>
        <w:t xml:space="preserve"> </w:t>
      </w:r>
      <w:r>
        <w:t xml:space="preserve">Principles and the Reuse, Sharing, and Curation of Indigenous Data in</w:t>
      </w:r>
      <w:r>
        <w:t xml:space="preserve"> </w:t>
      </w:r>
      <w:r>
        <w:t xml:space="preserve">Canadian</w:t>
      </w:r>
      <w:r>
        <w:t xml:space="preserve"> </w:t>
      </w:r>
      <w:r>
        <w:t xml:space="preserve">Archaeology.</w:t>
      </w:r>
      <w:r>
        <w:t xml:space="preserve"> </w:t>
      </w:r>
      <w:r>
        <w:rPr>
          <w:iCs/>
          <w:i/>
        </w:rPr>
        <w:t xml:space="preserve">Advances in Archaeological Practice</w:t>
      </w:r>
      <w:r>
        <w:t xml:space="preserve"> </w:t>
      </w:r>
      <w:r>
        <w:t xml:space="preserve">11(1):76–89.</w:t>
      </w:r>
      <w:r>
        <w:t xml:space="preserve"> </w:t>
      </w:r>
      <w:hyperlink r:id="rId93">
        <w:r>
          <w:rPr>
            <w:rStyle w:val="Hyperlink"/>
          </w:rPr>
          <w:t xml:space="preserve">https://doi.org/10.1017/aap.2022.33</w:t>
        </w:r>
      </w:hyperlink>
      <w:r>
        <w:t xml:space="preserve">.</w:t>
      </w:r>
    </w:p>
    <w:bookmarkEnd w:id="94"/>
    <w:bookmarkStart w:id="96"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5">
        <w:r>
          <w:rPr>
            <w:rStyle w:val="Hyperlink"/>
          </w:rPr>
          <w:t xml:space="preserve">https://doi.org/10.1057/s41599-026-08832-2</w:t>
        </w:r>
      </w:hyperlink>
      <w:r>
        <w:t xml:space="preserve">.</w:t>
      </w:r>
    </w:p>
    <w:bookmarkEnd w:id="96"/>
    <w:bookmarkStart w:id="98"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7">
        <w:r>
          <w:rPr>
            <w:rStyle w:val="Hyperlink"/>
          </w:rPr>
          <w:t xml:space="preserve">https://doi.org/10.1016/j.sftr.2025.101152</w:t>
        </w:r>
      </w:hyperlink>
      <w:r>
        <w:t xml:space="preserve">.</w:t>
      </w:r>
    </w:p>
    <w:bookmarkEnd w:id="98"/>
    <w:bookmarkStart w:id="100" w:name="ref-Hariri2025"/>
    <w:p>
      <w:pPr>
        <w:pStyle w:val="Bibliography"/>
      </w:pPr>
      <w:r>
        <w:t xml:space="preserve">Hariri, Ali, Stéphane Jean, and Mickaël Baron. 2025.</w:t>
      </w:r>
      <w:r>
        <w:t xml:space="preserve"> </w:t>
      </w:r>
      <w:hyperlink r:id="rId99">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100"/>
    <w:bookmarkStart w:id="102"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1">
        <w:r>
          <w:rPr>
            <w:rStyle w:val="Hyperlink"/>
          </w:rPr>
          <w:t xml:space="preserve">https://doi.org/10.1145/3796519</w:t>
        </w:r>
      </w:hyperlink>
      <w:r>
        <w:t xml:space="preserve">.</w:t>
      </w:r>
    </w:p>
    <w:bookmarkEnd w:id="102"/>
    <w:bookmarkStart w:id="104" w:name="ref-Huggett2018"/>
    <w:p>
      <w:pPr>
        <w:pStyle w:val="Bibliography"/>
      </w:pPr>
      <w:r>
        <w:t xml:space="preserve">Huggett, Jeremy. 2018. Reuse Remix Recycle: Repurposing Archaeological Digital Data.</w:t>
      </w:r>
      <w:r>
        <w:t xml:space="preserve"> </w:t>
      </w:r>
      <w:r>
        <w:rPr>
          <w:iCs/>
          <w:i/>
        </w:rPr>
        <w:t xml:space="preserve">Advances in Archaeological Practice</w:t>
      </w:r>
      <w:r>
        <w:t xml:space="preserve"> </w:t>
      </w:r>
      <w:r>
        <w:t xml:space="preserve">6(2):93–104.</w:t>
      </w:r>
      <w:r>
        <w:t xml:space="preserve"> </w:t>
      </w:r>
      <w:hyperlink r:id="rId103">
        <w:r>
          <w:rPr>
            <w:rStyle w:val="Hyperlink"/>
          </w:rPr>
          <w:t xml:space="preserve">https://doi.org/10.1017/aap.2018.1</w:t>
        </w:r>
      </w:hyperlink>
      <w:r>
        <w:t xml:space="preserve">.</w:t>
      </w:r>
    </w:p>
    <w:bookmarkEnd w:id="104"/>
    <w:bookmarkStart w:id="106" w:name="ref-Huggett2022"/>
    <w:p>
      <w:pPr>
        <w:pStyle w:val="Bibliography"/>
      </w:pPr>
      <w:r>
        <w:t xml:space="preserve">Huggett, Jeremy. 2022.</w:t>
      </w:r>
      <w:r>
        <w:t xml:space="preserve"> </w:t>
      </w:r>
      <w:hyperlink r:id="rId105">
        <w:r>
          <w:rPr>
            <w:rStyle w:val="Hyperlink"/>
          </w:rPr>
          <w:t xml:space="preserve">Archaeological Practice and Digital Automation</w:t>
        </w:r>
      </w:hyperlink>
      <w:r>
        <w:t xml:space="preserve">. In</w:t>
      </w:r>
      <w:r>
        <w:t xml:space="preserve"> </w:t>
      </w:r>
      <w:r>
        <w:rPr>
          <w:iCs/>
          <w:i/>
        </w:rPr>
        <w:t xml:space="preserve">Digital Heritage and Archaeology in Practice</w:t>
      </w:r>
      <w:r>
        <w:t xml:space="preserve">, edited by Ethan Watrall and Lynne Goldstein, pp. 275–304. University Press of Florida.</w:t>
      </w:r>
    </w:p>
    <w:bookmarkEnd w:id="106"/>
    <w:bookmarkStart w:id="108"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7">
        <w:r>
          <w:rPr>
            <w:rStyle w:val="Hyperlink"/>
          </w:rPr>
          <w:t xml:space="preserve">https://doi.org/10.1080/00187259.2026.2714301</w:t>
        </w:r>
      </w:hyperlink>
      <w:r>
        <w:t xml:space="preserve">.</w:t>
      </w:r>
    </w:p>
    <w:bookmarkEnd w:id="108"/>
    <w:bookmarkStart w:id="110" w:name="ref-Johnson2024"/>
    <w:p>
      <w:pPr>
        <w:pStyle w:val="Bibliography"/>
      </w:pPr>
      <w:r>
        <w:t xml:space="preserve">Johnson, Thomas F., Benno I. Simmons, Joseph Millard, Tanya Strydom, Alain Danet, Amy R. Sweeny, and Luke C. Evans. 2024. Pressure to Publish Introduces</w:t>
      </w:r>
      <w:r>
        <w:t xml:space="preserve"> </w:t>
      </w:r>
      <w:r>
        <w:t xml:space="preserve">Large-Language Model</w:t>
      </w:r>
      <w:r>
        <w:t xml:space="preserve"> </w:t>
      </w:r>
      <w:r>
        <w:t xml:space="preserve">Risks.</w:t>
      </w:r>
      <w:r>
        <w:t xml:space="preserve"> </w:t>
      </w:r>
      <w:r>
        <w:rPr>
          <w:iCs/>
          <w:i/>
        </w:rPr>
        <w:t xml:space="preserve">Methods in Ecology and Evolution</w:t>
      </w:r>
      <w:r>
        <w:t xml:space="preserve"> </w:t>
      </w:r>
      <w:r>
        <w:t xml:space="preserve">15(10):1771–1773.</w:t>
      </w:r>
      <w:r>
        <w:t xml:space="preserve"> </w:t>
      </w:r>
      <w:hyperlink r:id="rId109">
        <w:r>
          <w:rPr>
            <w:rStyle w:val="Hyperlink"/>
          </w:rPr>
          <w:t xml:space="preserve">https://doi.org/10.1111/2041-210x.14397</w:t>
        </w:r>
      </w:hyperlink>
      <w:r>
        <w:t xml:space="preserve">.</w:t>
      </w:r>
    </w:p>
    <w:bookmarkEnd w:id="110"/>
    <w:bookmarkStart w:id="112" w:name="ref-Jonker2024"/>
    <w:p>
      <w:pPr>
        <w:pStyle w:val="Bibliography"/>
      </w:pPr>
      <w:r>
        <w:t xml:space="preserve">Jonker, Catholijn M., Luciano Cavalcante Siebert, and Pradeep K. Murukannaiah. 2024.</w:t>
      </w:r>
      <w:r>
        <w:t xml:space="preserve"> </w:t>
      </w:r>
      <w:hyperlink r:id="rId111">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2"/>
    <w:bookmarkStart w:id="114"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13">
        <w:r>
          <w:rPr>
            <w:rStyle w:val="Hyperlink"/>
          </w:rPr>
          <w:t xml:space="preserve">https://doi.org/10.11141/ia.71.15</w:t>
        </w:r>
      </w:hyperlink>
      <w:r>
        <w:t xml:space="preserve">.</w:t>
      </w:r>
    </w:p>
    <w:bookmarkEnd w:id="114"/>
    <w:bookmarkStart w:id="116"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15">
        <w:r>
          <w:rPr>
            <w:rStyle w:val="Hyperlink"/>
          </w:rPr>
          <w:t xml:space="preserve">https://doi.org/10.1257/jel.20231736</w:t>
        </w:r>
      </w:hyperlink>
      <w:r>
        <w:t xml:space="preserve">.</w:t>
      </w:r>
    </w:p>
    <w:bookmarkEnd w:id="116"/>
    <w:bookmarkStart w:id="118"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7">
        <w:r>
          <w:rPr>
            <w:rStyle w:val="Hyperlink"/>
          </w:rPr>
          <w:t xml:space="preserve">https://doi.org/10.1111/2041-210x.70403</w:t>
        </w:r>
      </w:hyperlink>
      <w:r>
        <w:t xml:space="preserve">.</w:t>
      </w:r>
    </w:p>
    <w:bookmarkEnd w:id="118"/>
    <w:bookmarkStart w:id="120"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19">
        <w:r>
          <w:rPr>
            <w:rStyle w:val="Hyperlink"/>
          </w:rPr>
          <w:t xml:space="preserve">https://doi.org/10.48550/arXiv.2505.06120</w:t>
        </w:r>
      </w:hyperlink>
      <w:r>
        <w:t xml:space="preserve">.</w:t>
      </w:r>
    </w:p>
    <w:bookmarkEnd w:id="120"/>
    <w:bookmarkStart w:id="122"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1">
        <w:r>
          <w:rPr>
            <w:rStyle w:val="Hyperlink"/>
          </w:rPr>
          <w:t xml:space="preserve">https://doi.org/10.2196/51584</w:t>
        </w:r>
      </w:hyperlink>
      <w:r>
        <w:t xml:space="preserve">.</w:t>
      </w:r>
    </w:p>
    <w:bookmarkEnd w:id="122"/>
    <w:bookmarkStart w:id="124"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3">
        <w:r>
          <w:rPr>
            <w:rStyle w:val="Hyperlink"/>
          </w:rPr>
          <w:t xml:space="preserve">https://doi.org/10.1038/s41586-026-10265-5</w:t>
        </w:r>
      </w:hyperlink>
      <w:r>
        <w:t xml:space="preserve">.</w:t>
      </w:r>
    </w:p>
    <w:bookmarkEnd w:id="124"/>
    <w:bookmarkStart w:id="126" w:name="ref-Luccioni2024"/>
    <w:p>
      <w:pPr>
        <w:pStyle w:val="Bibliography"/>
      </w:pPr>
      <w:r>
        <w:t xml:space="preserve">Luccioni, Sasha, Yacine Jernite, and Emma Strubell. 2024.</w:t>
      </w:r>
      <w:r>
        <w:t xml:space="preserve"> </w:t>
      </w:r>
      <w:hyperlink r:id="rId125">
        <w:r>
          <w:rPr>
            <w:rStyle w:val="Hyperlink"/>
          </w:rPr>
          <w:t xml:space="preserve">Power Hungry Processing: Watts Driving the Cost of</w:t>
        </w:r>
        <w:r>
          <w:rPr>
            <w:rStyle w:val="Hyperlink"/>
          </w:rPr>
          <w:t xml:space="preserve"> </w:t>
        </w:r>
        <w:r>
          <w:rPr>
            <w:rStyle w:val="Hyperlink"/>
          </w:rPr>
          <w:t xml:space="preserve">AI</w:t>
        </w:r>
        <w:r>
          <w:rPr>
            <w:rStyle w:val="Hyperlink"/>
          </w:rPr>
          <w:t xml:space="preserve"> </w:t>
        </w:r>
        <w:r>
          <w:rPr>
            <w:rStyle w:val="Hyperlink"/>
          </w:rPr>
          <w:t xml:space="preserve">Deployment?</w:t>
        </w:r>
      </w:hyperlink>
      <w:r>
        <w:t xml:space="preserve">, pp. 85–99.</w:t>
      </w:r>
    </w:p>
    <w:bookmarkEnd w:id="126"/>
    <w:bookmarkStart w:id="128" w:name="ref-Mammides2024"/>
    <w:p>
      <w:pPr>
        <w:pStyle w:val="Bibliography"/>
      </w:pPr>
      <w:r>
        <w:t xml:space="preserve">Mammides, Christos, and Harris Papadopoulos. 2024. The Role of</w:t>
      </w:r>
      <w:r>
        <w:t xml:space="preserve"> </w:t>
      </w:r>
      <w:r>
        <w:t xml:space="preserve">Large Language Models</w:t>
      </w:r>
      <w:r>
        <w:t xml:space="preserve"> </w:t>
      </w:r>
      <w:r>
        <w:t xml:space="preserve">in Interdisciplinary Research: Opportunities, Challenges and Ways Forward.</w:t>
      </w:r>
      <w:r>
        <w:t xml:space="preserve"> </w:t>
      </w:r>
      <w:r>
        <w:rPr>
          <w:iCs/>
          <w:i/>
        </w:rPr>
        <w:t xml:space="preserve">Methods in Ecology and Evolution</w:t>
      </w:r>
      <w:r>
        <w:t xml:space="preserve"> </w:t>
      </w:r>
      <w:r>
        <w:t xml:space="preserve">15(10):1774–1776.</w:t>
      </w:r>
      <w:r>
        <w:t xml:space="preserve"> </w:t>
      </w:r>
      <w:hyperlink r:id="rId127">
        <w:r>
          <w:rPr>
            <w:rStyle w:val="Hyperlink"/>
          </w:rPr>
          <w:t xml:space="preserve">https://doi.org/10.1111/2041-210x.14398</w:t>
        </w:r>
      </w:hyperlink>
      <w:r>
        <w:t xml:space="preserve">.</w:t>
      </w:r>
    </w:p>
    <w:bookmarkEnd w:id="128"/>
    <w:bookmarkStart w:id="130"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29">
        <w:r>
          <w:rPr>
            <w:rStyle w:val="Hyperlink"/>
          </w:rPr>
          <w:t xml:space="preserve">https://doi.org/10.1007/s10816-015-9272-9</w:t>
        </w:r>
      </w:hyperlink>
      <w:r>
        <w:t xml:space="preserve">.</w:t>
      </w:r>
    </w:p>
    <w:bookmarkEnd w:id="130"/>
    <w:bookmarkStart w:id="132"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31">
        <w:r>
          <w:rPr>
            <w:rStyle w:val="Hyperlink"/>
          </w:rPr>
          <w:t xml:space="preserve">https://doi.org/10.1038/s41586-024-07146-0</w:t>
        </w:r>
      </w:hyperlink>
      <w:r>
        <w:t xml:space="preserve">.</w:t>
      </w:r>
    </w:p>
    <w:bookmarkEnd w:id="132"/>
    <w:bookmarkStart w:id="134"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33">
        <w:r>
          <w:rPr>
            <w:rStyle w:val="Hyperlink"/>
          </w:rPr>
          <w:t xml:space="preserve">https://doi.org/10.48550/arXiv.2607.01507</w:t>
        </w:r>
      </w:hyperlink>
      <w:r>
        <w:t xml:space="preserve">.</w:t>
      </w:r>
    </w:p>
    <w:bookmarkEnd w:id="134"/>
    <w:bookmarkStart w:id="136" w:name="ref-Monakhov2026"/>
    <w:p>
      <w:pPr>
        <w:pStyle w:val="Bibliography"/>
      </w:pPr>
      <w:r>
        <w:t xml:space="preserve">Monakhov, Alexander Yu. 2026.</w:t>
      </w:r>
      <w:r>
        <w:t xml:space="preserve"> </w:t>
      </w:r>
      <w:hyperlink r:id="rId135">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36"/>
    <w:bookmarkStart w:id="138" w:name="ref-MorganWright2018"/>
    <w:p>
      <w:pPr>
        <w:pStyle w:val="Bibliography"/>
      </w:pPr>
      <w:r>
        <w:t xml:space="preserve">Morgan, Colleen, and Holly Wright. 2018. Pencils and Pixels: Drawing and Digital Media in Archaeological Field Recording.</w:t>
      </w:r>
      <w:r>
        <w:t xml:space="preserve"> </w:t>
      </w:r>
      <w:r>
        <w:rPr>
          <w:iCs/>
          <w:i/>
        </w:rPr>
        <w:t xml:space="preserve">Journal of Field Archaeology</w:t>
      </w:r>
      <w:r>
        <w:t xml:space="preserve"> </w:t>
      </w:r>
      <w:r>
        <w:t xml:space="preserve">43(2):136–151.</w:t>
      </w:r>
      <w:r>
        <w:t xml:space="preserve"> </w:t>
      </w:r>
      <w:hyperlink r:id="rId137">
        <w:r>
          <w:rPr>
            <w:rStyle w:val="Hyperlink"/>
          </w:rPr>
          <w:t xml:space="preserve">https://doi.org/10.1080/00934690.2018.1428488</w:t>
        </w:r>
      </w:hyperlink>
      <w:r>
        <w:t xml:space="preserve">.</w:t>
      </w:r>
    </w:p>
    <w:bookmarkEnd w:id="138"/>
    <w:bookmarkStart w:id="140" w:name="ref-OpenCodePermissions2026"/>
    <w:p>
      <w:pPr>
        <w:pStyle w:val="Bibliography"/>
      </w:pPr>
      <w:r>
        <w:t xml:space="preserve">OpenCode.</w:t>
      </w:r>
      <w:r>
        <w:t xml:space="preserve"> </w:t>
      </w:r>
      <w:r>
        <w:t xml:space="preserve">Permissions</w:t>
      </w:r>
      <w:r>
        <w:t xml:space="preserve">.</w:t>
      </w:r>
      <w:r>
        <w:t xml:space="preserve"> </w:t>
      </w:r>
      <w:hyperlink r:id="rId139">
        <w:r>
          <w:rPr>
            <w:rStyle w:val="Hyperlink"/>
          </w:rPr>
          <w:t xml:space="preserve">https://opencode.ai/docs/permissions/</w:t>
        </w:r>
      </w:hyperlink>
      <w:r>
        <w:t xml:space="preserve">, accessed September 17, 2026a.</w:t>
      </w:r>
    </w:p>
    <w:bookmarkEnd w:id="140"/>
    <w:bookmarkStart w:id="142" w:name="ref-OpenCodeEnterprise2026"/>
    <w:p>
      <w:pPr>
        <w:pStyle w:val="Bibliography"/>
      </w:pPr>
      <w:r>
        <w:t xml:space="preserve">OpenCode.</w:t>
      </w:r>
      <w:r>
        <w:t xml:space="preserve"> </w:t>
      </w:r>
      <w:r>
        <w:t xml:space="preserve">Enterprise</w:t>
      </w:r>
      <w:r>
        <w:t xml:space="preserve">.</w:t>
      </w:r>
      <w:r>
        <w:t xml:space="preserve"> </w:t>
      </w:r>
      <w:hyperlink r:id="rId141">
        <w:r>
          <w:rPr>
            <w:rStyle w:val="Hyperlink"/>
          </w:rPr>
          <w:t xml:space="preserve">https://opencode.ai/docs/enterprise/</w:t>
        </w:r>
      </w:hyperlink>
      <w:r>
        <w:t xml:space="preserve">, accessed September 17, 2026b.</w:t>
      </w:r>
    </w:p>
    <w:bookmarkEnd w:id="142"/>
    <w:bookmarkStart w:id="144" w:name="ref-OpenCodeRules2026"/>
    <w:p>
      <w:pPr>
        <w:pStyle w:val="Bibliography"/>
      </w:pPr>
      <w:r>
        <w:t xml:space="preserve">OpenCode.</w:t>
      </w:r>
      <w:r>
        <w:t xml:space="preserve"> </w:t>
      </w:r>
      <w:r>
        <w:t xml:space="preserve">Rules</w:t>
      </w:r>
      <w:r>
        <w:t xml:space="preserve">.</w:t>
      </w:r>
      <w:r>
        <w:t xml:space="preserve"> </w:t>
      </w:r>
      <w:hyperlink r:id="rId143">
        <w:r>
          <w:rPr>
            <w:rStyle w:val="Hyperlink"/>
          </w:rPr>
          <w:t xml:space="preserve">https://opencode.ai/docs/rules/</w:t>
        </w:r>
      </w:hyperlink>
      <w:r>
        <w:t xml:space="preserve">, accessed September 17, 2026c.</w:t>
      </w:r>
    </w:p>
    <w:bookmarkEnd w:id="144"/>
    <w:bookmarkStart w:id="146" w:name="ref-Pick2026"/>
    <w:p>
      <w:pPr>
        <w:pStyle w:val="Bibliography"/>
      </w:pPr>
      <w:r>
        <w:t xml:space="preserve">Pick, Joel L., Bethany J. Allen, Benedicte Bachelot, Kevin R. Bairos-Novak, Jack A. Brand, Barbara Class, Tad Dallas, et al. 2026. The</w:t>
      </w:r>
      <w:r>
        <w:t xml:space="preserve"> </w:t>
      </w:r>
      <w:r>
        <w:t xml:space="preserve">SORTEE</w:t>
      </w:r>
      <w:r>
        <w:t xml:space="preserve"> </w:t>
      </w:r>
      <w:r>
        <w:t xml:space="preserve">Guidelines for Data and Code Quality Control in Ecology and Evolutionary Biology.</w:t>
      </w:r>
      <w:r>
        <w:t xml:space="preserve"> </w:t>
      </w:r>
      <w:r>
        <w:rPr>
          <w:iCs/>
          <w:i/>
        </w:rPr>
        <w:t xml:space="preserve">Peer Community Journal</w:t>
      </w:r>
      <w:r>
        <w:t xml:space="preserve"> </w:t>
      </w:r>
      <w:r>
        <w:t xml:space="preserve">6.</w:t>
      </w:r>
      <w:r>
        <w:t xml:space="preserve"> </w:t>
      </w:r>
      <w:hyperlink r:id="rId145">
        <w:r>
          <w:rPr>
            <w:rStyle w:val="Hyperlink"/>
          </w:rPr>
          <w:t xml:space="preserve">https://doi.org/10.24072/pcjournal.687</w:t>
        </w:r>
      </w:hyperlink>
      <w:r>
        <w:t xml:space="preserve">.</w:t>
      </w:r>
    </w:p>
    <w:bookmarkEnd w:id="146"/>
    <w:bookmarkStart w:id="148"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47">
        <w:r>
          <w:rPr>
            <w:rStyle w:val="Hyperlink"/>
          </w:rPr>
          <w:t xml:space="preserve">https://doi.org/10.1017/chr.2026.10039</w:t>
        </w:r>
      </w:hyperlink>
      <w:r>
        <w:t xml:space="preserve">.</w:t>
      </w:r>
    </w:p>
    <w:bookmarkEnd w:id="148"/>
    <w:bookmarkStart w:id="150" w:name="ref-QuartoDocs2026"/>
    <w:p>
      <w:pPr>
        <w:pStyle w:val="Bibliography"/>
      </w:pPr>
      <w:r>
        <w:t xml:space="preserve">Quarto.</w:t>
      </w:r>
      <w:r>
        <w:t xml:space="preserve"> </w:t>
      </w:r>
      <w:r>
        <w:t xml:space="preserve">Tutorial: Hello, Quarto</w:t>
      </w:r>
      <w:r>
        <w:t xml:space="preserve">.</w:t>
      </w:r>
      <w:r>
        <w:t xml:space="preserve"> </w:t>
      </w:r>
      <w:hyperlink r:id="rId149">
        <w:r>
          <w:rPr>
            <w:rStyle w:val="Hyperlink"/>
          </w:rPr>
          <w:t xml:space="preserve">https://quarto.org/docs/get-started/hello/rstudio.html</w:t>
        </w:r>
      </w:hyperlink>
      <w:r>
        <w:t xml:space="preserve">, accessed September 17, 2026a.</w:t>
      </w:r>
    </w:p>
    <w:bookmarkEnd w:id="150"/>
    <w:bookmarkStart w:id="152" w:name="ref-QuartoFAQ2026"/>
    <w:p>
      <w:pPr>
        <w:pStyle w:val="Bibliography"/>
      </w:pPr>
      <w:r>
        <w:t xml:space="preserve">Quarto.</w:t>
      </w:r>
      <w:r>
        <w:t xml:space="preserve"> </w:t>
      </w:r>
      <w:r>
        <w:t xml:space="preserve">FAQ</w:t>
      </w:r>
      <w:r>
        <w:t xml:space="preserve"> </w:t>
      </w:r>
      <w:r>
        <w:t xml:space="preserve">for</w:t>
      </w:r>
      <w:r>
        <w:t xml:space="preserve"> </w:t>
      </w:r>
      <w:r>
        <w:t xml:space="preserve">R</w:t>
      </w:r>
      <w:r>
        <w:t xml:space="preserve"> </w:t>
      </w:r>
      <w:r>
        <w:t xml:space="preserve">Markdown</w:t>
      </w:r>
      <w:r>
        <w:t xml:space="preserve"> </w:t>
      </w:r>
      <w:r>
        <w:t xml:space="preserve">Users.</w:t>
      </w:r>
      <w:r>
        <w:t xml:space="preserve"> </w:t>
      </w:r>
      <w:hyperlink r:id="rId151">
        <w:r>
          <w:rPr>
            <w:rStyle w:val="Hyperlink"/>
          </w:rPr>
          <w:t xml:space="preserve">https://quarto.org/docs/faq/rmarkdown.html</w:t>
        </w:r>
      </w:hyperlink>
      <w:r>
        <w:t xml:space="preserve">, accessed September 18, 2026b.</w:t>
      </w:r>
    </w:p>
    <w:bookmarkEnd w:id="152"/>
    <w:bookmarkStart w:id="154" w:name="ref-Ram2013"/>
    <w:p>
      <w:pPr>
        <w:pStyle w:val="Bibliography"/>
      </w:pPr>
      <w:r>
        <w:t xml:space="preserve">Ram, Karthik. 2013. Git Can Facilitate Greater Reproducibility and Increased Transparency in Science.</w:t>
      </w:r>
      <w:r>
        <w:t xml:space="preserve"> </w:t>
      </w:r>
      <w:r>
        <w:rPr>
          <w:iCs/>
          <w:i/>
        </w:rPr>
        <w:t xml:space="preserve">Source Code for Biology and Medicine</w:t>
      </w:r>
      <w:r>
        <w:t xml:space="preserve"> </w:t>
      </w:r>
      <w:r>
        <w:t xml:space="preserve">8(1):7.</w:t>
      </w:r>
      <w:r>
        <w:t xml:space="preserve"> </w:t>
      </w:r>
      <w:hyperlink r:id="rId153">
        <w:r>
          <w:rPr>
            <w:rStyle w:val="Hyperlink"/>
          </w:rPr>
          <w:t xml:space="preserve">https://doi.org/10.1186/1751-0473-8-7</w:t>
        </w:r>
      </w:hyperlink>
      <w:r>
        <w:t xml:space="preserve">.</w:t>
      </w:r>
    </w:p>
    <w:bookmarkEnd w:id="154"/>
    <w:bookmarkStart w:id="156"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5">
        <w:r>
          <w:rPr>
            <w:rStyle w:val="Hyperlink"/>
          </w:rPr>
          <w:t xml:space="preserve">https://doi.org/10.1111/2041-210X.14341</w:t>
        </w:r>
      </w:hyperlink>
      <w:r>
        <w:t xml:space="preserve">.</w:t>
      </w:r>
    </w:p>
    <w:bookmarkEnd w:id="156"/>
    <w:bookmarkStart w:id="158"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57">
        <w:r>
          <w:rPr>
            <w:rStyle w:val="Hyperlink"/>
          </w:rPr>
          <w:t xml:space="preserve">https://doi.org/10.1080/20548923.2025.2564519</w:t>
        </w:r>
      </w:hyperlink>
      <w:r>
        <w:t xml:space="preserve">.</w:t>
      </w:r>
    </w:p>
    <w:bookmarkEnd w:id="158"/>
    <w:bookmarkStart w:id="160"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59">
        <w:r>
          <w:rPr>
            <w:rStyle w:val="Hyperlink"/>
          </w:rPr>
          <w:t xml:space="preserve">https://doi.org/10.1093/biosci/biaf169</w:t>
        </w:r>
      </w:hyperlink>
      <w:r>
        <w:t xml:space="preserve">.</w:t>
      </w:r>
    </w:p>
    <w:bookmarkEnd w:id="160"/>
    <w:bookmarkStart w:id="162" w:name="ref-Steegen2016"/>
    <w:p>
      <w:pPr>
        <w:pStyle w:val="Bibliography"/>
      </w:pPr>
      <w:r>
        <w:t xml:space="preserve">Steegen, Sara, Francis Tuerlinckx, Andrew Gelman, and Wolf Vanpaemel. 2016. Increasing Transparency Through a</w:t>
      </w:r>
      <w:r>
        <w:t xml:space="preserve"> </w:t>
      </w:r>
      <w:r>
        <w:t xml:space="preserve">Multiverse Analysis</w:t>
      </w:r>
      <w:r>
        <w:t xml:space="preserve">.</w:t>
      </w:r>
      <w:r>
        <w:t xml:space="preserve"> </w:t>
      </w:r>
      <w:r>
        <w:rPr>
          <w:iCs/>
          <w:i/>
        </w:rPr>
        <w:t xml:space="preserve">Perspectives on Psychological Science</w:t>
      </w:r>
      <w:r>
        <w:t xml:space="preserve"> </w:t>
      </w:r>
      <w:r>
        <w:t xml:space="preserve">11(5):702–712.</w:t>
      </w:r>
      <w:r>
        <w:t xml:space="preserve"> </w:t>
      </w:r>
      <w:hyperlink r:id="rId161">
        <w:r>
          <w:rPr>
            <w:rStyle w:val="Hyperlink"/>
          </w:rPr>
          <w:t xml:space="preserve">https://doi.org/10.1177/1745691616658637</w:t>
        </w:r>
      </w:hyperlink>
      <w:r>
        <w:t xml:space="preserve">.</w:t>
      </w:r>
    </w:p>
    <w:bookmarkEnd w:id="162"/>
    <w:bookmarkStart w:id="164" w:name="ref-Syme2026"/>
    <w:p>
      <w:pPr>
        <w:pStyle w:val="Bibliography"/>
      </w:pPr>
      <w:r>
        <w:t xml:space="preserve">Syme, Kristen L., Nikos Motos, and Caitlyn D. Placek. 2026. Generating Units of Cultural Analysis with Large Language Models: Methods and Validation for Scalable Cross-Cultural Research.</w:t>
      </w:r>
      <w:r>
        <w:t xml:space="preserve"> </w:t>
      </w:r>
      <w:r>
        <w:rPr>
          <w:iCs/>
          <w:i/>
        </w:rPr>
        <w:t xml:space="preserve">Royal Society Open Science</w:t>
      </w:r>
      <w:r>
        <w:t xml:space="preserve"> </w:t>
      </w:r>
      <w:r>
        <w:t xml:space="preserve">13(2):251766.</w:t>
      </w:r>
      <w:r>
        <w:t xml:space="preserve"> </w:t>
      </w:r>
      <w:hyperlink r:id="rId163">
        <w:r>
          <w:rPr>
            <w:rStyle w:val="Hyperlink"/>
          </w:rPr>
          <w:t xml:space="preserve">https://doi.org/10.1098/rsos.251766</w:t>
        </w:r>
      </w:hyperlink>
      <w:r>
        <w:t xml:space="preserve">.</w:t>
      </w:r>
    </w:p>
    <w:bookmarkEnd w:id="164"/>
    <w:bookmarkStart w:id="166" w:name="ref-Taylor2023"/>
    <w:p>
      <w:pPr>
        <w:pStyle w:val="Bibliography"/>
      </w:pPr>
      <w:r>
        <w:t xml:space="preserve">Taylor, Matthew E. 2023.</w:t>
      </w:r>
      <w:r>
        <w:t xml:space="preserve"> </w:t>
      </w:r>
      <w:hyperlink r:id="rId165">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6"/>
    <w:bookmarkStart w:id="168"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7">
        <w:r>
          <w:rPr>
            <w:rStyle w:val="Hyperlink"/>
          </w:rPr>
          <w:t xml:space="preserve">https://doi.org/10.11141/ia.67.8</w:t>
        </w:r>
      </w:hyperlink>
      <w:r>
        <w:t xml:space="preserve">.</w:t>
      </w:r>
    </w:p>
    <w:bookmarkEnd w:id="168"/>
    <w:bookmarkStart w:id="170" w:name="ref-Vaithilingam2022"/>
    <w:p>
      <w:pPr>
        <w:pStyle w:val="Bibliography"/>
      </w:pPr>
      <w:r>
        <w:t xml:space="preserve">Vaithilingam, Priyan, Tianyi Zhang, and Elena L. Glassman. 2022.</w:t>
      </w:r>
      <w:r>
        <w:t xml:space="preserve"> </w:t>
      </w:r>
      <w:hyperlink r:id="rId169">
        <w:r>
          <w:rPr>
            <w:rStyle w:val="Hyperlink"/>
          </w:rPr>
          <w:t xml:space="preserve">Expectation Vs. Experience: Evaluating the Usability of Code Generation Tools Powered by Large Language Models</w:t>
        </w:r>
      </w:hyperlink>
      <w:r>
        <w:t xml:space="preserve">, pp. 1–7.</w:t>
      </w:r>
    </w:p>
    <w:bookmarkEnd w:id="170"/>
    <w:bookmarkStart w:id="172"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71">
        <w:r>
          <w:rPr>
            <w:rStyle w:val="Hyperlink"/>
          </w:rPr>
          <w:t xml:space="preserve">https://doi.org/10.1038/s41598-023-41032-5</w:t>
        </w:r>
      </w:hyperlink>
      <w:r>
        <w:t xml:space="preserve">.</w:t>
      </w:r>
    </w:p>
    <w:bookmarkEnd w:id="172"/>
    <w:bookmarkStart w:id="174" w:name="ref-Wells2026"/>
    <w:p>
      <w:pPr>
        <w:pStyle w:val="Bibliography"/>
      </w:pPr>
      <w:r>
        <w:t xml:space="preserve">Wells, Joshua J., Neha Gupta, and Kelsey Noack Myers. 2026. Is Archaeological Data Labor Sustainable? Only Through Ethical and Policy Reforms, Open Data Emphases on Public Engagement, and Indigenous Data Sovereignty.</w:t>
      </w:r>
      <w:r>
        <w:t xml:space="preserve"> </w:t>
      </w:r>
      <w:r>
        <w:rPr>
          <w:iCs/>
          <w:i/>
        </w:rPr>
        <w:t xml:space="preserve">Advances in Archaeological Practice</w:t>
      </w:r>
      <w:r>
        <w:t xml:space="preserve">:1–23.</w:t>
      </w:r>
      <w:r>
        <w:t xml:space="preserve"> </w:t>
      </w:r>
      <w:hyperlink r:id="rId173">
        <w:r>
          <w:rPr>
            <w:rStyle w:val="Hyperlink"/>
          </w:rPr>
          <w:t xml:space="preserve">https://doi.org/10.1017/aap.2026.10164</w:t>
        </w:r>
      </w:hyperlink>
      <w:r>
        <w:t xml:space="preserve">.</w:t>
      </w:r>
    </w:p>
    <w:bookmarkEnd w:id="174"/>
    <w:bookmarkStart w:id="176"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5">
        <w:r>
          <w:rPr>
            <w:rStyle w:val="Hyperlink"/>
          </w:rPr>
          <w:t xml:space="preserve">https://doi.org/10.21105/joss.01686</w:t>
        </w:r>
      </w:hyperlink>
      <w:r>
        <w:t xml:space="preserve">.</w:t>
      </w:r>
    </w:p>
    <w:bookmarkEnd w:id="176"/>
    <w:bookmarkStart w:id="178" w:name="ref-Wilkinson2016"/>
    <w:p>
      <w:pPr>
        <w:pStyle w:val="Bibliography"/>
      </w:pPr>
      <w:r>
        <w:t xml:space="preserve">Wilkinson, Mark D., Michel Dumontier, IJsbrand Jan Aalbersberg, Gabrielle Appleton, Myles Axton, Arie Baak, Niklas Blomberg, et al. 2016. The</w:t>
      </w:r>
      <w:r>
        <w:t xml:space="preserve"> </w:t>
      </w:r>
      <w:r>
        <w:t xml:space="preserve">FAIR</w:t>
      </w:r>
      <w:r>
        <w:t xml:space="preserve"> </w:t>
      </w:r>
      <w:r>
        <w:t xml:space="preserve">Guiding Principles for Scientific Data Management and Stewardship.</w:t>
      </w:r>
      <w:r>
        <w:t xml:space="preserve"> </w:t>
      </w:r>
      <w:r>
        <w:rPr>
          <w:iCs/>
          <w:i/>
        </w:rPr>
        <w:t xml:space="preserve">Scientific Data</w:t>
      </w:r>
      <w:r>
        <w:t xml:space="preserve"> </w:t>
      </w:r>
      <w:r>
        <w:t xml:space="preserve">3(1):160018.</w:t>
      </w:r>
      <w:r>
        <w:t xml:space="preserve"> </w:t>
      </w:r>
      <w:hyperlink r:id="rId177">
        <w:r>
          <w:rPr>
            <w:rStyle w:val="Hyperlink"/>
          </w:rPr>
          <w:t xml:space="preserve">https://doi.org/10.1038/sdata.2016.18</w:t>
        </w:r>
      </w:hyperlink>
      <w:r>
        <w:t xml:space="preserve">.</w:t>
      </w:r>
    </w:p>
    <w:bookmarkEnd w:id="178"/>
    <w:bookmarkStart w:id="180"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79">
        <w:r>
          <w:rPr>
            <w:rStyle w:val="Hyperlink"/>
          </w:rPr>
          <w:t xml:space="preserve">https://doi.org/10.1371/journal.pbio.1001745</w:t>
        </w:r>
      </w:hyperlink>
      <w:r>
        <w:t xml:space="preserve">.</w:t>
      </w:r>
    </w:p>
    <w:bookmarkEnd w:id="180"/>
    <w:bookmarkStart w:id="182"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81">
        <w:r>
          <w:rPr>
            <w:rStyle w:val="Hyperlink"/>
          </w:rPr>
          <w:t xml:space="preserve">https://doi.org/10.48550/arXiv.2602.12430</w:t>
        </w:r>
      </w:hyperlink>
      <w:r>
        <w:t xml:space="preserve">.</w:t>
      </w:r>
    </w:p>
    <w:bookmarkEnd w:id="182"/>
    <w:bookmarkStart w:id="184"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83">
        <w:r>
          <w:rPr>
            <w:rStyle w:val="Hyperlink"/>
          </w:rPr>
          <w:t xml:space="preserve">https://doi.org/10.1613/jair.1.11345</w:t>
        </w:r>
      </w:hyperlink>
      <w:r>
        <w:t xml:space="preserve">.</w:t>
      </w:r>
    </w:p>
    <w:bookmarkEnd w:id="184"/>
    <w:bookmarkStart w:id="186" w:name="ref-Zhu2024"/>
    <w:p>
      <w:pPr>
        <w:pStyle w:val="Bibliography"/>
      </w:pPr>
      <w:r>
        <w:t xml:space="preserve">Zhu, Yizhang, Shiyin Du, Boyan Li, Yuyu Luo, and Nan Tang. 2024. Are</w:t>
      </w:r>
      <w:r>
        <w:t xml:space="preserve"> </w:t>
      </w:r>
      <w:r>
        <w:t xml:space="preserve">Large Language Models</w:t>
      </w:r>
      <w:r>
        <w:t xml:space="preserve"> </w:t>
      </w:r>
      <w:r>
        <w:t xml:space="preserve">Good Statisticians?</w:t>
      </w:r>
      <w:r>
        <w:t xml:space="preserve"> </w:t>
      </w:r>
      <w:r>
        <w:rPr>
          <w:iCs/>
          <w:i/>
        </w:rPr>
        <w:t xml:space="preserve">arXiv.org</w:t>
      </w:r>
      <w:r>
        <w:t xml:space="preserve">.</w:t>
      </w:r>
      <w:r>
        <w:t xml:space="preserve"> </w:t>
      </w:r>
      <w:hyperlink r:id="rId185">
        <w:r>
          <w:rPr>
            <w:rStyle w:val="Hyperlink"/>
          </w:rPr>
          <w:t xml:space="preserve">https://doi.org/10.48550/arXiv.2406.07815</w:t>
        </w:r>
      </w:hyperlink>
      <w:r>
        <w:t xml:space="preserve">.</w:t>
      </w:r>
    </w:p>
    <w:bookmarkEnd w:id="186"/>
    <w:bookmarkStart w:id="188"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7">
        <w:r>
          <w:rPr>
            <w:rStyle w:val="Hyperlink"/>
          </w:rPr>
          <w:t xml:space="preserve">https://doi.org/10.1162/coli_a_00502</w:t>
        </w:r>
      </w:hyperlink>
      <w:r>
        <w:t xml:space="preserve">.</w:t>
      </w:r>
    </w:p>
    <w:bookmarkEnd w:id="188"/>
    <w:bookmarkStart w:id="190"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89">
        <w:r>
          <w:rPr>
            <w:rStyle w:val="Hyperlink"/>
          </w:rPr>
          <w:t xml:space="preserve">https://doi.org/10.48550/arXiv.2603.15914</w:t>
        </w:r>
      </w:hyperlink>
      <w:r>
        <w:t xml:space="preserve">.</w:t>
      </w:r>
    </w:p>
    <w:bookmarkEnd w:id="190"/>
    <w:bookmarkEnd w:id="191"/>
    <w:p>
      <w:r>
        <w:br w:type="page"/>
      </w:r>
    </w:p>
    <w:bookmarkStart w:id="192" w:name="colophon"/>
    <w:p>
      <w:pPr>
        <w:pStyle w:val="Heading3"/>
      </w:pPr>
      <w:r>
        <w:t xml:space="preserve">Colophon</w:t>
      </w:r>
    </w:p>
    <w:p>
      <w:pPr>
        <w:pStyle w:val="FirstParagraph"/>
      </w:pPr>
      <w:r>
        <w:t xml:space="preserve">This report was generated on 2026-09-17 11:09:09.165605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2026-09-17</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renv          1.2.4   2026-08-03 [1] RSPM (R 4.6.0)</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0.60    2026-07-09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/Users/bmarwick/Library/Caches/org.R-project.R/R/renv/sandbox/macos/R-4.6/aarch64-apple-darwin23/46003b10</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[bcf1ba5] 2026-09-17: update text</w:t>
      </w:r>
    </w:p>
    <w:bookmarkEnd w:id="192"/>
    <w:bookmarkEnd w:id="19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53" Target="https://aider.chat/docs/usage.html" TargetMode="External" /><Relationship Type="http://schemas.openxmlformats.org/officeDocument/2006/relationships/hyperlink" Id="rId99" Target="https://doi.org/10.1007/978-3-032-02049-9_6" TargetMode="External" /><Relationship Type="http://schemas.openxmlformats.org/officeDocument/2006/relationships/hyperlink" Id="rId129" Target="https://doi.org/10.1007/s10816-015-9272-9" TargetMode="External" /><Relationship Type="http://schemas.openxmlformats.org/officeDocument/2006/relationships/hyperlink" Id="rId85" Target="https://doi.org/10.1007/s12599-023-00834-7" TargetMode="External" /><Relationship Type="http://schemas.openxmlformats.org/officeDocument/2006/relationships/hyperlink" Id="rId97" Target="https://doi.org/10.1016/j.sftr.2025.101152" TargetMode="External" /><Relationship Type="http://schemas.openxmlformats.org/officeDocument/2006/relationships/hyperlink" Id="rId103" Target="https://doi.org/10.1017/aap.2018.1" TargetMode="External" /><Relationship Type="http://schemas.openxmlformats.org/officeDocument/2006/relationships/hyperlink" Id="rId93" Target="https://doi.org/10.1017/aap.2022.33" TargetMode="External" /><Relationship Type="http://schemas.openxmlformats.org/officeDocument/2006/relationships/hyperlink" Id="rId173" Target="https://doi.org/10.1017/aap.2026.10164" TargetMode="External" /><Relationship Type="http://schemas.openxmlformats.org/officeDocument/2006/relationships/hyperlink" Id="rId147" Target="https://doi.org/10.1017/chr.2026.10039" TargetMode="External" /><Relationship Type="http://schemas.openxmlformats.org/officeDocument/2006/relationships/hyperlink" Id="rId131" Target="https://doi.org/10.1038/s41586-024-07146-0" TargetMode="External" /><Relationship Type="http://schemas.openxmlformats.org/officeDocument/2006/relationships/hyperlink" Id="rId123" Target="https://doi.org/10.1038/s41586-026-10265-5" TargetMode="External" /><Relationship Type="http://schemas.openxmlformats.org/officeDocument/2006/relationships/hyperlink" Id="rId171" Target="https://doi.org/10.1038/s41598-023-41032-5" TargetMode="External" /><Relationship Type="http://schemas.openxmlformats.org/officeDocument/2006/relationships/hyperlink" Id="rId91" Target="https://doi.org/10.1038/s44185-024-00043-9" TargetMode="External" /><Relationship Type="http://schemas.openxmlformats.org/officeDocument/2006/relationships/hyperlink" Id="rId177" Target="https://doi.org/10.1038/sdata.2016.18" TargetMode="External" /><Relationship Type="http://schemas.openxmlformats.org/officeDocument/2006/relationships/hyperlink" Id="rId95" Target="https://doi.org/10.1057/s41599-026-08832-2" TargetMode="External" /><Relationship Type="http://schemas.openxmlformats.org/officeDocument/2006/relationships/hyperlink" Id="rId89" Target="https://doi.org/10.1073/pnas.2305016120" TargetMode="External" /><Relationship Type="http://schemas.openxmlformats.org/officeDocument/2006/relationships/hyperlink" Id="rId61" Target="https://doi.org/10.1073/pnas.2606495123" TargetMode="External" /><Relationship Type="http://schemas.openxmlformats.org/officeDocument/2006/relationships/hyperlink" Id="rId107" Target="https://doi.org/10.1080/00187259.2026.2714301" TargetMode="External" /><Relationship Type="http://schemas.openxmlformats.org/officeDocument/2006/relationships/hyperlink" Id="rId137" Target="https://doi.org/10.1080/00934690.2018.1428488" TargetMode="External" /><Relationship Type="http://schemas.openxmlformats.org/officeDocument/2006/relationships/hyperlink" Id="rId87" Target="https://doi.org/10.1080/10584609.2023.2290497" TargetMode="External" /><Relationship Type="http://schemas.openxmlformats.org/officeDocument/2006/relationships/hyperlink" Id="rId157" Target="https://doi.org/10.1080/20548923.2025.2564519" TargetMode="External" /><Relationship Type="http://schemas.openxmlformats.org/officeDocument/2006/relationships/hyperlink" Id="rId159" Target="https://doi.org/10.1093/biosci/biaf169" TargetMode="External" /><Relationship Type="http://schemas.openxmlformats.org/officeDocument/2006/relationships/hyperlink" Id="rId81" Target="https://doi.org/10.1093/jmammal/gyaf082" TargetMode="External" /><Relationship Type="http://schemas.openxmlformats.org/officeDocument/2006/relationships/hyperlink" Id="rId163" Target="https://doi.org/10.1098/rsos.251766" TargetMode="External" /><Relationship Type="http://schemas.openxmlformats.org/officeDocument/2006/relationships/hyperlink" Id="rId77" Target="https://doi.org/10.1111/2041-210X.14325" TargetMode="External" /><Relationship Type="http://schemas.openxmlformats.org/officeDocument/2006/relationships/hyperlink" Id="rId155" Target="https://doi.org/10.1111/2041-210X.14341" TargetMode="External" /><Relationship Type="http://schemas.openxmlformats.org/officeDocument/2006/relationships/hyperlink" Id="rId73" Target="https://doi.org/10.1111/2041-210X.14396" TargetMode="External" /><Relationship Type="http://schemas.openxmlformats.org/officeDocument/2006/relationships/hyperlink" Id="rId109" Target="https://doi.org/10.1111/2041-210x.14397" TargetMode="External" /><Relationship Type="http://schemas.openxmlformats.org/officeDocument/2006/relationships/hyperlink" Id="rId127" Target="https://doi.org/10.1111/2041-210x.14398" TargetMode="External" /><Relationship Type="http://schemas.openxmlformats.org/officeDocument/2006/relationships/hyperlink" Id="rId71" Target="https://doi.org/10.1111/2041-210x.70267" TargetMode="External" /><Relationship Type="http://schemas.openxmlformats.org/officeDocument/2006/relationships/hyperlink" Id="rId117" Target="https://doi.org/10.1111/2041-210x.70403" TargetMode="External" /><Relationship Type="http://schemas.openxmlformats.org/officeDocument/2006/relationships/hyperlink" Id="rId69" Target="https://doi.org/10.1111/faf.70079" TargetMode="External" /><Relationship Type="http://schemas.openxmlformats.org/officeDocument/2006/relationships/hyperlink" Id="rId167" Target="https://doi.org/10.11141/ia.67.8" TargetMode="External" /><Relationship Type="http://schemas.openxmlformats.org/officeDocument/2006/relationships/hyperlink" Id="rId113" Target="https://doi.org/10.11141/ia.71.15" TargetMode="External" /><Relationship Type="http://schemas.openxmlformats.org/officeDocument/2006/relationships/hyperlink" Id="rId83" Target="https://doi.org/10.1145/2467696.2467712" TargetMode="External" /><Relationship Type="http://schemas.openxmlformats.org/officeDocument/2006/relationships/hyperlink" Id="rId169" Target="https://doi.org/10.1145/3491101.3519665" TargetMode="External" /><Relationship Type="http://schemas.openxmlformats.org/officeDocument/2006/relationships/hyperlink" Id="rId125" Target="https://doi.org/10.1145/3630106.3658542" TargetMode="External" /><Relationship Type="http://schemas.openxmlformats.org/officeDocument/2006/relationships/hyperlink" Id="rId101" Target="https://doi.org/10.1145/3796519" TargetMode="External" /><Relationship Type="http://schemas.openxmlformats.org/officeDocument/2006/relationships/hyperlink" Id="rId51" Target="https://doi.org/10.1146/annurev-soc-011824-104836" TargetMode="External" /><Relationship Type="http://schemas.openxmlformats.org/officeDocument/2006/relationships/hyperlink" Id="rId187" Target="https://doi.org/10.1162/coli_a_00502" TargetMode="External" /><Relationship Type="http://schemas.openxmlformats.org/officeDocument/2006/relationships/hyperlink" Id="rId161" Target="https://doi.org/10.1177/1745691616658637" TargetMode="External" /><Relationship Type="http://schemas.openxmlformats.org/officeDocument/2006/relationships/hyperlink" Id="rId49" Target="https://doi.org/10.1177/25152459251325174" TargetMode="External" /><Relationship Type="http://schemas.openxmlformats.org/officeDocument/2006/relationships/hyperlink" Id="rId153" Target="https://doi.org/10.1186/1751-0473-8-7" TargetMode="External" /><Relationship Type="http://schemas.openxmlformats.org/officeDocument/2006/relationships/hyperlink" Id="rId115" Target="https://doi.org/10.1257/jel.20231736" TargetMode="External" /><Relationship Type="http://schemas.openxmlformats.org/officeDocument/2006/relationships/hyperlink" Id="rId79" Target="https://doi.org/10.1287/orsc.2025.21838" TargetMode="External" /><Relationship Type="http://schemas.openxmlformats.org/officeDocument/2006/relationships/hyperlink" Id="rId179" Target="https://doi.org/10.1371/journal.pbio.1001745" TargetMode="External" /><Relationship Type="http://schemas.openxmlformats.org/officeDocument/2006/relationships/hyperlink" Id="rId63" Target="https://doi.org/10.1371/journal.pcbi.1004668" TargetMode="External" /><Relationship Type="http://schemas.openxmlformats.org/officeDocument/2006/relationships/hyperlink" Id="rId65" Target="https://doi.org/10.1371/journal.pcbi.1014428" TargetMode="External" /><Relationship Type="http://schemas.openxmlformats.org/officeDocument/2006/relationships/hyperlink" Id="rId183" Target="https://doi.org/10.1613/jair.1.11345" TargetMode="External" /><Relationship Type="http://schemas.openxmlformats.org/officeDocument/2006/relationships/hyperlink" Id="rId175" Target="https://doi.org/10.21105/joss.01686" TargetMode="External" /><Relationship Type="http://schemas.openxmlformats.org/officeDocument/2006/relationships/hyperlink" Id="rId135" Target="https://doi.org/10.2139/ssrn.7011058" TargetMode="External" /><Relationship Type="http://schemas.openxmlformats.org/officeDocument/2006/relationships/hyperlink" Id="rId121" Target="https://doi.org/10.2196/51584" TargetMode="External" /><Relationship Type="http://schemas.openxmlformats.org/officeDocument/2006/relationships/hyperlink" Id="rId145" Target="https://doi.org/10.24072/pcjournal.687" TargetMode="External" /><Relationship Type="http://schemas.openxmlformats.org/officeDocument/2006/relationships/hyperlink" Id="rId165" Target="https://doi.org/10.3233/faia230098" TargetMode="External" /><Relationship Type="http://schemas.openxmlformats.org/officeDocument/2006/relationships/hyperlink" Id="rId59" Target="https://doi.org/10.4337/9781802204131.00014" TargetMode="External" /><Relationship Type="http://schemas.openxmlformats.org/officeDocument/2006/relationships/hyperlink" Id="rId111" Target="https://doi.org/10.4337/9781802204131.00019" TargetMode="External" /><Relationship Type="http://schemas.openxmlformats.org/officeDocument/2006/relationships/hyperlink" Id="rId185" Target="https://doi.org/10.48550/arXiv.2406.07815" TargetMode="External" /><Relationship Type="http://schemas.openxmlformats.org/officeDocument/2006/relationships/hyperlink" Id="rId119" Target="https://doi.org/10.48550/arXiv.2505.06120" TargetMode="External" /><Relationship Type="http://schemas.openxmlformats.org/officeDocument/2006/relationships/hyperlink" Id="rId181" Target="https://doi.org/10.48550/arXiv.2602.12430" TargetMode="External" /><Relationship Type="http://schemas.openxmlformats.org/officeDocument/2006/relationships/hyperlink" Id="rId189" Target="https://doi.org/10.48550/arXiv.2603.15914" TargetMode="External" /><Relationship Type="http://schemas.openxmlformats.org/officeDocument/2006/relationships/hyperlink" Id="rId133" Target="https://doi.org/10.48550/arXiv.2607.01507" TargetMode="External" /><Relationship Type="http://schemas.openxmlformats.org/officeDocument/2006/relationships/hyperlink" Id="rId75" Target="https://doi.org/10.5334/dsj-2020-043" TargetMode="External" /><Relationship Type="http://schemas.openxmlformats.org/officeDocument/2006/relationships/hyperlink" Id="rId105" Target="https://doi.org/10.5744/florida/9780813069302.003.0013" TargetMode="External" /><Relationship Type="http://schemas.openxmlformats.org/officeDocument/2006/relationships/hyperlink" Id="rId141" Target="https://opencode.ai/docs/enterprise/" TargetMode="External" /><Relationship Type="http://schemas.openxmlformats.org/officeDocument/2006/relationships/hyperlink" Id="rId139" Target="https://opencode.ai/docs/permissions/" TargetMode="External" /><Relationship Type="http://schemas.openxmlformats.org/officeDocument/2006/relationships/hyperlink" Id="rId143" Target="https://opencode.ai/docs/rules/" TargetMode="External" /><Relationship Type="http://schemas.openxmlformats.org/officeDocument/2006/relationships/hyperlink" Id="rId151" Target="https://quarto.org/docs/faq/rmarkdown.html" TargetMode="External" /><Relationship Type="http://schemas.openxmlformats.org/officeDocument/2006/relationships/hyperlink" Id="rId149" Target="https://quarto.org/docs/get-started/hello/rstudio.html" TargetMode="External" /><Relationship Type="http://schemas.openxmlformats.org/officeDocument/2006/relationships/hyperlink" Id="rId57" Target="https://www.anthropic.com/engineering/equipping-agents-for-the-real-world-with-agent-skills" TargetMode="External" /><Relationship Type="http://schemas.openxmlformats.org/officeDocument/2006/relationships/hyperlink" Id="rId55" Target="https://www.anthropic.com/research/model-context-protocol" TargetMode="External" /><Relationship Type="http://schemas.openxmlformats.org/officeDocument/2006/relationships/hyperlink" Id="rId67"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53" Target="https://aider.chat/docs/usage.html" TargetMode="External" /><Relationship Type="http://schemas.openxmlformats.org/officeDocument/2006/relationships/hyperlink" Id="rId99" Target="https://doi.org/10.1007/978-3-032-02049-9_6" TargetMode="External" /><Relationship Type="http://schemas.openxmlformats.org/officeDocument/2006/relationships/hyperlink" Id="rId129" Target="https://doi.org/10.1007/s10816-015-9272-9" TargetMode="External" /><Relationship Type="http://schemas.openxmlformats.org/officeDocument/2006/relationships/hyperlink" Id="rId85" Target="https://doi.org/10.1007/s12599-023-00834-7" TargetMode="External" /><Relationship Type="http://schemas.openxmlformats.org/officeDocument/2006/relationships/hyperlink" Id="rId97" Target="https://doi.org/10.1016/j.sftr.2025.101152" TargetMode="External" /><Relationship Type="http://schemas.openxmlformats.org/officeDocument/2006/relationships/hyperlink" Id="rId103" Target="https://doi.org/10.1017/aap.2018.1" TargetMode="External" /><Relationship Type="http://schemas.openxmlformats.org/officeDocument/2006/relationships/hyperlink" Id="rId93" Target="https://doi.org/10.1017/aap.2022.33" TargetMode="External" /><Relationship Type="http://schemas.openxmlformats.org/officeDocument/2006/relationships/hyperlink" Id="rId173" Target="https://doi.org/10.1017/aap.2026.10164" TargetMode="External" /><Relationship Type="http://schemas.openxmlformats.org/officeDocument/2006/relationships/hyperlink" Id="rId147" Target="https://doi.org/10.1017/chr.2026.10039" TargetMode="External" /><Relationship Type="http://schemas.openxmlformats.org/officeDocument/2006/relationships/hyperlink" Id="rId131" Target="https://doi.org/10.1038/s41586-024-07146-0" TargetMode="External" /><Relationship Type="http://schemas.openxmlformats.org/officeDocument/2006/relationships/hyperlink" Id="rId123" Target="https://doi.org/10.1038/s41586-026-10265-5" TargetMode="External" /><Relationship Type="http://schemas.openxmlformats.org/officeDocument/2006/relationships/hyperlink" Id="rId171" Target="https://doi.org/10.1038/s41598-023-41032-5" TargetMode="External" /><Relationship Type="http://schemas.openxmlformats.org/officeDocument/2006/relationships/hyperlink" Id="rId91" Target="https://doi.org/10.1038/s44185-024-00043-9" TargetMode="External" /><Relationship Type="http://schemas.openxmlformats.org/officeDocument/2006/relationships/hyperlink" Id="rId177" Target="https://doi.org/10.1038/sdata.2016.18" TargetMode="External" /><Relationship Type="http://schemas.openxmlformats.org/officeDocument/2006/relationships/hyperlink" Id="rId95" Target="https://doi.org/10.1057/s41599-026-08832-2" TargetMode="External" /><Relationship Type="http://schemas.openxmlformats.org/officeDocument/2006/relationships/hyperlink" Id="rId89" Target="https://doi.org/10.1073/pnas.2305016120" TargetMode="External" /><Relationship Type="http://schemas.openxmlformats.org/officeDocument/2006/relationships/hyperlink" Id="rId61" Target="https://doi.org/10.1073/pnas.2606495123" TargetMode="External" /><Relationship Type="http://schemas.openxmlformats.org/officeDocument/2006/relationships/hyperlink" Id="rId107" Target="https://doi.org/10.1080/00187259.2026.2714301" TargetMode="External" /><Relationship Type="http://schemas.openxmlformats.org/officeDocument/2006/relationships/hyperlink" Id="rId137" Target="https://doi.org/10.1080/00934690.2018.1428488" TargetMode="External" /><Relationship Type="http://schemas.openxmlformats.org/officeDocument/2006/relationships/hyperlink" Id="rId87" Target="https://doi.org/10.1080/10584609.2023.2290497" TargetMode="External" /><Relationship Type="http://schemas.openxmlformats.org/officeDocument/2006/relationships/hyperlink" Id="rId157" Target="https://doi.org/10.1080/20548923.2025.2564519" TargetMode="External" /><Relationship Type="http://schemas.openxmlformats.org/officeDocument/2006/relationships/hyperlink" Id="rId159" Target="https://doi.org/10.1093/biosci/biaf169" TargetMode="External" /><Relationship Type="http://schemas.openxmlformats.org/officeDocument/2006/relationships/hyperlink" Id="rId81" Target="https://doi.org/10.1093/jmammal/gyaf082" TargetMode="External" /><Relationship Type="http://schemas.openxmlformats.org/officeDocument/2006/relationships/hyperlink" Id="rId163" Target="https://doi.org/10.1098/rsos.251766" TargetMode="External" /><Relationship Type="http://schemas.openxmlformats.org/officeDocument/2006/relationships/hyperlink" Id="rId77" Target="https://doi.org/10.1111/2041-210X.14325" TargetMode="External" /><Relationship Type="http://schemas.openxmlformats.org/officeDocument/2006/relationships/hyperlink" Id="rId155" Target="https://doi.org/10.1111/2041-210X.14341" TargetMode="External" /><Relationship Type="http://schemas.openxmlformats.org/officeDocument/2006/relationships/hyperlink" Id="rId73" Target="https://doi.org/10.1111/2041-210X.14396" TargetMode="External" /><Relationship Type="http://schemas.openxmlformats.org/officeDocument/2006/relationships/hyperlink" Id="rId109" Target="https://doi.org/10.1111/2041-210x.14397" TargetMode="External" /><Relationship Type="http://schemas.openxmlformats.org/officeDocument/2006/relationships/hyperlink" Id="rId127" Target="https://doi.org/10.1111/2041-210x.14398" TargetMode="External" /><Relationship Type="http://schemas.openxmlformats.org/officeDocument/2006/relationships/hyperlink" Id="rId71" Target="https://doi.org/10.1111/2041-210x.70267" TargetMode="External" /><Relationship Type="http://schemas.openxmlformats.org/officeDocument/2006/relationships/hyperlink" Id="rId117" Target="https://doi.org/10.1111/2041-210x.70403" TargetMode="External" /><Relationship Type="http://schemas.openxmlformats.org/officeDocument/2006/relationships/hyperlink" Id="rId69" Target="https://doi.org/10.1111/faf.70079" TargetMode="External" /><Relationship Type="http://schemas.openxmlformats.org/officeDocument/2006/relationships/hyperlink" Id="rId167" Target="https://doi.org/10.11141/ia.67.8" TargetMode="External" /><Relationship Type="http://schemas.openxmlformats.org/officeDocument/2006/relationships/hyperlink" Id="rId113" Target="https://doi.org/10.11141/ia.71.15" TargetMode="External" /><Relationship Type="http://schemas.openxmlformats.org/officeDocument/2006/relationships/hyperlink" Id="rId83" Target="https://doi.org/10.1145/2467696.2467712" TargetMode="External" /><Relationship Type="http://schemas.openxmlformats.org/officeDocument/2006/relationships/hyperlink" Id="rId169" Target="https://doi.org/10.1145/3491101.3519665" TargetMode="External" /><Relationship Type="http://schemas.openxmlformats.org/officeDocument/2006/relationships/hyperlink" Id="rId125" Target="https://doi.org/10.1145/3630106.3658542" TargetMode="External" /><Relationship Type="http://schemas.openxmlformats.org/officeDocument/2006/relationships/hyperlink" Id="rId101" Target="https://doi.org/10.1145/3796519" TargetMode="External" /><Relationship Type="http://schemas.openxmlformats.org/officeDocument/2006/relationships/hyperlink" Id="rId51" Target="https://doi.org/10.1146/annurev-soc-011824-104836" TargetMode="External" /><Relationship Type="http://schemas.openxmlformats.org/officeDocument/2006/relationships/hyperlink" Id="rId187" Target="https://doi.org/10.1162/coli_a_00502" TargetMode="External" /><Relationship Type="http://schemas.openxmlformats.org/officeDocument/2006/relationships/hyperlink" Id="rId161" Target="https://doi.org/10.1177/1745691616658637" TargetMode="External" /><Relationship Type="http://schemas.openxmlformats.org/officeDocument/2006/relationships/hyperlink" Id="rId49" Target="https://doi.org/10.1177/25152459251325174" TargetMode="External" /><Relationship Type="http://schemas.openxmlformats.org/officeDocument/2006/relationships/hyperlink" Id="rId153" Target="https://doi.org/10.1186/1751-0473-8-7" TargetMode="External" /><Relationship Type="http://schemas.openxmlformats.org/officeDocument/2006/relationships/hyperlink" Id="rId115" Target="https://doi.org/10.1257/jel.20231736" TargetMode="External" /><Relationship Type="http://schemas.openxmlformats.org/officeDocument/2006/relationships/hyperlink" Id="rId79" Target="https://doi.org/10.1287/orsc.2025.21838" TargetMode="External" /><Relationship Type="http://schemas.openxmlformats.org/officeDocument/2006/relationships/hyperlink" Id="rId179" Target="https://doi.org/10.1371/journal.pbio.1001745" TargetMode="External" /><Relationship Type="http://schemas.openxmlformats.org/officeDocument/2006/relationships/hyperlink" Id="rId63" Target="https://doi.org/10.1371/journal.pcbi.1004668" TargetMode="External" /><Relationship Type="http://schemas.openxmlformats.org/officeDocument/2006/relationships/hyperlink" Id="rId65" Target="https://doi.org/10.1371/journal.pcbi.1014428" TargetMode="External" /><Relationship Type="http://schemas.openxmlformats.org/officeDocument/2006/relationships/hyperlink" Id="rId183" Target="https://doi.org/10.1613/jair.1.11345" TargetMode="External" /><Relationship Type="http://schemas.openxmlformats.org/officeDocument/2006/relationships/hyperlink" Id="rId175" Target="https://doi.org/10.21105/joss.01686" TargetMode="External" /><Relationship Type="http://schemas.openxmlformats.org/officeDocument/2006/relationships/hyperlink" Id="rId135" Target="https://doi.org/10.2139/ssrn.7011058" TargetMode="External" /><Relationship Type="http://schemas.openxmlformats.org/officeDocument/2006/relationships/hyperlink" Id="rId121" Target="https://doi.org/10.2196/51584" TargetMode="External" /><Relationship Type="http://schemas.openxmlformats.org/officeDocument/2006/relationships/hyperlink" Id="rId145" Target="https://doi.org/10.24072/pcjournal.687" TargetMode="External" /><Relationship Type="http://schemas.openxmlformats.org/officeDocument/2006/relationships/hyperlink" Id="rId165" Target="https://doi.org/10.3233/faia230098" TargetMode="External" /><Relationship Type="http://schemas.openxmlformats.org/officeDocument/2006/relationships/hyperlink" Id="rId59" Target="https://doi.org/10.4337/9781802204131.00014" TargetMode="External" /><Relationship Type="http://schemas.openxmlformats.org/officeDocument/2006/relationships/hyperlink" Id="rId111" Target="https://doi.org/10.4337/9781802204131.00019" TargetMode="External" /><Relationship Type="http://schemas.openxmlformats.org/officeDocument/2006/relationships/hyperlink" Id="rId185" Target="https://doi.org/10.48550/arXiv.2406.07815" TargetMode="External" /><Relationship Type="http://schemas.openxmlformats.org/officeDocument/2006/relationships/hyperlink" Id="rId119" Target="https://doi.org/10.48550/arXiv.2505.06120" TargetMode="External" /><Relationship Type="http://schemas.openxmlformats.org/officeDocument/2006/relationships/hyperlink" Id="rId181" Target="https://doi.org/10.48550/arXiv.2602.12430" TargetMode="External" /><Relationship Type="http://schemas.openxmlformats.org/officeDocument/2006/relationships/hyperlink" Id="rId189" Target="https://doi.org/10.48550/arXiv.2603.15914" TargetMode="External" /><Relationship Type="http://schemas.openxmlformats.org/officeDocument/2006/relationships/hyperlink" Id="rId133" Target="https://doi.org/10.48550/arXiv.2607.01507" TargetMode="External" /><Relationship Type="http://schemas.openxmlformats.org/officeDocument/2006/relationships/hyperlink" Id="rId75" Target="https://doi.org/10.5334/dsj-2020-043" TargetMode="External" /><Relationship Type="http://schemas.openxmlformats.org/officeDocument/2006/relationships/hyperlink" Id="rId105" Target="https://doi.org/10.5744/florida/9780813069302.003.0013" TargetMode="External" /><Relationship Type="http://schemas.openxmlformats.org/officeDocument/2006/relationships/hyperlink" Id="rId141" Target="https://opencode.ai/docs/enterprise/" TargetMode="External" /><Relationship Type="http://schemas.openxmlformats.org/officeDocument/2006/relationships/hyperlink" Id="rId139" Target="https://opencode.ai/docs/permissions/" TargetMode="External" /><Relationship Type="http://schemas.openxmlformats.org/officeDocument/2006/relationships/hyperlink" Id="rId143" Target="https://opencode.ai/docs/rules/" TargetMode="External" /><Relationship Type="http://schemas.openxmlformats.org/officeDocument/2006/relationships/hyperlink" Id="rId151" Target="https://quarto.org/docs/faq/rmarkdown.html" TargetMode="External" /><Relationship Type="http://schemas.openxmlformats.org/officeDocument/2006/relationships/hyperlink" Id="rId149" Target="https://quarto.org/docs/get-started/hello/rstudio.html" TargetMode="External" /><Relationship Type="http://schemas.openxmlformats.org/officeDocument/2006/relationships/hyperlink" Id="rId57" Target="https://www.anthropic.com/engineering/equipping-agents-for-the-real-world-with-agent-skills" TargetMode="External" /><Relationship Type="http://schemas.openxmlformats.org/officeDocument/2006/relationships/hyperlink" Id="rId55" Target="https://www.anthropic.com/research/model-context-protocol" TargetMode="External" /><Relationship Type="http://schemas.openxmlformats.org/officeDocument/2006/relationships/hyperlink" Id="rId67"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Responsible Agentic AI for Archaeological Data Analysis in R</dc:title>
  <dc:creator/>
  <cp:keywords/>
  <dcterms:created xsi:type="dcterms:W3CDTF">2026-09-17T18:09:10Z</dcterms:created>
  <dcterms:modified xsi:type="dcterms:W3CDTF">2026-09-17T18:09:10Z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who use generative artificial intelligence (AI) for data analysis need procedures for inspecting code, evaluating methods, and checking sources. This how-to article describes three practices for responsible agentic AI use in R. First, develop enough familiarity with research tools and standards to judge AI-generated outputs. R supports analysis, Quarto combines code and text in executable documents, and Git records changes for inspection. Second, configure an AI agent in a local harness with explicit project instructions and permissions. Third, use skills, tools, and Model Context Protocol servers to research a question, critique a researcher-written plan, execute approved analyses, and verify results. We describe the inputs, actions, and checks for each practice, including precautions for restricted archaeological data. The workflow retains the researcher’s responsibility for analytical decisions and produces code, documentation, and a report that others can inspect. We discuss setup costs, limitations of automated checking, and the distinction between reproducing a saved analysis and repeating an agent interaction.</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17,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