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October</w:t>
      </w:r>
      <w:r>
        <w:t xml:space="preserve"> </w:t>
      </w:r>
      <w:r>
        <w:t xml:space="preserve">2,</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describe</w:t>
      </w:r>
      <w:r>
        <w:t xml:space="preserve"> </w:t>
      </w:r>
      <w:r>
        <w:t xml:space="preserve">how</w:t>
      </w:r>
      <w:r>
        <w:t xml:space="preserve"> </w:t>
      </w:r>
      <w:r>
        <w:t xml:space="preserve">to</w:t>
      </w:r>
      <w:r>
        <w:t xml:space="preserve"> </w:t>
      </w:r>
      <w:r>
        <w:t xml:space="preserve">use</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w:t>
      </w:r>
      <w:r>
        <w:t xml:space="preserve"> </w:t>
      </w:r>
      <w:r>
        <w:t xml:space="preserve">(Barbaste et al. 2026)</w:t>
      </w:r>
      <w:r>
        <w:t xml:space="preserve">, ranging from a single tool to an autonomous multi-agent system</w:t>
      </w:r>
      <w:r>
        <w:t xml:space="preserve"> </w:t>
      </w:r>
      <w:r>
        <w:t xml:space="preserve">(Haase and Pokutta 2026; Zimmer et al. 2026)</w:t>
      </w:r>
      <w:r>
        <w:t xml:space="preserve">. However, relatively few researchers have adopted agentic AI: in their survey of 1,260 social scientists,</w:t>
      </w:r>
      <w:r>
        <w:t xml:space="preserve"> </w:t>
      </w:r>
      <w:r>
        <w:t xml:space="preserve">Lyttelton et al. (2026)</w:t>
      </w:r>
      <w:r>
        <w:t xml:space="preserve"> </w:t>
      </w:r>
      <w:r>
        <w:t xml:space="preserve">found only 20% use agents. The true figure is probably much lower as this sample was taken from researchers recruited in exchange for access to a commercial AI product. Our guide focuses on how archaeologists can use agentic AI so that the agent works only within a single project under your direction at every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left"/>
            </w:pPr>
            <w:pPr>
              <w:jc w:val="start"/>
              <w:spacing w:before="200"/>
              <w:pStyle w:val="ImageCaption"/>
            </w:pPr>
            <w:r>
              <w:t xml:space="preserve">Table 1: Comparison of web-based chat and agentic AI</w:t>
            </w:r>
            <w:r>
              <w:t xml:space="preserve"> </w:t>
            </w:r>
            <w:r>
              <w:t xml:space="preserve">(Boiko et al. 2023; Bran et al. 2024; Rafiee and Woo 2025; Wang et al. 2024)</w:t>
            </w:r>
          </w:p>
          <w:tbl>
            <w:tblPr>
              <w:tblStyle w:val="Table"/>
              <w:tblW w:type="pct" w:w="5000"/>
              <w:tblLook w:firstRow="1" w:lastRow="0" w:firstColumn="0" w:lastColumn="0" w:noHBand="0" w:noVBand="0" w:val="0020"/>
              <w:jc w:val="start"/>
              <w:tblLayout w:type="fixed"/>
            </w:tblPr>
            <w:tblGrid>
              <w:gridCol w:w="1742"/>
              <w:gridCol w:w="3088"/>
              <w:gridCol w:w="3088"/>
            </w:tblGrid>
            <w:tr>
              <w:trPr>
                <w:tblHeader w:val="true"/>
              </w:trPr>
              <w:tc>
                <w:tcPr/>
                <w:p>
                  <w:pPr>
                    <w:pStyle w:val="Compact"/>
                    <w:jc w:val="left"/>
                    <w:jc w:val="left"/>
                  </w:pPr>
                  <w:r>
                    <w:t xml:space="preserve">Dimension</w:t>
                  </w:r>
                </w:p>
              </w:tc>
              <w:tc>
                <w:tcPr/>
                <w:p>
                  <w:pPr>
                    <w:pStyle w:val="Compact"/>
                    <w:jc w:val="left"/>
                    <w:jc w:val="left"/>
                  </w:pPr>
                  <w:r>
                    <w:t xml:space="preserve">Web-Based Chat</w:t>
                  </w:r>
                </w:p>
              </w:tc>
              <w:tc>
                <w:tcPr/>
                <w:p>
                  <w:pPr>
                    <w:pStyle w:val="Compact"/>
                    <w:jc w:val="left"/>
                    <w:jc w:val="left"/>
                  </w:pPr>
                  <w:r>
                    <w:t xml:space="preserve">Agentic AI</w:t>
                  </w:r>
                </w:p>
              </w:tc>
            </w:tr>
            <w:tr>
              <w:tc>
                <w:tcPr/>
                <w:p>
                  <w:pPr>
                    <w:pStyle w:val="Compact"/>
                    <w:jc w:val="left"/>
                    <w:jc w:val="left"/>
                  </w:pPr>
                  <w:r>
                    <w:t xml:space="preserve">Objective</w:t>
                  </w:r>
                </w:p>
              </w:tc>
              <w:tc>
                <w:tcPr/>
                <w:p>
                  <w:pPr>
                    <w:pStyle w:val="Compact"/>
                    <w:jc w:val="left"/>
                    <w:jc w:val="left"/>
                  </w:pPr>
                  <w:r>
                    <w:t xml:space="preserve">Produces a relevant text response to the current prompt</w:t>
                  </w:r>
                </w:p>
              </w:tc>
              <w:tc>
                <w:tcPr/>
                <w:p>
                  <w:pPr>
                    <w:pStyle w:val="Compact"/>
                    <w:jc w:val="left"/>
                    <w:jc w:val="left"/>
                  </w:pPr>
                  <w:r>
                    <w:t xml:space="preserve">Completes an external goal across many steps</w:t>
                  </w:r>
                </w:p>
              </w:tc>
            </w:tr>
            <w:tr>
              <w:tc>
                <w:tcPr/>
                <w:p>
                  <w:pPr>
                    <w:pStyle w:val="Compact"/>
                    <w:jc w:val="left"/>
                    <w:jc w:val="left"/>
                  </w:pPr>
                  <w:r>
                    <w:t xml:space="preserve">Interaction pattern</w:t>
                  </w:r>
                </w:p>
              </w:tc>
              <w:tc>
                <w:tcPr/>
                <w:p>
                  <w:pPr>
                    <w:pStyle w:val="Compact"/>
                    <w:jc w:val="left"/>
                    <w:jc w:val="left"/>
                  </w:pPr>
                  <w:r>
                    <w:t xml:space="preserve">Turn-based question and answer in a browser session</w:t>
                  </w:r>
                </w:p>
              </w:tc>
              <w:tc>
                <w:tcPr/>
                <w:p>
                  <w:pPr>
                    <w:pStyle w:val="Compact"/>
                    <w:jc w:val="left"/>
                    <w:jc w:val="left"/>
                  </w:pPr>
                  <w:r>
                    <w:t xml:space="preserve">Perceive-plan-act-observe loop until a stopping condition</w:t>
                  </w:r>
                </w:p>
              </w:tc>
            </w:tr>
            <w:tr>
              <w:tc>
                <w:tcPr/>
                <w:p>
                  <w:pPr>
                    <w:pStyle w:val="Compact"/>
                    <w:jc w:val="left"/>
                    <w:jc w:val="left"/>
                  </w:pPr>
                  <w:r>
                    <w:t xml:space="preserve">Initiative</w:t>
                  </w:r>
                </w:p>
              </w:tc>
              <w:tc>
                <w:tcPr/>
                <w:p>
                  <w:pPr>
                    <w:pStyle w:val="Compact"/>
                    <w:jc w:val="left"/>
                    <w:jc w:val="left"/>
                  </w:pPr>
                  <w:r>
                    <w:t xml:space="preserve">Reactive; waits for the user</w:t>
                  </w:r>
                </w:p>
              </w:tc>
              <w:tc>
                <w:tcPr/>
                <w:p>
                  <w:pPr>
                    <w:pStyle w:val="Compact"/>
                    <w:jc w:val="left"/>
                    <w:jc w:val="left"/>
                  </w:pPr>
                  <w:r>
                    <w:t xml:space="preserve">Proactive; decomposes goals and starts sub-tasks</w:t>
                  </w:r>
                </w:p>
              </w:tc>
            </w:tr>
            <w:tr>
              <w:tc>
                <w:tcPr/>
                <w:p>
                  <w:pPr>
                    <w:pStyle w:val="Compact"/>
                    <w:jc w:val="left"/>
                    <w:jc w:val="left"/>
                  </w:pPr>
                  <w:r>
                    <w:t xml:space="preserve">Tool and environment action</w:t>
                  </w:r>
                </w:p>
              </w:tc>
              <w:tc>
                <w:tcPr/>
                <w:p>
                  <w:pPr>
                    <w:pStyle w:val="Compact"/>
                    <w:jc w:val="left"/>
                    <w:jc w:val="left"/>
                  </w:pPr>
                  <w:r>
                    <w:t xml:space="preserve">Text only by default; browsing or files when added</w:t>
                  </w:r>
                </w:p>
              </w:tc>
              <w:tc>
                <w:tcPr/>
                <w:p>
                  <w:pPr>
                    <w:pStyle w:val="Compact"/>
                    <w:jc w:val="left"/>
                    <w:jc w:val="left"/>
                  </w:pPr>
                  <w:r>
                    <w:t xml:space="preserve">Native tool calls plus APIs code execution and instrument control</w:t>
                  </w:r>
                </w:p>
              </w:tc>
            </w:tr>
            <w:tr>
              <w:tc>
                <w:tcPr/>
                <w:p>
                  <w:pPr>
                    <w:pStyle w:val="Compact"/>
                    <w:jc w:val="left"/>
                    <w:jc w:val="left"/>
                  </w:pPr>
                  <w:r>
                    <w:t xml:space="preserve">Planning</w:t>
                  </w:r>
                </w:p>
              </w:tc>
              <w:tc>
                <w:tcPr/>
                <w:p>
                  <w:pPr>
                    <w:pStyle w:val="Compact"/>
                    <w:jc w:val="left"/>
                    <w:jc w:val="left"/>
                  </w:pPr>
                  <w:r>
                    <w:t xml:space="preserve">Implicit single-response reasoning</w:t>
                  </w:r>
                </w:p>
              </w:tc>
              <w:tc>
                <w:tcPr/>
                <w:p>
                  <w:pPr>
                    <w:pStyle w:val="Compact"/>
                    <w:jc w:val="left"/>
                    <w:jc w:val="left"/>
                  </w:pPr>
                  <w:r>
                    <w:t xml:space="preserve">Explicit task decomposition reflection and re-planning</w:t>
                  </w:r>
                </w:p>
              </w:tc>
            </w:tr>
            <w:tr>
              <w:tc>
                <w:tcPr/>
                <w:p>
                  <w:pPr>
                    <w:pStyle w:val="Compact"/>
                    <w:jc w:val="left"/>
                    <w:jc w:val="left"/>
                  </w:pPr>
                  <w:r>
                    <w:t xml:space="preserve">Memory and state</w:t>
                  </w:r>
                </w:p>
              </w:tc>
              <w:tc>
                <w:tcPr/>
                <w:p>
                  <w:pPr>
                    <w:pStyle w:val="Compact"/>
                    <w:jc w:val="left"/>
                    <w:jc w:val="left"/>
                  </w:pPr>
                  <w:r>
                    <w:t xml:space="preserve">Short dialogue context with limited persistence</w:t>
                  </w:r>
                </w:p>
              </w:tc>
              <w:tc>
                <w:tcPr/>
                <w:p>
                  <w:pPr>
                    <w:pStyle w:val="Compact"/>
                    <w:jc w:val="left"/>
                    <w:jc w:val="left"/>
                  </w:pPr>
                  <w:r>
                    <w:t xml:space="preserve">Long-term memory stored plans and persistent agent state</w:t>
                  </w:r>
                </w:p>
              </w:tc>
            </w:tr>
            <w:tr>
              <w:tc>
                <w:tcPr/>
                <w:p>
                  <w:pPr>
                    <w:pStyle w:val="Compact"/>
                    <w:jc w:val="left"/>
                    <w:jc w:val="left"/>
                  </w:pPr>
                  <w:r>
                    <w:t xml:space="preserve">Architecture</w:t>
                  </w:r>
                </w:p>
              </w:tc>
              <w:tc>
                <w:tcPr/>
                <w:p>
                  <w:pPr>
                    <w:pStyle w:val="Compact"/>
                    <w:jc w:val="left"/>
                    <w:jc w:val="left"/>
                  </w:pPr>
                  <w:r>
                    <w:t xml:space="preserve">Language model plus dialogue interface and safety filters</w:t>
                  </w:r>
                </w:p>
              </w:tc>
              <w:tc>
                <w:tcPr/>
                <w:p>
                  <w:pPr>
                    <w:pStyle w:val="Compact"/>
                    <w:jc w:val="left"/>
                    <w:jc w:val="left"/>
                  </w:pPr>
                  <w:r>
                    <w:t xml:space="preserve">Language model plus planner memory tool interfaces and orchestration</w:t>
                  </w:r>
                </w:p>
              </w:tc>
            </w:tr>
            <w:tr>
              <w:tc>
                <w:tcPr/>
                <w:p>
                  <w:pPr>
                    <w:pStyle w:val="Compact"/>
                    <w:jc w:val="left"/>
                    <w:jc w:val="left"/>
                  </w:pPr>
                  <w:r>
                    <w:t xml:space="preserve">Task duration</w:t>
                  </w:r>
                </w:p>
              </w:tc>
              <w:tc>
                <w:tcPr/>
                <w:p>
                  <w:pPr>
                    <w:pStyle w:val="Compact"/>
                    <w:jc w:val="left"/>
                    <w:jc w:val="left"/>
                  </w:pPr>
                  <w:r>
                    <w:t xml:space="preserve">Seconds to minutes per answer</w:t>
                  </w:r>
                </w:p>
              </w:tc>
              <w:tc>
                <w:tcPr/>
                <w:p>
                  <w:pPr>
                    <w:pStyle w:val="Compact"/>
                    <w:jc w:val="left"/>
                    <w:jc w:val="left"/>
                  </w:pPr>
                  <w:r>
                    <w:t xml:space="preserve">Minutes to hours or days of autonomous operation</w:t>
                  </w:r>
                </w:p>
              </w:tc>
            </w:tr>
            <w:tr>
              <w:tc>
                <w:tcPr/>
                <w:p>
                  <w:pPr>
                    <w:pStyle w:val="Compact"/>
                    <w:jc w:val="left"/>
                    <w:jc w:val="left"/>
                  </w:pPr>
                  <w:r>
                    <w:t xml:space="preserve">Evaluation</w:t>
                  </w:r>
                </w:p>
              </w:tc>
              <w:tc>
                <w:tcPr/>
                <w:p>
                  <w:pPr>
                    <w:pStyle w:val="Compact"/>
                    <w:jc w:val="left"/>
                    <w:jc w:val="left"/>
                  </w:pPr>
                  <w:r>
                    <w:t xml:space="preserve">Response quality factuality and helpfulness</w:t>
                  </w:r>
                </w:p>
              </w:tc>
              <w:tc>
                <w:tcPr/>
                <w:p>
                  <w:pPr>
                    <w:pStyle w:val="Compact"/>
                    <w:jc w:val="left"/>
                    <w:jc w:val="left"/>
                  </w:pPr>
                  <w:r>
                    <w:t xml:space="preserve">Task completion correct tool sequences and side effects</w:t>
                  </w:r>
                </w:p>
              </w:tc>
            </w:tr>
            <w:tr>
              <w:tc>
                <w:tcPr/>
                <w:p>
                  <w:pPr>
                    <w:pStyle w:val="Compact"/>
                    <w:jc w:val="left"/>
                    <w:jc w:val="left"/>
                  </w:pPr>
                  <w:r>
                    <w:t xml:space="preserve">Risk profile</w:t>
                  </w:r>
                </w:p>
              </w:tc>
              <w:tc>
                <w:tcPr/>
                <w:p>
                  <w:pPr>
                    <w:pStyle w:val="Compact"/>
                    <w:jc w:val="left"/>
                    <w:jc w:val="left"/>
                  </w:pPr>
                  <w:r>
                    <w:t xml:space="preserve">Misinformation bias and over-reliance on fluent text</w:t>
                  </w:r>
                </w:p>
              </w:tc>
              <w:tc>
                <w:tcPr/>
                <w:p>
                  <w:pPr>
                    <w:pStyle w:val="Compact"/>
                    <w:jc w:val="left"/>
                    <w:jc w:val="left"/>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validation rather than decision-maker</w:t>
      </w:r>
      <w:r>
        <w:t xml:space="preserve"> </w:t>
      </w:r>
      <w:r>
        <w:t xml:space="preserve">(Taylor 2023)</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The high-level researcher control associated with the human at the helm approach is necessary to honor our responsibilities toward the communities involved in our work and affected by it. AI-generated perspectives cannot replace community participation</w:t>
      </w:r>
      <w:r>
        <w:t xml:space="preserve"> </w:t>
      </w:r>
      <w:r>
        <w:t xml:space="preserve">(Cootsona et al. 2026)</w:t>
      </w:r>
      <w:r>
        <w:t xml:space="preserve">. Where archaeological work requires community consultation or consent, our approval of an agent’s actions does not replace those obligations.</w:t>
      </w:r>
      <w:r>
        <w:t xml:space="preserve"> </w:t>
      </w:r>
      <w:r>
        <w:t xml:space="preserve">Cootsona et al. (2026)</w:t>
      </w:r>
      <w:r>
        <w:t xml:space="preserve"> </w:t>
      </w:r>
      <w:r>
        <w:t xml:space="preserve">describe a comprehensive operational model of community engagement in an archaeological project that uses AI.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left"/>
            </w:pPr>
            <w:pPr>
              <w:jc w:val="start"/>
              <w:spacing w:before="200"/>
              <w:pStyle w:val="ImageCaption"/>
            </w:pPr>
            <w:r>
              <w:t xml:space="preserve">Table 2: Human in the loop (HITL) versus human at the helm (HATH) approaches to working with AI across several dimensions important to the research process.</w:t>
            </w:r>
            <w:r>
              <w:t xml:space="preserve"> </w:t>
            </w:r>
            <w:r>
              <w:t xml:space="preserve">(Beck and Burri 2024; Hao et al. 2025; Jonker et al. 2024; Monakhov 2026; Taylor 2023)</w:t>
            </w:r>
            <w:r>
              <w:t xml:space="preserve">.</w:t>
            </w:r>
          </w:p>
          <w:tbl>
            <w:tblPr>
              <w:tblStyle w:val="Table"/>
              <w:tblW w:type="pct" w:w="5000"/>
              <w:tblLook w:firstRow="1" w:lastRow="0" w:firstColumn="0" w:lastColumn="0" w:noHBand="0" w:noVBand="0" w:val="0020"/>
              <w:jc w:val="start"/>
              <w:tblLayout w:type="fixed"/>
            </w:tblPr>
            <w:tblGrid>
              <w:gridCol w:w="1742"/>
              <w:gridCol w:w="3088"/>
              <w:gridCol w:w="3088"/>
            </w:tblGrid>
            <w:tr>
              <w:trPr>
                <w:tblHeader w:val="true"/>
              </w:trPr>
              <w:tc>
                <w:tcPr/>
                <w:p>
                  <w:pPr>
                    <w:pStyle w:val="Compact"/>
                    <w:jc w:val="left"/>
                    <w:jc w:val="left"/>
                  </w:pPr>
                  <w:r>
                    <w:t xml:space="preserve">Dimension</w:t>
                  </w:r>
                </w:p>
              </w:tc>
              <w:tc>
                <w:tcPr/>
                <w:p>
                  <w:pPr>
                    <w:pStyle w:val="Compact"/>
                    <w:jc w:val="left"/>
                    <w:jc w:val="left"/>
                  </w:pPr>
                  <w:r>
                    <w:t xml:space="preserve">Human in the Loop</w:t>
                  </w:r>
                </w:p>
              </w:tc>
              <w:tc>
                <w:tcPr/>
                <w:p>
                  <w:pPr>
                    <w:pStyle w:val="Compact"/>
                    <w:jc w:val="left"/>
                    <w:jc w:val="left"/>
                  </w:pPr>
                  <w:r>
                    <w:t xml:space="preserve">Human at the Helm</w:t>
                  </w:r>
                </w:p>
              </w:tc>
            </w:tr>
            <w:tr>
              <w:tc>
                <w:tcPr/>
                <w:p>
                  <w:pPr>
                    <w:pStyle w:val="Compact"/>
                    <w:jc w:val="left"/>
                    <w:jc w:val="left"/>
                  </w:pPr>
                  <w:r>
                    <w:t xml:space="preserve">Locus of authority</w:t>
                  </w:r>
                </w:p>
              </w:tc>
              <w:tc>
                <w:tcPr/>
                <w:p>
                  <w:pPr>
                    <w:pStyle w:val="Compact"/>
                    <w:jc w:val="left"/>
                    <w:jc w:val="left"/>
                  </w:pPr>
                  <w:r>
                    <w:t xml:space="preserve">AI drives the workflow; the human approves at checkpoints</w:t>
                  </w:r>
                </w:p>
              </w:tc>
              <w:tc>
                <w:tcPr/>
                <w:p>
                  <w:pPr>
                    <w:pStyle w:val="Compact"/>
                    <w:jc w:val="left"/>
                    <w:jc w:val="left"/>
                  </w:pPr>
                  <w:r>
                    <w:t xml:space="preserve">Human directs the workflow; AI executes under direction</w:t>
                  </w:r>
                </w:p>
              </w:tc>
            </w:tr>
            <w:tr>
              <w:tc>
                <w:tcPr/>
                <w:p>
                  <w:pPr>
                    <w:pStyle w:val="Compact"/>
                    <w:jc w:val="left"/>
                    <w:jc w:val="left"/>
                  </w:pPr>
                  <w:r>
                    <w:t xml:space="preserve">Human role</w:t>
                  </w:r>
                </w:p>
              </w:tc>
              <w:tc>
                <w:tcPr/>
                <w:p>
                  <w:pPr>
                    <w:pStyle w:val="Compact"/>
                    <w:jc w:val="left"/>
                    <w:jc w:val="left"/>
                  </w:pPr>
                  <w:r>
                    <w:t xml:space="preserve">Intermittent reviewer, validator, or corrector</w:t>
                  </w:r>
                </w:p>
              </w:tc>
              <w:tc>
                <w:tcPr/>
                <w:p>
                  <w:pPr>
                    <w:pStyle w:val="Compact"/>
                    <w:jc w:val="left"/>
                    <w:jc w:val="left"/>
                  </w:pPr>
                  <w:r>
                    <w:t xml:space="preserve">Continuous director and final decision-maker</w:t>
                  </w:r>
                </w:p>
              </w:tc>
            </w:tr>
            <w:tr>
              <w:tc>
                <w:tcPr/>
                <w:p>
                  <w:pPr>
                    <w:pStyle w:val="Compact"/>
                    <w:jc w:val="left"/>
                    <w:jc w:val="left"/>
                  </w:pPr>
                  <w:r>
                    <w:t xml:space="preserve">When humans act</w:t>
                  </w:r>
                </w:p>
              </w:tc>
              <w:tc>
                <w:tcPr/>
                <w:p>
                  <w:pPr>
                    <w:pStyle w:val="Compact"/>
                    <w:jc w:val="left"/>
                    <w:jc w:val="left"/>
                  </w:pPr>
                  <w:r>
                    <w:t xml:space="preserve">At predefined intervention points (approval gates, error correction)</w:t>
                  </w:r>
                </w:p>
              </w:tc>
              <w:tc>
                <w:tcPr/>
                <w:p>
                  <w:pPr>
                    <w:pStyle w:val="Compact"/>
                    <w:jc w:val="left"/>
                    <w:jc w:val="left"/>
                  </w:pPr>
                  <w:r>
                    <w:t xml:space="preserve">Throughout the process, including goal definition and result interpretation</w:t>
                  </w:r>
                </w:p>
              </w:tc>
            </w:tr>
            <w:tr>
              <w:tc>
                <w:tcPr/>
                <w:p>
                  <w:pPr>
                    <w:pStyle w:val="Compact"/>
                    <w:jc w:val="left"/>
                    <w:jc w:val="left"/>
                  </w:pPr>
                  <w:r>
                    <w:t xml:space="preserve">Control logic</w:t>
                  </w:r>
                </w:p>
              </w:tc>
              <w:tc>
                <w:tcPr/>
                <w:p>
                  <w:pPr>
                    <w:pStyle w:val="Compact"/>
                    <w:jc w:val="left"/>
                    <w:jc w:val="left"/>
                  </w:pPr>
                  <w:r>
                    <w:t xml:space="preserve">Oversight of individual AI outputs (exception handling)</w:t>
                  </w:r>
                </w:p>
              </w:tc>
              <w:tc>
                <w:tcPr/>
                <w:p>
                  <w:pPr>
                    <w:pStyle w:val="Compact"/>
                    <w:jc w:val="left"/>
                    <w:jc w:val="left"/>
                  </w:pPr>
                  <w:r>
                    <w:t xml:space="preserve">Steering the entire trajectory of the research task</w:t>
                  </w:r>
                </w:p>
              </w:tc>
            </w:tr>
            <w:tr>
              <w:tc>
                <w:tcPr/>
                <w:p>
                  <w:pPr>
                    <w:pStyle w:val="Compact"/>
                    <w:jc w:val="left"/>
                    <w:jc w:val="left"/>
                  </w:pPr>
                  <w:r>
                    <w:t xml:space="preserve">Accountability</w:t>
                  </w:r>
                </w:p>
              </w:tc>
              <w:tc>
                <w:tcPr/>
                <w:p>
                  <w:pPr>
                    <w:pStyle w:val="Compact"/>
                    <w:jc w:val="left"/>
                    <w:jc w:val="left"/>
                  </w:pPr>
                  <w:r>
                    <w:t xml:space="preserve">Distributed between system and operator; often ambiguous in practice</w:t>
                  </w:r>
                </w:p>
              </w:tc>
              <w:tc>
                <w:tcPr/>
                <w:p>
                  <w:pPr>
                    <w:pStyle w:val="Compact"/>
                    <w:jc w:val="left"/>
                    <w:jc w:val="left"/>
                  </w:pPr>
                  <w:r>
                    <w:t xml:space="preserve">Retained by the researcher from start to finish</w:t>
                  </w:r>
                </w:p>
              </w:tc>
            </w:tr>
            <w:tr>
              <w:tc>
                <w:tcPr/>
                <w:p>
                  <w:pPr>
                    <w:pStyle w:val="Compact"/>
                    <w:jc w:val="left"/>
                    <w:jc w:val="left"/>
                  </w:pPr>
                  <w:r>
                    <w:t xml:space="preserve">Epistemic stance</w:t>
                  </w:r>
                </w:p>
              </w:tc>
              <w:tc>
                <w:tcPr/>
                <w:p>
                  <w:pPr>
                    <w:pStyle w:val="Compact"/>
                    <w:jc w:val="left"/>
                    <w:jc w:val="left"/>
                  </w:pPr>
                  <w:r>
                    <w:t xml:space="preserve">Machine output is assumed usable until flagged</w:t>
                  </w:r>
                </w:p>
              </w:tc>
              <w:tc>
                <w:tcPr/>
                <w:p>
                  <w:pPr>
                    <w:pStyle w:val="Compact"/>
                    <w:jc w:val="left"/>
                    <w:jc w:val="left"/>
                  </w:pPr>
                  <w:r>
                    <w:t xml:space="preserve">Machine output is provisional until the researcher has understood and endorsed it</w:t>
                  </w:r>
                </w:p>
              </w:tc>
            </w:tr>
            <w:tr>
              <w:tc>
                <w:tcPr/>
                <w:p>
                  <w:pPr>
                    <w:pStyle w:val="Compact"/>
                    <w:jc w:val="left"/>
                    <w:jc w:val="left"/>
                  </w:pPr>
                  <w:r>
                    <w:t xml:space="preserve">Relation to research integrity</w:t>
                  </w:r>
                </w:p>
              </w:tc>
              <w:tc>
                <w:tcPr/>
                <w:p>
                  <w:pPr>
                    <w:pStyle w:val="Compact"/>
                    <w:jc w:val="left"/>
                    <w:jc w:val="left"/>
                  </w:pPr>
                  <w:r>
                    <w:t xml:space="preserve">Can automate reasoning while the human only reacts</w:t>
                  </w:r>
                </w:p>
              </w:tc>
              <w:tc>
                <w:tcPr/>
                <w:p>
                  <w:pPr>
                    <w:pStyle w:val="Compact"/>
                    <w:jc w:val="left"/>
                    <w:jc w:val="left"/>
                  </w:pPr>
                  <w:r>
                    <w:t xml:space="preserve">Preserves human agency; the researcher owns the reasoning and the result</w:t>
                  </w:r>
                </w:p>
              </w:tc>
            </w:tr>
            <w:tr>
              <w:tc>
                <w:tcPr/>
                <w:p>
                  <w:pPr>
                    <w:pStyle w:val="Compact"/>
                    <w:jc w:val="left"/>
                    <w:jc w:val="left"/>
                  </w:pPr>
                  <w:r>
                    <w:t xml:space="preserve">Scientific framing</w:t>
                  </w:r>
                </w:p>
              </w:tc>
              <w:tc>
                <w:tcPr/>
                <w:p>
                  <w:pPr>
                    <w:pStyle w:val="Compact"/>
                    <w:jc w:val="left"/>
                    <w:jc w:val="left"/>
                  </w:pPr>
                  <w:r>
                    <w:t xml:space="preserve">HITL is a system-design pattern common in machine learning</w:t>
                  </w:r>
                </w:p>
              </w:tc>
              <w:tc>
                <w:tcPr/>
                <w:p>
                  <w:pPr>
                    <w:pStyle w:val="Compact"/>
                    <w:jc w:val="left"/>
                    <w:jc w:val="left"/>
                  </w:pPr>
                  <w:r>
                    <w:t xml:space="preserve">Extends meaningful human control to research contexts</w:t>
                  </w:r>
                </w:p>
              </w:tc>
            </w:tr>
            <w:tr>
              <w:tc>
                <w:tcPr/>
                <w:p>
                  <w:pPr>
                    <w:pStyle w:val="Compact"/>
                    <w:jc w:val="left"/>
                    <w:jc w:val="left"/>
                  </w:pPr>
                  <w:r>
                    <w:t xml:space="preserve">Regulatory echo</w:t>
                  </w:r>
                </w:p>
              </w:tc>
              <w:tc>
                <w:tcPr/>
                <w:p>
                  <w:pPr>
                    <w:pStyle w:val="Compact"/>
                    <w:jc w:val="left"/>
                    <w:jc w:val="left"/>
                  </w:pPr>
                  <w:r>
                    <w:t xml:space="preserve">Absent in law; legal discourse requires oversight, not mere presence in a loop</w:t>
                  </w:r>
                </w:p>
              </w:tc>
              <w:tc>
                <w:tcPr/>
                <w:p>
                  <w:pPr>
                    <w:pStyle w:val="Compact"/>
                    <w:jc w:val="left"/>
                    <w:jc w:val="left"/>
                  </w:pPr>
                  <w:r>
                    <w:t xml:space="preserve">Aligns with human oversight and control requirements in AI regulation</w:t>
                  </w:r>
                </w:p>
              </w:tc>
            </w:tr>
            <w:tr>
              <w:tc>
                <w:tcPr/>
                <w:p>
                  <w:pPr>
                    <w:pStyle w:val="Compact"/>
                    <w:jc w:val="left"/>
                    <w:jc w:val="left"/>
                  </w:pPr>
                  <w:r>
                    <w:t xml:space="preserve">Risk profile</w:t>
                  </w:r>
                </w:p>
              </w:tc>
              <w:tc>
                <w:tcPr/>
                <w:p>
                  <w:pPr>
                    <w:pStyle w:val="Compact"/>
                    <w:jc w:val="left"/>
                    <w:jc w:val="left"/>
                  </w:pPr>
                  <w:r>
                    <w:t xml:space="preserve">Risk of automation bias: the human rubber-stamps machine output</w:t>
                  </w:r>
                </w:p>
              </w:tc>
              <w:tc>
                <w:tcPr/>
                <w:p>
                  <w:pPr>
                    <w:pStyle w:val="Compact"/>
                    <w:jc w:val="left"/>
                    <w:jc w:val="left"/>
                  </w:pPr>
                  <w:r>
                    <w:t xml:space="preserve">Risk reduced by continuous human direction, though the human must stay engaged</w:t>
                  </w:r>
                </w:p>
              </w:tc>
            </w:tr>
            <w:tr>
              <w:tc>
                <w:tcPr/>
                <w:p>
                  <w:pPr>
                    <w:pStyle w:val="Compact"/>
                    <w:jc w:val="left"/>
                    <w:jc w:val="left"/>
                  </w:pPr>
                  <w:r>
                    <w:t xml:space="preserve">Definition of collaboration</w:t>
                  </w:r>
                </w:p>
              </w:tc>
              <w:tc>
                <w:tcPr/>
                <w:p>
                  <w:pPr>
                    <w:pStyle w:val="Compact"/>
                    <w:jc w:val="left"/>
                    <w:jc w:val="left"/>
                  </w:pPr>
                  <w:r>
                    <w:t xml:space="preserve">Human and AI as separable stages in a pipeline</w:t>
                  </w:r>
                </w:p>
              </w:tc>
              <w:tc>
                <w:tcPr/>
                <w:p>
                  <w:pPr>
                    <w:pStyle w:val="Compact"/>
                    <w:jc w:val="left"/>
                    <w:jc w:val="left"/>
                  </w:pPr>
                  <w:r>
                    <w:t xml:space="preserve">Human and AI as a joint sensemaking process; humans add value AI cannot</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analyze and visualize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R users that set includes the tidyverse set of packages for data preparation and visualization</w:t>
      </w:r>
      <w:r>
        <w:t xml:space="preserve"> </w:t>
      </w:r>
      <w:r>
        <w:t xml:space="preserve">(Wickham et al. 2019)</w:t>
      </w:r>
      <w:r>
        <w:t xml:space="preserve">. The Quarto document format is ideal for writing your report, this combines prose and executable code in a document written as a plain-text file. Quarto is an extension of the Markdown document format, which LLMs read and write text and tables very quickly and accurately, more so than Word documents and PDFs. We recommend using converters, such as Markitdown or Docling, to turn DOCX and PDF files into markdown so agents can more efficiently read them. Documents that you want your agent to read and edit should be in Markdown format to improve the agent’s efficiency and minimize their resource consumption.</w:t>
      </w:r>
    </w:p>
    <w:p>
      <w:pPr>
        <w:pStyle w:val="BodyText"/>
      </w:pPr>
      <w:r>
        <w:t xml:space="preserve">Git is free and open source software that records successive versions of a project’s text, code, and data files, so you can inspect every change and recover earlier work</w:t>
      </w:r>
      <w:r>
        <w:t xml:space="preserve"> </w:t>
      </w:r>
      <w:r>
        <w:t xml:space="preserve">(Blischak et al. 2016)</w:t>
      </w:r>
      <w:r>
        <w:t xml:space="preserve">. Agents can handle routine Git operations efficiently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output and edits are traceable as Git commits (a saved snapshot of your project’s files at a specific point in time) and human-readable as Git diffs (plain text records of changes of your files from one commit to another). This is an efficient system for linking reported results back to the executable analyses that generated them; the agent transparently records every machine-generated change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you use the tools described above, it is relatively simple to configure an AI agent so that it can efficiently see all the files in your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manages context, runs the model-tool loop, and presents the interface (</w:t>
      </w:r>
      <w:hyperlink w:anchor="tbl-harness">
        <w:r>
          <w:rPr>
            <w:rStyle w:val="Hyperlink"/>
          </w:rPr>
          <w:t xml:space="preserve">Table 3</w:t>
        </w:r>
      </w:hyperlink>
      <w:r>
        <w:t xml:space="preserve">). At the time of writing widely used harnesses include Claude Code</w:t>
      </w:r>
      <w:r>
        <w:t xml:space="preserve"> </w:t>
      </w:r>
      <w:r>
        <w:t xml:space="preserve">(Liu et al. 2026)</w:t>
      </w:r>
      <w:r>
        <w:t xml:space="preserve">, GitHub Copilot, OpenAI Codex and OpenCode. We recommend the OpenCode terminal user interface (running in the terminal pane of an integrated development environment such as RStudio, Positron or VS Code) because it is free, open source, and not tied to any model vendor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left"/>
            </w:pPr>
            <w:pPr>
              <w:jc w:val="start"/>
              <w:spacing w:before="200"/>
              <w:pStyle w:val="ImageCaption"/>
            </w:pPr>
            <w:r>
              <w:t xml:space="preserve">Table 3: Key parts of a typical agent harness and what they do.</w:t>
            </w:r>
          </w:p>
          <w:tbl>
            <w:tblPr>
              <w:tblStyle w:val="Table"/>
              <w:tblW w:type="pct" w:w="5000"/>
              <w:tblLook w:firstRow="1" w:lastRow="0" w:firstColumn="0" w:lastColumn="0" w:noHBand="0" w:noVBand="0" w:val="0020"/>
              <w:jc w:val="start"/>
              <w:tblLayout w:type="fixed"/>
            </w:tblPr>
            <w:tblGrid>
              <w:gridCol w:w="1742"/>
              <w:gridCol w:w="2376"/>
              <w:gridCol w:w="3801"/>
            </w:tblGrid>
            <w:tr>
              <w:trPr>
                <w:tblHeader w:val="true"/>
              </w:trPr>
              <w:tc>
                <w:tcPr/>
                <w:p>
                  <w:pPr>
                    <w:pStyle w:val="Compact"/>
                    <w:jc w:val="left"/>
                    <w:jc w:val="left"/>
                  </w:pPr>
                  <w:r>
                    <w:t xml:space="preserve">Component</w:t>
                  </w:r>
                </w:p>
              </w:tc>
              <w:tc>
                <w:tcPr/>
                <w:p>
                  <w:pPr>
                    <w:pStyle w:val="Compact"/>
                    <w:jc w:val="left"/>
                    <w:jc w:val="left"/>
                  </w:pPr>
                  <w:r>
                    <w:t xml:space="preserve">Job</w:t>
                  </w:r>
                </w:p>
              </w:tc>
              <w:tc>
                <w:tcPr/>
                <w:p>
                  <w:pPr>
                    <w:pStyle w:val="Compact"/>
                    <w:jc w:val="left"/>
                    <w:jc w:val="left"/>
                  </w:pPr>
                  <w:r>
                    <w:t xml:space="preserve">Example</w:t>
                  </w:r>
                </w:p>
              </w:tc>
            </w:tr>
            <w:tr>
              <w:tc>
                <w:tcPr/>
                <w:p>
                  <w:pPr>
                    <w:pStyle w:val="Compact"/>
                    <w:jc w:val="left"/>
                    <w:jc w:val="left"/>
                  </w:pPr>
                  <w:r>
                    <w:t xml:space="preserve">Permissions</w:t>
                  </w:r>
                </w:p>
              </w:tc>
              <w:tc>
                <w:tcPr/>
                <w:p>
                  <w:pPr>
                    <w:pStyle w:val="Compact"/>
                    <w:jc w:val="left"/>
                    <w:jc w:val="left"/>
                  </w:pPr>
                  <w:r>
                    <w:t xml:space="preserve">Decide which actions run automatically and which need your approval</w:t>
                  </w:r>
                </w:p>
              </w:tc>
              <w:tc>
                <w:tcPr/>
                <w:p>
                  <w:pPr>
                    <w:pStyle w:val="Compact"/>
                    <w:jc w:val="left"/>
                    <w:jc w:val="left"/>
                  </w:pPr>
                  <w:r>
                    <w:t xml:space="preserve">Block edits to restricted files</w:t>
                  </w:r>
                </w:p>
              </w:tc>
            </w:tr>
            <w:tr>
              <w:tc>
                <w:tcPr/>
                <w:p>
                  <w:pPr>
                    <w:pStyle w:val="Compact"/>
                    <w:jc w:val="left"/>
                    <w:jc w:val="left"/>
                  </w:pPr>
                  <w:r>
                    <w:t xml:space="preserve">Context</w:t>
                  </w:r>
                </w:p>
              </w:tc>
              <w:tc>
                <w:tcPr/>
                <w:p>
                  <w:pPr>
                    <w:pStyle w:val="Compact"/>
                    <w:jc w:val="left"/>
                    <w:jc w:val="left"/>
                  </w:pPr>
                  <w:r>
                    <w:t xml:space="preserve">Assemble the content your model sees each turn</w:t>
                  </w:r>
                </w:p>
              </w:tc>
              <w:tc>
                <w:tcPr/>
                <w:p>
                  <w:pPr>
                    <w:pStyle w:val="Compact"/>
                    <w:jc w:val="left"/>
                    <w:jc w:val="left"/>
                  </w:pPr>
                  <w:r>
                    <w:t xml:space="preserve">AGENTS.md, conversation history, file contents, tool outputs</w:t>
                  </w:r>
                </w:p>
              </w:tc>
            </w:tr>
            <w:tr>
              <w:tc>
                <w:tcPr/>
                <w:p>
                  <w:pPr>
                    <w:pStyle w:val="Compact"/>
                    <w:jc w:val="left"/>
                    <w:jc w:val="left"/>
                  </w:pPr>
                  <w:r>
                    <w:t xml:space="preserve">Loop</w:t>
                  </w:r>
                </w:p>
              </w:tc>
              <w:tc>
                <w:tcPr/>
                <w:p>
                  <w:pPr>
                    <w:pStyle w:val="Compact"/>
                    <w:jc w:val="left"/>
                    <w:jc w:val="left"/>
                  </w:pPr>
                  <w:r>
                    <w:t xml:space="preserve">Send your prompt to the model, run its tool calls and feed results back until the task finishes or you stop it</w:t>
                  </w:r>
                </w:p>
              </w:tc>
              <w:tc>
                <w:tcPr/>
                <w:p>
                  <w:pPr>
                    <w:pStyle w:val="Compact"/>
                    <w:jc w:val="left"/>
                    <w:jc w:val="left"/>
                  </w:pPr>
                  <w:r>
                    <w:t xml:space="preserve">Plan, then the model acts, then checks its work, then repeats or moves to the next step in the plan</w:t>
                  </w:r>
                </w:p>
              </w:tc>
            </w:tr>
            <w:tr>
              <w:tc>
                <w:tcPr/>
                <w:p>
                  <w:pPr>
                    <w:pStyle w:val="Compact"/>
                    <w:jc w:val="left"/>
                    <w:jc w:val="left"/>
                  </w:pPr>
                  <w:r>
                    <w:t xml:space="preserve">Interface</w:t>
                  </w:r>
                </w:p>
              </w:tc>
              <w:tc>
                <w:tcPr/>
                <w:p>
                  <w:pPr>
                    <w:pStyle w:val="Compact"/>
                    <w:jc w:val="left"/>
                    <w:jc w:val="left"/>
                  </w:pPr>
                  <w:r>
                    <w:t xml:space="preserve">Show where you type prompts, watch the agent work, and read its output</w:t>
                  </w:r>
                </w:p>
              </w:tc>
              <w:tc>
                <w:tcPr/>
                <w:p>
                  <w:pPr>
                    <w:pStyle w:val="Compact"/>
                    <w:jc w:val="left"/>
                    <w:jc w:val="left"/>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illustration of a typical human-at-the-helm data analysis environment that includes agentic AI. The entire frame is encapsulated in an Integrated Development Environment, such as RStudio, Positron, or VS Code. On the left side is a Quarto document where we can see headings (</w:t>
            </w:r>
            <w:r>
              <w:t xml:space="preserve">‘</w:t>
            </w:r>
            <w:r>
              <w:t xml:space="preserve">Exploring the data</w:t>
            </w:r>
            <w:r>
              <w:t xml:space="preserve">’</w:t>
            </w:r>
            <w:r>
              <w:t xml:space="preserve">,</w:t>
            </w:r>
            <w:r>
              <w:t xml:space="preserve"> </w:t>
            </w:r>
            <w:r>
              <w:t xml:space="preserve">‘</w:t>
            </w:r>
            <w:r>
              <w:t xml:space="preserve">Results</w:t>
            </w:r>
            <w:r>
              <w:t xml:space="preserve">’</w:t>
            </w:r>
            <w:r>
              <w:t xml:space="preserve">), lines of narrative text, an R code block, and a data visualization. The AI agent is active in the R code block. The human researcher is active in the narrative text. On the right side is the AI agent’s harness, for example, OpenCode. We can see there are three agents active, agent 1 is operating in plan mode (so it cannot modify any file). Its scope of activities is limited to the current project’s working directory (which includes a project-level AGENTS.md file and a git repository for tracking changes). The agent has replied with some text and is now presenting a set of options to the researcher to choose from. At the bottom of the harness is the box to type prompts to the model, and below that text that indicates what model is currently in use, and how much the model has been used in the current session.</w:t>
            </w:r>
          </w:p>
          <w:bookmarkEnd w:id="28"/>
        </w:tc>
      </w:tr>
    </w:tbl>
    <w:p>
      <w:pPr>
        <w:pStyle w:val="BodyText"/>
      </w:pPr>
      <w:r>
        <w:t xml:space="preserve">Store preferences and working habits you reuse across projects in a global AGENTS.md file.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w:t>
      </w:r>
      <w:r>
        <w:t xml:space="preserve">, giving you a chance to steer and challenge the model, request justification for decisions it proposes, and invite the model to criticize your ideas, in preparation for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an LLM can benefit from using a state-of-the-art, reasoning-enabled frontier model. Larger models execute substantially more steps before failing than smaller models do, even where the smaller models are near-perfect on any single step, so small per-step accuracy gains compound into large gains in the length of a task the model can complete</w:t>
      </w:r>
      <w:r>
        <w:t xml:space="preserve"> </w:t>
      </w:r>
      <w:r>
        <w:t xml:space="preserve">(Sinha et al. 2026)</w:t>
      </w:r>
      <w:r>
        <w:t xml:space="preserve">. Because larger models are slower, more expensive and more resource intensive, we recommend switching to a smaller model once the plan is fixed and the remaining steps are well-defined</w:t>
      </w:r>
      <w:r>
        <w:t xml:space="preserve"> </w:t>
      </w:r>
      <w:r>
        <w:t xml:space="preserve">(Chen and Varoquaux 2026)</w:t>
      </w:r>
      <w:r>
        <w:t xml:space="preserve">.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 and ignore instructions</w:t>
      </w:r>
      <w:r>
        <w:t xml:space="preserve"> </w:t>
      </w:r>
      <w:r>
        <w:t xml:space="preserve">(Brown, Aitken, et al. 2026)</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summarizes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left"/>
            </w:pPr>
            <w:pPr>
              <w:jc w:val="start"/>
              <w:spacing w:before="200"/>
              <w:pStyle w:val="ImageCaption"/>
            </w:pPr>
            <w:r>
              <w:t xml:space="preserve">Table 4: Options for minimizing risks of working with restricted data and agentic AI.</w:t>
            </w:r>
          </w:p>
          <w:tbl>
            <w:tblPr>
              <w:tblStyle w:val="Table"/>
              <w:tblW w:type="pct" w:w="5000"/>
              <w:tblLook w:firstRow="1" w:lastRow="0" w:firstColumn="0" w:lastColumn="0" w:noHBand="0" w:noVBand="0" w:val="0020"/>
              <w:jc w:val="start"/>
              <w:tblLayout w:type="fixed"/>
            </w:tblPr>
            <w:tblGrid>
              <w:gridCol w:w="1584"/>
              <w:gridCol w:w="3564"/>
              <w:gridCol w:w="2772"/>
            </w:tblGrid>
            <w:tr>
              <w:trPr>
                <w:tblHeader w:val="true"/>
              </w:trPr>
              <w:tc>
                <w:tcPr/>
                <w:p>
                  <w:pPr>
                    <w:pStyle w:val="Compact"/>
                    <w:jc w:val="left"/>
                    <w:jc w:val="left"/>
                  </w:pPr>
                  <w:r>
                    <w:t xml:space="preserve">Option</w:t>
                  </w:r>
                </w:p>
              </w:tc>
              <w:tc>
                <w:tcPr/>
                <w:p>
                  <w:pPr>
                    <w:pStyle w:val="Compact"/>
                    <w:jc w:val="left"/>
                    <w:jc w:val="left"/>
                  </w:pPr>
                  <w:r>
                    <w:t xml:space="preserve">Action</w:t>
                  </w:r>
                </w:p>
              </w:tc>
              <w:tc>
                <w:tcPr/>
                <w:p>
                  <w:pPr>
                    <w:pStyle w:val="Compact"/>
                    <w:jc w:val="left"/>
                    <w:jc w:val="left"/>
                  </w:pPr>
                  <w:r>
                    <w:t xml:space="preserve">Limitation</w:t>
                  </w:r>
                </w:p>
              </w:tc>
            </w:tr>
            <w:tr>
              <w:tc>
                <w:tcPr/>
                <w:p>
                  <w:pPr>
                    <w:pStyle w:val="Compact"/>
                    <w:jc w:val="left"/>
                    <w:jc w:val="left"/>
                  </w:pPr>
                  <w:r>
                    <w:t xml:space="preserve">Zero Data Retention (ZDR)</w:t>
                  </w:r>
                </w:p>
              </w:tc>
              <w:tc>
                <w:tcPr/>
                <w:p>
                  <w:pPr>
                    <w:pStyle w:val="Compact"/>
                    <w:jc w:val="left"/>
                    <w:jc w:val="left"/>
                  </w:pPr>
                  <w:r>
                    <w:t xml:space="preserve">Use a provider that deletes request data immediately after processing</w:t>
                  </w:r>
                </w:p>
              </w:tc>
              <w:tc>
                <w:tcPr/>
                <w:p>
                  <w:pPr>
                    <w:pStyle w:val="Compact"/>
                    <w:jc w:val="left"/>
                    <w:jc w:val="left"/>
                  </w:pPr>
                  <w:r>
                    <w:t xml:space="preserve">Contractual promise only; check terms before sending sensitive data</w:t>
                  </w:r>
                </w:p>
              </w:tc>
            </w:tr>
            <w:tr>
              <w:tc>
                <w:tcPr/>
                <w:p>
                  <w:pPr>
                    <w:pStyle w:val="Compact"/>
                    <w:jc w:val="left"/>
                    <w:jc w:val="left"/>
                  </w:pPr>
                  <w:r>
                    <w:t xml:space="preserve">Outside-folder storage</w:t>
                  </w:r>
                </w:p>
              </w:tc>
              <w:tc>
                <w:tcPr/>
                <w:p>
                  <w:pPr>
                    <w:pStyle w:val="Compact"/>
                    <w:jc w:val="left"/>
                    <w:jc w:val="left"/>
                  </w:pPr>
                  <w:r>
                    <w:t xml:space="preserve">Keep restricted files in a directory outside the project folder so the agent cannot open them by accident</w:t>
                  </w:r>
                  <w:r>
                    <w:t xml:space="preserve"> </w:t>
                  </w:r>
                  <w:r>
                    <w:t xml:space="preserve">(Brown 2026)</w:t>
                  </w:r>
                </w:p>
              </w:tc>
              <w:tc>
                <w:tcPr/>
                <w:p>
                  <w:pPr>
                    <w:pStyle w:val="Compact"/>
                    <w:jc w:val="left"/>
                    <w:jc w:val="left"/>
                  </w:pPr>
                  <w:r>
                    <w:t xml:space="preserve">You must move files yourself and manage what the agent can see</w:t>
                  </w:r>
                </w:p>
              </w:tc>
            </w:tr>
            <w:tr>
              <w:tc>
                <w:tcPr/>
                <w:p>
                  <w:pPr>
                    <w:pStyle w:val="Compact"/>
                    <w:jc w:val="left"/>
                    <w:jc w:val="left"/>
                  </w:pPr>
                  <w:r>
                    <w:t xml:space="preserve">Local LLM</w:t>
                  </w:r>
                </w:p>
              </w:tc>
              <w:tc>
                <w:tcPr/>
                <w:p>
                  <w:pPr>
                    <w:pStyle w:val="Compact"/>
                    <w:jc w:val="left"/>
                    <w:jc w:val="left"/>
                  </w:pPr>
                  <w:r>
                    <w:t xml:space="preserve">Run the model on your computer so no data leave it</w:t>
                  </w:r>
                  <w:r>
                    <w:t xml:space="preserve"> </w:t>
                  </w:r>
                  <w:r>
                    <w:t xml:space="preserve">(Abramson et al. 2026; Wiest et al. 2024)</w:t>
                  </w:r>
                </w:p>
              </w:tc>
              <w:tc>
                <w:tcPr/>
                <w:p>
                  <w:pPr>
                    <w:pStyle w:val="Compact"/>
                    <w:jc w:val="left"/>
                    <w:jc w:val="left"/>
                  </w:pPr>
                  <w:r>
                    <w:t xml:space="preserve">Matching hosted-model quality needs expensive high-performance hardware</w:t>
                  </w:r>
                  <w:r>
                    <w:t xml:space="preserve"> </w:t>
                  </w:r>
                  <w:r>
                    <w:t xml:space="preserve">(Brown, Spillias, et al. 2026)</w:t>
                  </w:r>
                </w:p>
              </w:tc>
            </w:tr>
            <w:tr>
              <w:tc>
                <w:tcPr/>
                <w:p>
                  <w:pPr>
                    <w:pStyle w:val="Compact"/>
                    <w:jc w:val="left"/>
                    <w:jc w:val="left"/>
                  </w:pPr>
                  <w:r>
                    <w:t xml:space="preserve">Synthetic proxy data</w:t>
                  </w:r>
                </w:p>
              </w:tc>
              <w:tc>
                <w:tcPr/>
                <w:p>
                  <w:pPr>
                    <w:pStyle w:val="Compact"/>
                    <w:jc w:val="left"/>
                    <w:jc w:val="left"/>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left"/>
                  </w:pPr>
                  <w:r>
                    <w:t xml:space="preserve">The proxy must match the variable types, distributions, and format of the real columns, or the code will not transfer</w:t>
                  </w:r>
                </w:p>
              </w:tc>
            </w:tr>
          </w:tbl>
          <w:bookmarkEnd w:id="29"/>
          <w:p/>
        </w:tc>
      </w:tr>
    </w:tbl>
    <w:bookmarkEnd w:id="30"/>
    <w:bookmarkStart w:id="36" w:name="sec-analysis"/>
    <w:p>
      <w:pPr>
        <w:pStyle w:val="Heading1"/>
      </w:pPr>
      <w:r>
        <w:t xml:space="preserve">Step 3: Use Tools, Skills, and Model Context Protocols to Research, Plan, Execute, and Verify</w:t>
      </w:r>
    </w:p>
    <w:p>
      <w:pPr>
        <w:pStyle w:val="FirstParagraph"/>
      </w:pPr>
      <w:r>
        <w:t xml:space="preserve">With the harness configured, working with an AI to generate plans and analyze data is more efficient by using tools, skills and Model Context Protocols (MCPs) to do common research tasks such as search for and verify references, write and run code, organize and manage files, and simulate peer review. A tool performs a single computer action and returns a result, such as reading, editing and renaming a file, or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file’s contents are sent to the model as part of the prompt. For example, we have a skill file for tidyverse conventions in R. When we ask for R code, the harness loads that file into the context and sends it to the model along with the rest of the prompt, and the output follows those instructions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we currently use and recommend for archaeological work. These are open formats so you can work with your agent to write new skills and MCP servers to meet the needs of your specific projects.</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left"/>
            </w:pPr>
            <w:pPr>
              <w:jc w:val="start"/>
              <w:spacing w:before="200"/>
              <w:pStyle w:val="ImageCaption"/>
            </w:pPr>
            <w:r>
              <w:t xml:space="preserve">Table 5: Instructions, MCP servers and skills installed in our OpenCode configuration that we have found useful for assistance with routine research tasks. The source column refers to repositories on github.com and publications. Readers can copy-paste this table into their AI agent and ask it to install the skills and MCP servers for global availability across their projects. This list is a snapshot of a fast-moving field: some of these projects may disappear, and better ones may soon replace them. Ask your AI agent to search for the current state-of-the-art skills and MCP servers for your specific purpose. The access date for all repositories in this table was 1 Oct 2026.</w:t>
            </w:r>
          </w:p>
          <w:tbl>
            <w:tblPr>
              <w:tblStyle w:val="Table"/>
              <w:tblW w:type="pct" w:w="5000"/>
              <w:tblLook w:firstRow="1" w:lastRow="0" w:firstColumn="0" w:lastColumn="0" w:noHBand="0" w:noVBand="0" w:val="0020"/>
              <w:jc w:val="start"/>
              <w:tblLayout w:type="fixed"/>
            </w:tblPr>
            <w:tblGrid>
              <w:gridCol w:w="633"/>
              <w:gridCol w:w="1584"/>
              <w:gridCol w:w="3484"/>
              <w:gridCol w:w="1267"/>
              <w:gridCol w:w="950"/>
            </w:tblGrid>
            <w:tr>
              <w:trPr>
                <w:tblHeader w:val="true"/>
              </w:trPr>
              <w:tc>
                <w:tcPr/>
                <w:p>
                  <w:pPr>
                    <w:pStyle w:val="Compact"/>
                    <w:jc w:val="left"/>
                    <w:jc w:val="left"/>
                  </w:pPr>
                  <w:r>
                    <w:t xml:space="preserve">Type</w:t>
                  </w:r>
                </w:p>
              </w:tc>
              <w:tc>
                <w:tcPr/>
                <w:p>
                  <w:pPr>
                    <w:pStyle w:val="Compact"/>
                    <w:jc w:val="left"/>
                    <w:jc w:val="left"/>
                  </w:pPr>
                  <w:r>
                    <w:t xml:space="preserve">Name</w:t>
                  </w:r>
                </w:p>
              </w:tc>
              <w:tc>
                <w:tcPr/>
                <w:p>
                  <w:pPr>
                    <w:pStyle w:val="Compact"/>
                    <w:jc w:val="left"/>
                    <w:jc w:val="left"/>
                  </w:pPr>
                  <w:r>
                    <w:t xml:space="preserve">Purpose</w:t>
                  </w:r>
                </w:p>
              </w:tc>
              <w:tc>
                <w:tcPr/>
                <w:p>
                  <w:pPr>
                    <w:pStyle w:val="Compact"/>
                    <w:jc w:val="left"/>
                    <w:jc w:val="left"/>
                  </w:pPr>
                  <w:r>
                    <w:t xml:space="preserve">Source</w:t>
                  </w:r>
                </w:p>
              </w:tc>
              <w:tc>
                <w:tcPr/>
                <w:p>
                  <w:pPr>
                    <w:pStyle w:val="Compact"/>
                    <w:jc w:val="left"/>
                    <w:jc w:val="left"/>
                  </w:pPr>
                  <w:r>
                    <w:t xml:space="preserve">License</w:t>
                  </w:r>
                </w:p>
              </w:tc>
            </w:tr>
            <w:tr>
              <w:tc>
                <w:tcPr/>
                <w:p>
                  <w:pPr>
                    <w:pStyle w:val="Compact"/>
                    <w:jc w:val="left"/>
                    <w:jc w:val="left"/>
                  </w:pPr>
                  <w:r>
                    <w:t xml:space="preserve">Instructions</w:t>
                  </w:r>
                </w:p>
              </w:tc>
              <w:tc>
                <w:tcPr/>
                <w:p>
                  <w:pPr>
                    <w:pStyle w:val="Compact"/>
                    <w:jc w:val="left"/>
                    <w:jc w:val="left"/>
                  </w:pPr>
                  <w:r>
                    <w:t xml:space="preserve">global AGENTS.md</w:t>
                  </w:r>
                </w:p>
              </w:tc>
              <w:tc>
                <w:tcPr/>
                <w:p>
                  <w:pPr>
                    <w:pStyle w:val="Compact"/>
                    <w:jc w:val="left"/>
                    <w:jc w:val="left"/>
                  </w:pPr>
                  <w:r>
                    <w:t xml:space="preserve">Global preferences and working habits applied across all projects</w:t>
                  </w:r>
                </w:p>
              </w:tc>
              <w:tc>
                <w:tcPr/>
                <w:p>
                  <w:pPr>
                    <w:pStyle w:val="Compact"/>
                    <w:jc w:val="left"/>
                    <w:jc w:val="left"/>
                  </w:pPr>
                  <w:r>
                    <w:t xml:space="preserve">local</w:t>
                  </w:r>
                </w:p>
              </w:tc>
              <w:tc>
                <w:tcPr/>
                <w:p>
                  <w:pPr>
                    <w:pStyle w:val="Compact"/>
                    <w:jc w:val="left"/>
                    <w:jc w:val="left"/>
                  </w:pPr>
                  <w:r>
                    <w:t xml:space="preserve">MIT</w:t>
                  </w:r>
                </w:p>
              </w:tc>
            </w:tr>
            <w:tr>
              <w:tc>
                <w:tcPr/>
                <w:p>
                  <w:pPr>
                    <w:pStyle w:val="Compact"/>
                    <w:jc w:val="left"/>
                    <w:jc w:val="left"/>
                  </w:pPr>
                  <w:r>
                    <w:t xml:space="preserve">Instructions</w:t>
                  </w:r>
                </w:p>
              </w:tc>
              <w:tc>
                <w:tcPr/>
                <w:p>
                  <w:pPr>
                    <w:pStyle w:val="Compact"/>
                    <w:jc w:val="left"/>
                    <w:jc w:val="left"/>
                  </w:pPr>
                  <w:r>
                    <w:t xml:space="preserve">project-specific AGENTS.md</w:t>
                  </w:r>
                </w:p>
              </w:tc>
              <w:tc>
                <w:tcPr/>
                <w:p>
                  <w:pPr>
                    <w:pStyle w:val="Compact"/>
                    <w:jc w:val="left"/>
                    <w:jc w:val="left"/>
                  </w:pPr>
                  <w:r>
                    <w:t xml:space="preserve">Specific custom project context and instructions auto-loaded at the start of each session</w:t>
                  </w:r>
                </w:p>
              </w:tc>
              <w:tc>
                <w:tcPr/>
                <w:p>
                  <w:pPr>
                    <w:pStyle w:val="Compact"/>
                    <w:jc w:val="left"/>
                    <w:jc w:val="left"/>
                  </w:pPr>
                  <w:r>
                    <w:t xml:space="preserve">local</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deep-research</w:t>
                  </w:r>
                </w:p>
              </w:tc>
              <w:tc>
                <w:tcPr/>
                <w:p>
                  <w:pPr>
                    <w:pStyle w:val="Compact"/>
                    <w:jc w:val="left"/>
                    <w:jc w:val="left"/>
                  </w:pPr>
                  <w:r>
                    <w:t xml:space="preserve">Agent team for literature search verification synthesis and systematic review</w:t>
                  </w:r>
                </w:p>
              </w:tc>
              <w:tc>
                <w:tcPr/>
                <w:p>
                  <w:pPr>
                    <w:pStyle w:val="Compact"/>
                    <w:jc w:val="left"/>
                    <w:jc w:val="left"/>
                  </w:pPr>
                  <w:r>
                    <w:t xml:space="preserve">pafozz/hermes-deep-research</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r-style-guide</w:t>
                  </w:r>
                </w:p>
              </w:tc>
              <w:tc>
                <w:tcPr/>
                <w:p>
                  <w:pPr>
                    <w:pStyle w:val="Compact"/>
                    <w:jc w:val="left"/>
                    <w:jc w:val="left"/>
                  </w:pPr>
                  <w:r>
                    <w:t xml:space="preserve">Conventions for writing R, e.g. naming, spacing, layout, function design</w:t>
                  </w:r>
                </w:p>
              </w:tc>
              <w:tc>
                <w:tcPr/>
                <w:p>
                  <w:pPr>
                    <w:pStyle w:val="Compact"/>
                    <w:jc w:val="left"/>
                    <w:jc w:val="left"/>
                  </w:pPr>
                  <w:r>
                    <w:t xml:space="preserve">ab604/claude-code-r-skills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tidyverse-patterns</w:t>
                  </w:r>
                </w:p>
              </w:tc>
              <w:tc>
                <w:tcPr/>
                <w:p>
                  <w:pPr>
                    <w:pStyle w:val="Compact"/>
                    <w:jc w:val="left"/>
                    <w:jc w:val="left"/>
                  </w:pPr>
                  <w:r>
                    <w:t xml:space="preserve">Conventions for using tidyverse packages, e.g. modern pipes, joins, grouping, string handling</w:t>
                  </w:r>
                </w:p>
              </w:tc>
              <w:tc>
                <w:tcPr/>
                <w:p>
                  <w:pPr>
                    <w:pStyle w:val="Compact"/>
                    <w:jc w:val="left"/>
                    <w:jc w:val="left"/>
                  </w:pPr>
                  <w:r>
                    <w:t xml:space="preserve">ab604/claude-code-r-skills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quarto-authoring</w:t>
                  </w:r>
                </w:p>
              </w:tc>
              <w:tc>
                <w:tcPr/>
                <w:p>
                  <w:pPr>
                    <w:pStyle w:val="Compact"/>
                    <w:jc w:val="left"/>
                    <w:jc w:val="left"/>
                  </w:pPr>
                  <w:r>
                    <w:t xml:space="preserve">Authoring with Quarto documents, e.g. cross-references, citations, and extensions</w:t>
                  </w:r>
                </w:p>
              </w:tc>
              <w:tc>
                <w:tcPr/>
                <w:p>
                  <w:pPr>
                    <w:pStyle w:val="Compact"/>
                    <w:jc w:val="left"/>
                    <w:jc w:val="left"/>
                  </w:pPr>
                  <w:r>
                    <w:t xml:space="preserve">posit-dev/skills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zotero-cli</w:t>
                  </w:r>
                </w:p>
              </w:tc>
              <w:tc>
                <w:tcPr/>
                <w:p>
                  <w:pPr>
                    <w:pStyle w:val="Compact"/>
                    <w:jc w:val="left"/>
                    <w:jc w:val="left"/>
                  </w:pPr>
                  <w:r>
                    <w:t xml:space="preserve">Searches, reads, and annotates the author’s Zotero library from the shell</w:t>
                  </w:r>
                </w:p>
              </w:tc>
              <w:tc>
                <w:tcPr/>
                <w:p>
                  <w:pPr>
                    <w:pStyle w:val="Compact"/>
                    <w:jc w:val="left"/>
                    <w:jc w:val="left"/>
                  </w:pPr>
                  <w:r>
                    <w:t xml:space="preserve">Agents365-ai/zotero-cli-ai</w:t>
                  </w:r>
                </w:p>
              </w:tc>
              <w:tc>
                <w:tcPr/>
                <w:p>
                  <w:pPr>
                    <w:pStyle w:val="Compact"/>
                    <w:jc w:val="left"/>
                    <w:jc w:val="left"/>
                  </w:pPr>
                  <w:r>
                    <w:t xml:space="preserve">AGPL-3.0</w:t>
                  </w:r>
                </w:p>
              </w:tc>
            </w:tr>
            <w:tr>
              <w:tc>
                <w:tcPr/>
                <w:p>
                  <w:pPr>
                    <w:pStyle w:val="Compact"/>
                    <w:jc w:val="left"/>
                    <w:jc w:val="left"/>
                  </w:pPr>
                  <w:r>
                    <w:t xml:space="preserve">Skill</w:t>
                  </w:r>
                </w:p>
              </w:tc>
              <w:tc>
                <w:tcPr/>
                <w:p>
                  <w:pPr>
                    <w:pStyle w:val="Compact"/>
                    <w:jc w:val="left"/>
                    <w:jc w:val="left"/>
                  </w:pPr>
                  <w:r>
                    <w:t xml:space="preserve">paperdoctor</w:t>
                  </w:r>
                </w:p>
              </w:tc>
              <w:tc>
                <w:tcPr/>
                <w:p>
                  <w:pPr>
                    <w:pStyle w:val="Compact"/>
                    <w:jc w:val="left"/>
                    <w:jc w:val="left"/>
                  </w:pPr>
                  <w:r>
                    <w:t xml:space="preserve">Suite of skills that reviews a manuscript in progress by checking its claims, code, math, references and visual layout, then renders every finding into one interactive HTML report</w:t>
                  </w:r>
                </w:p>
              </w:tc>
              <w:tc>
                <w:tcPr/>
                <w:p>
                  <w:pPr>
                    <w:pStyle w:val="Compact"/>
                    <w:jc w:val="left"/>
                    <w:jc w:val="left"/>
                  </w:pPr>
                  <w:r>
                    <w:t xml:space="preserve">QinghongLin/paperdoctor,</w:t>
                  </w:r>
                  <w:r>
                    <w:t xml:space="preserve"> </w:t>
                  </w:r>
                  <w:r>
                    <w:t xml:space="preserve">Lin et al. (2026)</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open-scholar-skill</w:t>
                  </w:r>
                </w:p>
              </w:tc>
              <w:tc>
                <w:tcPr/>
                <w:p>
                  <w:pPr>
                    <w:pStyle w:val="Compact"/>
                    <w:jc w:val="left"/>
                    <w:jc w:val="left"/>
                  </w:pPr>
                  <w:r>
                    <w:t xml:space="preserve">Suite of skills for assisting with social science research through a pipeline of verification gates, e.g. idea generation, theory exploration, study design, analysis, ethics, etc</w:t>
                  </w:r>
                </w:p>
              </w:tc>
              <w:tc>
                <w:tcPr/>
                <w:p>
                  <w:pPr>
                    <w:pStyle w:val="Compact"/>
                    <w:jc w:val="left"/>
                    <w:jc w:val="left"/>
                  </w:pPr>
                  <w:r>
                    <w:t xml:space="preserve">joshzyj/open-scholar-skill,</w:t>
                  </w:r>
                  <w:r>
                    <w:t xml:space="preserve"> </w:t>
                  </w:r>
                  <w:r>
                    <w:t xml:space="preserve">Zhang (2026)</w:t>
                  </w:r>
                </w:p>
              </w:tc>
              <w:tc>
                <w:tcPr/>
                <w:p>
                  <w:pPr>
                    <w:pStyle w:val="Compact"/>
                    <w:jc w:val="left"/>
                    <w:jc w:val="left"/>
                  </w:pPr>
                  <w:r>
                    <w:t xml:space="preserve">Custom License for non-commercial, academic use,</w:t>
                  </w:r>
                </w:p>
              </w:tc>
            </w:tr>
            <w:tr>
              <w:tc>
                <w:tcPr/>
                <w:p>
                  <w:pPr>
                    <w:pStyle w:val="Compact"/>
                    <w:jc w:val="left"/>
                    <w:jc w:val="left"/>
                  </w:pPr>
                  <w:r>
                    <w:t xml:space="preserve">Skill</w:t>
                  </w:r>
                </w:p>
              </w:tc>
              <w:tc>
                <w:tcPr/>
                <w:p>
                  <w:pPr>
                    <w:pStyle w:val="Compact"/>
                    <w:jc w:val="left"/>
                    <w:jc w:val="left"/>
                  </w:pPr>
                  <w:r>
                    <w:t xml:space="preserve">manuscript-writing-review</w:t>
                  </w:r>
                </w:p>
              </w:tc>
              <w:tc>
                <w:tcPr/>
                <w:p>
                  <w:pPr>
                    <w:pStyle w:val="Compact"/>
                    <w:jc w:val="left"/>
                    <w:jc w:val="left"/>
                  </w:pPr>
                  <w:r>
                    <w:t xml:space="preserve">Reviews a scientific or engineering manuscript for writing quality, e.g. clutter, passive voice, sentence architecture, keyword consistency, and numerical or citation errors</w:t>
                  </w:r>
                </w:p>
              </w:tc>
              <w:tc>
                <w:tcPr/>
                <w:p>
                  <w:pPr>
                    <w:pStyle w:val="Compact"/>
                    <w:jc w:val="left"/>
                    <w:jc w:val="left"/>
                  </w:pPr>
                  <w:r>
                    <w:t xml:space="preserve">labarba/sciwrite</w:t>
                  </w:r>
                </w:p>
              </w:tc>
              <w:tc>
                <w:tcPr/>
                <w:p>
                  <w:pPr>
                    <w:pStyle w:val="Compact"/>
                    <w:jc w:val="left"/>
                    <w:jc w:val="left"/>
                  </w:pPr>
                  <w:r>
                    <w:t xml:space="preserve">CC-BY-4.0</w:t>
                  </w:r>
                </w:p>
              </w:tc>
            </w:tr>
            <w:tr>
              <w:tc>
                <w:tcPr/>
                <w:p>
                  <w:pPr>
                    <w:pStyle w:val="Compact"/>
                    <w:jc w:val="left"/>
                    <w:jc w:val="left"/>
                  </w:pPr>
                  <w:r>
                    <w:t xml:space="preserve">MCP</w:t>
                  </w:r>
                </w:p>
              </w:tc>
              <w:tc>
                <w:tcPr/>
                <w:p>
                  <w:pPr>
                    <w:pStyle w:val="Compact"/>
                    <w:jc w:val="left"/>
                    <w:jc w:val="left"/>
                  </w:pPr>
                  <w:r>
                    <w:t xml:space="preserve">r-mcptools</w:t>
                  </w:r>
                </w:p>
              </w:tc>
              <w:tc>
                <w:tcPr/>
                <w:p>
                  <w:pPr>
                    <w:pStyle w:val="Compact"/>
                    <w:jc w:val="left"/>
                    <w:jc w:val="left"/>
                  </w:pPr>
                  <w:r>
                    <w:t xml:space="preserve">Exposes a running R session so the agent can execute code and read results</w:t>
                  </w:r>
                </w:p>
              </w:tc>
              <w:tc>
                <w:tcPr/>
                <w:p>
                  <w:pPr>
                    <w:pStyle w:val="Compact"/>
                    <w:jc w:val="left"/>
                    <w:jc w:val="left"/>
                  </w:pPr>
                  <w:r>
                    <w:t xml:space="preserve">posit-dev/mcptools</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refcheck</w:t>
                  </w:r>
                </w:p>
              </w:tc>
              <w:tc>
                <w:tcPr/>
                <w:p>
                  <w:pPr>
                    <w:pStyle w:val="Compact"/>
                    <w:jc w:val="left"/>
                    <w:jc w:val="left"/>
                  </w:pPr>
                  <w:r>
                    <w:t xml:space="preserve">Searches publication databases and returns verified references with BibTeX</w:t>
                  </w:r>
                </w:p>
              </w:tc>
              <w:tc>
                <w:tcPr/>
                <w:p>
                  <w:pPr>
                    <w:pStyle w:val="Compact"/>
                    <w:jc w:val="left"/>
                    <w:jc w:val="left"/>
                  </w:pPr>
                  <w:r>
                    <w:t xml:space="preserve">benchoi93/refcheck</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scholar_mcp</w:t>
                  </w:r>
                </w:p>
              </w:tc>
              <w:tc>
                <w:tcPr/>
                <w:p>
                  <w:pPr>
                    <w:pStyle w:val="Compact"/>
                    <w:jc w:val="left"/>
                    <w:jc w:val="left"/>
                  </w:pPr>
                  <w:r>
                    <w:t xml:space="preserve">Searches Google Scholar and other sources by keywords and then reads inside papers</w:t>
                  </w:r>
                </w:p>
              </w:tc>
              <w:tc>
                <w:tcPr/>
                <w:p>
                  <w:pPr>
                    <w:pStyle w:val="Compact"/>
                    <w:jc w:val="left"/>
                    <w:jc w:val="left"/>
                  </w:pPr>
                  <w:r>
                    <w:t xml:space="preserve">Liyux3/scholar-mcp</w:t>
                  </w:r>
                </w:p>
              </w:tc>
              <w:tc>
                <w:tcPr/>
                <w:p>
                  <w:pPr>
                    <w:pStyle w:val="Compact"/>
                    <w:jc w:val="left"/>
                    <w:jc w:val="left"/>
                  </w:pPr>
                  <w:r>
                    <w:t xml:space="preserve">Apache-2.0</w:t>
                  </w:r>
                </w:p>
              </w:tc>
            </w:tr>
            <w:tr>
              <w:tc>
                <w:tcPr/>
                <w:p>
                  <w:pPr>
                    <w:pStyle w:val="Compact"/>
                    <w:jc w:val="left"/>
                    <w:jc w:val="left"/>
                  </w:pPr>
                  <w:r>
                    <w:t xml:space="preserve">MCP</w:t>
                  </w:r>
                </w:p>
              </w:tc>
              <w:tc>
                <w:tcPr/>
                <w:p>
                  <w:pPr>
                    <w:pStyle w:val="Compact"/>
                    <w:jc w:val="left"/>
                    <w:jc w:val="left"/>
                  </w:pPr>
                  <w:r>
                    <w:t xml:space="preserve">markitdown</w:t>
                  </w:r>
                </w:p>
              </w:tc>
              <w:tc>
                <w:tcPr/>
                <w:p>
                  <w:pPr>
                    <w:pStyle w:val="Compact"/>
                    <w:jc w:val="left"/>
                    <w:jc w:val="left"/>
                  </w:pPr>
                  <w:r>
                    <w:t xml:space="preserve">Converts DOCX files, PDFs and web pages to markdown the agent can read</w:t>
                  </w:r>
                </w:p>
              </w:tc>
              <w:tc>
                <w:tcPr/>
                <w:p>
                  <w:pPr>
                    <w:pStyle w:val="Compact"/>
                    <w:jc w:val="left"/>
                    <w:jc w:val="left"/>
                  </w:pPr>
                  <w:r>
                    <w:t xml:space="preserve">microsoft/markitdown</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open-scholar-peer</w:t>
                  </w:r>
                </w:p>
              </w:tc>
              <w:tc>
                <w:tcPr/>
                <w:p>
                  <w:pPr>
                    <w:pStyle w:val="Compact"/>
                    <w:jc w:val="left"/>
                    <w:jc w:val="left"/>
                  </w:pPr>
                  <w:r>
                    <w:t xml:space="preserve">An open source implementation of ScholarPeer: A Context-Aware Multi-Agent Framework for Automated Peer Review</w:t>
                  </w:r>
                </w:p>
              </w:tc>
              <w:tc>
                <w:tcPr/>
                <w:p>
                  <w:pPr>
                    <w:pStyle w:val="Compact"/>
                    <w:jc w:val="left"/>
                    <w:jc w:val="left"/>
                  </w:pPr>
                  <w:r>
                    <w:t xml:space="preserve">amirkiarafiei/open-scholar-peer,</w:t>
                  </w:r>
                  <w:r>
                    <w:t xml:space="preserve"> </w:t>
                  </w:r>
                  <w:r>
                    <w:t xml:space="preserve">Goyal et al. (2026)</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playwright</w:t>
                  </w:r>
                </w:p>
              </w:tc>
              <w:tc>
                <w:tcPr/>
                <w:p>
                  <w:pPr>
                    <w:pStyle w:val="Compact"/>
                    <w:jc w:val="left"/>
                    <w:jc w:val="left"/>
                  </w:pPr>
                  <w:r>
                    <w:t xml:space="preserve">Provides browser automation capabilities for LLMs, allowing AI agents to interact with web pages</w:t>
                  </w:r>
                </w:p>
              </w:tc>
              <w:tc>
                <w:tcPr/>
                <w:p>
                  <w:pPr>
                    <w:pStyle w:val="Compact"/>
                    <w:jc w:val="left"/>
                    <w:jc w:val="left"/>
                  </w:pPr>
                  <w:r>
                    <w:t xml:space="preserve">microsoft/playwright-mcp</w:t>
                  </w:r>
                </w:p>
              </w:tc>
              <w:tc>
                <w:tcPr/>
                <w:p>
                  <w:pPr>
                    <w:pStyle w:val="Compact"/>
                    <w:jc w:val="left"/>
                    <w:jc w:val="left"/>
                  </w:pPr>
                  <w:r>
                    <w:t xml:space="preserve">Apache-2.0</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 the agent but cannot force compliance, so you need to review the completeness and accuracy of results before incorporating them into your work.</w:t>
      </w:r>
    </w:p>
    <w:p>
      <w:pPr>
        <w:pStyle w:val="BodyText"/>
      </w:pPr>
      <w:r>
        <w:t xml:space="preserve">Skill files can assist with automated manuscript review to prepare your work for human review. For example,</w:t>
      </w:r>
      <w:r>
        <w:t xml:space="preserve"> </w:t>
      </w:r>
      <w:r>
        <w:t xml:space="preserve">Lin et al. (2026)</w:t>
      </w:r>
      <w:r>
        <w:t xml:space="preserve"> </w:t>
      </w:r>
      <w:r>
        <w:t xml:space="preserve">describe PaperDoctor, an agent framework that checks a draft’s claims against its code, prior work, references and visual layout, returns each finding with a pointer to the supporting evidence and a suggested revision. In their evaluation it reached 71% agreement with human advisers across 30 in-progress papers, so you should expect to disagree with some findings and check each one before revising. We recommend multiple iterations with literature search, verification, and manuscript review skills and MCP servers, adjusting the prompt each time to steer the model to focus on different areas of your project.</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For example, to plan and write code for a stone artifact analysis with an AI agent, we recommend the following:</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This might include the geographic location of the assemblage, associated radiocarbon ages, lithic typology, etc.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the dataset in the prompt, or a narrative summary of the data, or a synthetic version generated by a local LLM. For a stone artifact assemblage this could simply be mentioning the raw data file in your prompt, e.g. </w:t>
      </w:r>
      <w:r>
        <w:t xml:space="preserve">‘</w:t>
      </w:r>
      <w:r>
        <w:t xml:space="preserve">Look at my data in</w:t>
      </w:r>
      <w:r>
        <w:t xml:space="preserve"> </w:t>
      </w:r>
      <w:r>
        <w:rPr>
          <w:rStyle w:val="VerbatimChar"/>
        </w:rPr>
        <w:t xml:space="preserve">@analysis/data/stone-artifact-data.csv</w:t>
      </w:r>
      <w:r>
        <w:t xml:space="preserve">’</w:t>
      </w:r>
      <w:r>
        <w:t xml:space="preserve">, that directs the agent to read the data file. Include a data dictionary that defines the variables, for example, maximum length, technological length, maximum dimension, etc. Including your data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For a stone artifact analysis we would ask the agent to use the FactoMineR and factoextra R packages for the multivariate analyses and follow the guidance in</w:t>
      </w:r>
      <w:r>
        <w:t xml:space="preserve"> </w:t>
      </w:r>
      <w:r>
        <w:t xml:space="preserve">Greenacre et al. (2022)</w:t>
      </w:r>
      <w:r>
        <w:t xml:space="preserve">. Use the agent’s tools to retrieve the literature specific to your analysis.</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repeat until your evaluation criteria have been satisfied. Specifying evaluation criteria and instructing the model to debug itself improves the accuracy of output</w:t>
      </w:r>
      <w:r>
        <w:t xml:space="preserve"> </w:t>
      </w:r>
      <w:r>
        <w:t xml:space="preserve">(Chen et al. 2023)</w:t>
      </w:r>
      <w:r>
        <w:t xml:space="preserve">.</w:t>
      </w:r>
    </w:p>
    <w:p>
      <w:pPr>
        <w:pStyle w:val="FirstParagraph"/>
      </w:pPr>
      <w:r>
        <w:t xml:space="preserve">Tools that execute code can expose errors for inspection, but even automated correction still needs expert review.</w:t>
      </w:r>
      <w:r>
        <w:t xml:space="preserve"> </w:t>
      </w:r>
      <w:r>
        <w:t xml:space="preserve">Brown, Aitken, et al. (2026)</w:t>
      </w:r>
      <w:r>
        <w:t xml:space="preserve"> </w:t>
      </w:r>
      <w:r>
        <w:t xml:space="preserve">tested agentic workflows for ecological and fisheries modeling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tbl>
      <w:tblPr>
        <w:tblStyle w:val="Table"/>
        <w:tblW w:type="pct" w:w="5000"/>
        <w:tblLook w:firstRow="0" w:lastRow="0" w:firstColumn="0" w:lastColumn="0" w:noHBand="0" w:noVBand="0" w:val="0000"/>
        <w:jc w:val="start"/>
        <w:tblLayout w:type="fixed"/>
      </w:tblPr>
      <w:tblGrid>
        <w:gridCol w:w="7920"/>
      </w:tblGrid>
      <w:tr>
        <w:tc>
          <w:tcPr/>
          <w:bookmarkStart w:id="35" w:name="fig-workflow"/>
          <w:p>
            <w:pPr>
              <w:pStyle w:val="Compact"/>
              <w:jc w:val="center"/>
            </w:pPr>
            <w:r>
              <w:drawing>
                <wp:inline>
                  <wp:extent cx="5943600" cy="3566160"/>
                  <wp:effectExtent b="0" l="0" r="0" t="0"/>
                  <wp:docPr descr="" title="" id="33" name="Picture"/>
                  <a:graphic>
                    <a:graphicData uri="http://schemas.openxmlformats.org/drawingml/2006/picture">
                      <pic:pic>
                        <pic:nvPicPr>
                          <pic:cNvPr descr="../figures/fig-workflow.png" id="34" name="Picture"/>
                          <pic:cNvPicPr>
                            <a:picLocks noChangeArrowheads="1" noChangeAspect="1"/>
                          </pic:cNvPicPr>
                        </pic:nvPicPr>
                        <pic:blipFill>
                          <a:blip r:embed="rId32"/>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researcher-directed agentic workflow. Research, plan, execute, and verify proceed left to right, with the researcher directing at every stage and the agent acting underneath, invoking tools, skills and MCP servers in multi-step, long-running tasks to achieve the goals set by the researchers. The research and planning steps may involve several rounds of iteration and refinement, as indicated by the bi-directional arrows between the researcher and the agent for those steps. Execution and verification are critical decision points for the researcher. Rejecting the agent’s work includes looping back to update the plan to steer the agent into alignment with you. Each stage writes to a record that is inspectable by you and others: Git commits, updates to plan.md, the Quarto report, and the verified bibliography.</w:t>
            </w:r>
          </w:p>
          <w:bookmarkEnd w:id="35"/>
        </w:tc>
      </w:tr>
    </w:tbl>
    <w:bookmarkEnd w:id="36"/>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p>
      <w:pPr>
        <w:pStyle w:val="BodyText"/>
      </w:pPr>
      <w:r>
        <w:t xml:space="preserve">The paper’s specific contribution is an auditable, researcher-directed workflow for AI-assisted archaeological data analysis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Grossmann et al. 2023; Longkumer 2025)</w:t>
      </w:r>
      <w:r>
        <w:t xml:space="preserve">.</w:t>
      </w:r>
      <w:r>
        <w:t xml:space="preserve"> </w:t>
      </w:r>
      <w:r>
        <w:t xml:space="preserve">Piper (2026)</w:t>
      </w:r>
      <w:r>
        <w:t xml:space="preserve"> </w:t>
      </w:r>
      <w:r>
        <w:t xml:space="preserve">argues that AI in the humanities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For archaeology specifically,</w:t>
      </w:r>
      <w:r>
        <w:t xml:space="preserve"> </w:t>
      </w:r>
      <w:r>
        <w:t xml:space="preserve">Altaweel and Forte (2026)</w:t>
      </w:r>
      <w:r>
        <w:t xml:space="preserve"> </w:t>
      </w:r>
      <w:r>
        <w:t xml:space="preserve">propose that we</w:t>
      </w:r>
      <w:r>
        <w:t xml:space="preserve"> </w:t>
      </w:r>
      <w:r>
        <w:t xml:space="preserve">“</w:t>
      </w:r>
      <w:r>
        <w:t xml:space="preserve">position AI as a theory-generating and theory-testing instrument… not as a technician of truth, but as a co-creator of interpretive possibility</w:t>
      </w:r>
      <w:r>
        <w:t xml:space="preserve">”</w:t>
      </w:r>
      <w:r>
        <w:t xml:space="preserve">. This potentially expansive role for AI makes it more urgent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By streamlining routine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The author used OpenCode (https://opencode.ai/), an open-source AI harness, and OpenRouter (https://openrouter.ai/) a commercial model provider. AI models used included Nemotron 3 Ultra (NVIDIA), Muse Spark 1.3 (Meta), Qwen3.8 (Alibaba), GLM-5.3 Flash (Zhipu), and MiMo-V2.5 (Xiaomi). Qwen3.8, GLM-5.3 Flash, and MiMo-V2.5 have openly available weights under permissive licenses; Nemotron 3 Ultra was available as an open-weight model under the OpenMDW License Agreement, version 1.1; and Muse Spark 1.3 was a proprietary, closed-weight model accessed through an API. All models were available through OpenRouter at no cost at the time of writing, July-Sept 2026. AI was used to assist with searching for literature, planning, drafting and editing the manuscript and figures, and reference checking. All AI-generated suggestions were reviewed and revised by the author. No permits were required to prepare this manuscript. Thanks to the students in ARCHY 459 ’Applications of Artificial Intelligence in Archaeology (University of Washington, Autumn 2026) for feedback on the steps.</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91" w:name="references-cited"/>
    <w:p>
      <w:pPr>
        <w:pStyle w:val="Heading1"/>
      </w:pPr>
      <w:r>
        <w:t xml:space="preserve">References Cited</w:t>
      </w:r>
    </w:p>
    <w:bookmarkStart w:id="190"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AltaweelForte2026"/>
    <w:p>
      <w:pPr>
        <w:pStyle w:val="Bibliography"/>
      </w:pPr>
      <w:r>
        <w:t xml:space="preserve">Altaweel, Mark, and Maurizio Forte. 2026. Archeological Theory and</w:t>
      </w:r>
      <w:r>
        <w:t xml:space="preserve"> </w:t>
      </w:r>
      <w:r>
        <w:t xml:space="preserve">AI</w:t>
      </w:r>
      <w:r>
        <w:t xml:space="preserve">: The Potential Past Through Agentic Systems.</w:t>
      </w:r>
      <w:r>
        <w:t xml:space="preserve"> </w:t>
      </w:r>
      <w:r>
        <w:rPr>
          <w:iCs/>
          <w:i/>
        </w:rPr>
        <w:t xml:space="preserve">AI &amp; Society</w:t>
      </w:r>
      <w:r>
        <w:t xml:space="preserve">.</w:t>
      </w:r>
      <w:r>
        <w:t xml:space="preserve"> </w:t>
      </w:r>
      <w:hyperlink r:id="rId44">
        <w:r>
          <w:rPr>
            <w:rStyle w:val="Hyperlink"/>
          </w:rPr>
          <w:t xml:space="preserve">https://doi.org/10.1007/s00146-026-03287-0</w:t>
        </w:r>
      </w:hyperlink>
      <w:r>
        <w:t xml:space="preserve">.</w:t>
      </w:r>
    </w:p>
    <w:bookmarkEnd w:id="45"/>
    <w:bookmarkStart w:id="47" w:name="ref-barbaste2026"/>
    <w:p>
      <w:pPr>
        <w:pStyle w:val="Bibliography"/>
      </w:pPr>
      <w:r>
        <w:t xml:space="preserve">Barbaste, Paul, Tristan Darrigol, Germain Vu, and Tom Wiltberger. 2026. Harness Engineering: Anatomy, Architecture, and Evolution of Coding Agents –</w:t>
      </w:r>
      <w:r>
        <w:t xml:space="preserve"> </w:t>
      </w:r>
      <w:r>
        <w:t xml:space="preserve">A</w:t>
      </w:r>
      <w:r>
        <w:t xml:space="preserve"> </w:t>
      </w:r>
      <w:r>
        <w:t xml:space="preserve">Source-Code Study of Eleven Systems.</w:t>
      </w:r>
      <w:r>
        <w:t xml:space="preserve"> </w:t>
      </w:r>
      <w:hyperlink r:id="rId46">
        <w:r>
          <w:rPr>
            <w:rStyle w:val="Hyperlink"/>
          </w:rPr>
          <w:t xml:space="preserve">https://doi.org/10.48550/arXiv.2609.00006</w:t>
        </w:r>
      </w:hyperlink>
      <w:r>
        <w:t xml:space="preserve">.</w:t>
      </w:r>
    </w:p>
    <w:bookmarkEnd w:id="47"/>
    <w:bookmarkStart w:id="49" w:name="ref-BeckBurri2024"/>
    <w:p>
      <w:pPr>
        <w:pStyle w:val="Bibliography"/>
      </w:pPr>
      <w:r>
        <w:t xml:space="preserve">Beck, Juliane, and Thomas Burri. 2024. From</w:t>
      </w:r>
      <w:r>
        <w:t xml:space="preserve"> </w:t>
      </w:r>
      <w:r>
        <w:t xml:space="preserve">“Human Control”</w:t>
      </w:r>
      <w:r>
        <w:t xml:space="preserve"> </w:t>
      </w:r>
      <w:r>
        <w:t xml:space="preserve">in International Law to</w:t>
      </w:r>
      <w:r>
        <w:t xml:space="preserve"> </w:t>
      </w:r>
      <w:r>
        <w:t xml:space="preserve">“Human Oversight”</w:t>
      </w:r>
      <w:r>
        <w:t xml:space="preserve"> </w:t>
      </w:r>
      <w:r>
        <w:t xml:space="preserve">in the New</w:t>
      </w:r>
      <w:r>
        <w:t xml:space="preserve"> </w:t>
      </w:r>
      <w:r>
        <w:t xml:space="preserve">EU</w:t>
      </w:r>
      <w:r>
        <w:t xml:space="preserve"> </w:t>
      </w:r>
      <w:r>
        <w:t xml:space="preserve">Act on Artificial Intelligence. In</w:t>
      </w:r>
      <w:r>
        <w:t xml:space="preserve"> </w:t>
      </w:r>
      <w:r>
        <w:rPr>
          <w:iCs/>
          <w:i/>
        </w:rPr>
        <w:t xml:space="preserve">Research Handbook on Meaningful Human Control of Artificial Intelligence Systems</w:t>
      </w:r>
      <w:r>
        <w:t xml:space="preserve">, pp. 104–130. Edward Elgar Publishing, Cheltenham, UK.</w:t>
      </w:r>
      <w:r>
        <w:t xml:space="preserve"> </w:t>
      </w:r>
      <w:hyperlink r:id="rId48">
        <w:r>
          <w:rPr>
            <w:rStyle w:val="Hyperlink"/>
          </w:rPr>
          <w:t xml:space="preserve">https://doi.org/10.4337/9781802204131.00014</w:t>
        </w:r>
      </w:hyperlink>
      <w:r>
        <w:t xml:space="preserve">.</w:t>
      </w:r>
    </w:p>
    <w:bookmarkEnd w:id="49"/>
    <w:bookmarkStart w:id="51"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0">
        <w:r>
          <w:rPr>
            <w:rStyle w:val="Hyperlink"/>
          </w:rPr>
          <w:t xml:space="preserve">https://doi.org/10.1073/pnas.2606495123</w:t>
        </w:r>
      </w:hyperlink>
      <w:r>
        <w:t xml:space="preserve">.</w:t>
      </w:r>
    </w:p>
    <w:bookmarkEnd w:id="51"/>
    <w:bookmarkStart w:id="53" w:name="ref-Bischoff2026LargeLanguageModels"/>
    <w:p>
      <w:pPr>
        <w:pStyle w:val="Bibliography"/>
      </w:pPr>
      <w:r>
        <w:t xml:space="preserve">Bischoff, Robert J. 2026. Large Language Models in Archaeological Practice: Efficacy, Ethics, Risks, and Governance.</w:t>
      </w:r>
      <w:r>
        <w:t xml:space="preserve"> </w:t>
      </w:r>
      <w:hyperlink r:id="rId52">
        <w:r>
          <w:rPr>
            <w:rStyle w:val="Hyperlink"/>
          </w:rPr>
          <w:t xml:space="preserve">https://doi.org/10.31235/osf.io/azs6r_v1</w:t>
        </w:r>
      </w:hyperlink>
      <w:r>
        <w:t xml:space="preserve">.</w:t>
      </w:r>
    </w:p>
    <w:bookmarkEnd w:id="53"/>
    <w:bookmarkStart w:id="55" w:name="ref-BlischakDavenportWilson2016"/>
    <w:p>
      <w:pPr>
        <w:pStyle w:val="Bibliography"/>
      </w:pPr>
      <w:r>
        <w:t xml:space="preserve">Blischak, John D., Emily R. Davenport, and Greg Wilson. 2016. A Quick Introduction to Version Control with</w:t>
      </w:r>
      <w:r>
        <w:t xml:space="preserve"> </w:t>
      </w:r>
      <w:r>
        <w:t xml:space="preserve">Git</w:t>
      </w:r>
      <w:r>
        <w:t xml:space="preserve"> </w:t>
      </w:r>
      <w:r>
        <w:t xml:space="preserve">and</w:t>
      </w:r>
      <w:r>
        <w:t xml:space="preserve"> </w:t>
      </w:r>
      <w:r>
        <w:t xml:space="preserve">GitHub</w:t>
      </w:r>
      <w:r>
        <w:t xml:space="preserve">.</w:t>
      </w:r>
      <w:r>
        <w:t xml:space="preserve"> </w:t>
      </w:r>
      <w:r>
        <w:rPr>
          <w:iCs/>
          <w:i/>
        </w:rPr>
        <w:t xml:space="preserve">PLOS Computational Biology</w:t>
      </w:r>
      <w:r>
        <w:t xml:space="preserve"> </w:t>
      </w:r>
      <w:r>
        <w:t xml:space="preserve">12(1):e1004668.</w:t>
      </w:r>
      <w:r>
        <w:t xml:space="preserve"> </w:t>
      </w:r>
      <w:hyperlink r:id="rId54">
        <w:r>
          <w:rPr>
            <w:rStyle w:val="Hyperlink"/>
          </w:rPr>
          <w:t xml:space="preserve">https://doi.org/10.1371/journal.pcbi.1004668</w:t>
        </w:r>
      </w:hyperlink>
      <w:r>
        <w:t xml:space="preserve">.</w:t>
      </w:r>
    </w:p>
    <w:bookmarkEnd w:id="55"/>
    <w:bookmarkStart w:id="57"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6">
        <w:r>
          <w:rPr>
            <w:rStyle w:val="Hyperlink"/>
          </w:rPr>
          <w:t xml:space="preserve">https://doi.org/10.1038/s41586-023-06792-0</w:t>
        </w:r>
      </w:hyperlink>
      <w:r>
        <w:t xml:space="preserve">.</w:t>
      </w:r>
    </w:p>
    <w:bookmarkEnd w:id="57"/>
    <w:bookmarkStart w:id="59" w:name="ref-MBran2024"/>
    <w:p>
      <w:pPr>
        <w:pStyle w:val="Bibliography"/>
      </w:pPr>
      <w:r>
        <w:t xml:space="preserve">Bran, Andres, Sam Cox, Oliver Schilter, et al.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58">
        <w:r>
          <w:rPr>
            <w:rStyle w:val="Hyperlink"/>
          </w:rPr>
          <w:t xml:space="preserve">https://doi.org/10.1038/s42256-024-00832-8</w:t>
        </w:r>
      </w:hyperlink>
      <w:r>
        <w:t xml:space="preserve">.</w:t>
      </w:r>
    </w:p>
    <w:bookmarkEnd w:id="59"/>
    <w:bookmarkStart w:id="61" w:name="ref-Bridgeford2026"/>
    <w:p>
      <w:pPr>
        <w:pStyle w:val="Bibliography"/>
      </w:pPr>
      <w:r>
        <w:t xml:space="preserve">Bridgeford, Eric W., Iain Campbell, Zijao Chen, et al. 2026. Twelve Quick Tips for AI-Assisted Coding in Science.</w:t>
      </w:r>
      <w:r>
        <w:t xml:space="preserve"> </w:t>
      </w:r>
      <w:r>
        <w:rPr>
          <w:iCs/>
          <w:i/>
        </w:rPr>
        <w:t xml:space="preserve">PLOS Computational Biology</w:t>
      </w:r>
      <w:r>
        <w:t xml:space="preserve"> </w:t>
      </w:r>
      <w:r>
        <w:t xml:space="preserve">22(7):e1014428.</w:t>
      </w:r>
      <w:r>
        <w:t xml:space="preserve"> </w:t>
      </w:r>
      <w:hyperlink r:id="rId60">
        <w:r>
          <w:rPr>
            <w:rStyle w:val="Hyperlink"/>
          </w:rPr>
          <w:t xml:space="preserve">https://doi.org/10.1371/journal.pcbi.1014428</w:t>
        </w:r>
      </w:hyperlink>
      <w:r>
        <w:t xml:space="preserve">.</w:t>
      </w:r>
    </w:p>
    <w:bookmarkEnd w:id="61"/>
    <w:bookmarkStart w:id="63"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2">
        <w:r>
          <w:rPr>
            <w:rStyle w:val="Hyperlink"/>
          </w:rPr>
          <w:t xml:space="preserve">https://www.seascapemodels.org/AI-assistants-for-scientific-coding/</w:t>
        </w:r>
      </w:hyperlink>
      <w:r>
        <w:t xml:space="preserve">, accessed September 18, 2026.</w:t>
      </w:r>
    </w:p>
    <w:bookmarkEnd w:id="63"/>
    <w:bookmarkStart w:id="65"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4">
        <w:r>
          <w:rPr>
            <w:rStyle w:val="Hyperlink"/>
          </w:rPr>
          <w:t xml:space="preserve">https://doi.org/10.1111/faf.70079</w:t>
        </w:r>
      </w:hyperlink>
      <w:r>
        <w:t xml:space="preserve">.</w:t>
      </w:r>
    </w:p>
    <w:bookmarkEnd w:id="65"/>
    <w:bookmarkStart w:id="67"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6">
        <w:r>
          <w:rPr>
            <w:rStyle w:val="Hyperlink"/>
          </w:rPr>
          <w:t xml:space="preserve">https://doi.org/10.1111/2041-210x.70267</w:t>
        </w:r>
      </w:hyperlink>
      <w:r>
        <w:t xml:space="preserve">.</w:t>
      </w:r>
    </w:p>
    <w:bookmarkEnd w:id="67"/>
    <w:bookmarkStart w:id="69"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8">
        <w:r>
          <w:rPr>
            <w:rStyle w:val="Hyperlink"/>
          </w:rPr>
          <w:t xml:space="preserve">https://vitaexmachina.substack.com/p/running-local-large-language-models</w:t>
        </w:r>
      </w:hyperlink>
      <w:r>
        <w:t xml:space="preserve">, accessed September 18, 2026.</w:t>
      </w:r>
    </w:p>
    <w:bookmarkEnd w:id="69"/>
    <w:bookmarkStart w:id="71" w:name="ref-Campbell2024"/>
    <w:p>
      <w:pPr>
        <w:pStyle w:val="Bibliography"/>
      </w:pPr>
      <w:r>
        <w:t xml:space="preserve">Campbell, Heather, Thomas Bluck, Ella Curry, et al.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0">
        <w:r>
          <w:rPr>
            <w:rStyle w:val="Hyperlink"/>
          </w:rPr>
          <w:t xml:space="preserve">https://doi.org/10.1111/2041-210X.14396</w:t>
        </w:r>
      </w:hyperlink>
      <w:r>
        <w:t xml:space="preserve">.</w:t>
      </w:r>
    </w:p>
    <w:bookmarkEnd w:id="71"/>
    <w:bookmarkStart w:id="73" w:name="ref-CardarelliRagno2026"/>
    <w:p>
      <w:pPr>
        <w:pStyle w:val="Bibliography"/>
      </w:pPr>
      <w:r>
        <w:t xml:space="preserve">Cardarelli, Lorenzo, and Roberto Ragno. 2026. (Whose Defaults?) Is Artificial Intelligence Reorienting Archaeological Methods?</w:t>
      </w:r>
      <w:r>
        <w:t xml:space="preserve"> </w:t>
      </w:r>
      <w:hyperlink r:id="rId72">
        <w:r>
          <w:rPr>
            <w:rStyle w:val="Hyperlink"/>
          </w:rPr>
          <w:t xml:space="preserve">https://doi.org/10.48550/arXiv.2609.11198</w:t>
        </w:r>
      </w:hyperlink>
      <w:r>
        <w:t xml:space="preserve">.</w:t>
      </w:r>
    </w:p>
    <w:bookmarkEnd w:id="73"/>
    <w:bookmarkStart w:id="75" w:name="ref-ChenVaroquaux2026"/>
    <w:p>
      <w:pPr>
        <w:pStyle w:val="Bibliography"/>
      </w:pPr>
      <w:r>
        <w:t xml:space="preserve">Chen, Lihu, and Gaël Varoquaux. 2026. What Is the Role of Small Models in the</w:t>
      </w:r>
      <w:r>
        <w:t xml:space="preserve"> </w:t>
      </w:r>
      <w:r>
        <w:t xml:space="preserve">LLM</w:t>
      </w:r>
      <w:r>
        <w:t xml:space="preserve"> </w:t>
      </w:r>
      <w:r>
        <w:t xml:space="preserve">Era: A Survey.</w:t>
      </w:r>
      <w:r>
        <w:t xml:space="preserve"> </w:t>
      </w:r>
      <w:r>
        <w:rPr>
          <w:iCs/>
          <w:i/>
        </w:rPr>
        <w:t xml:space="preserve">Computational Linguistics</w:t>
      </w:r>
      <w:r>
        <w:t xml:space="preserve">:1–42.</w:t>
      </w:r>
      <w:r>
        <w:t xml:space="preserve"> </w:t>
      </w:r>
      <w:hyperlink r:id="rId74">
        <w:r>
          <w:rPr>
            <w:rStyle w:val="Hyperlink"/>
          </w:rPr>
          <w:t xml:space="preserve">https://doi.org/10.1162/coli.a.652</w:t>
        </w:r>
      </w:hyperlink>
      <w:r>
        <w:t xml:space="preserve">.</w:t>
      </w:r>
    </w:p>
    <w:bookmarkEnd w:id="75"/>
    <w:bookmarkStart w:id="77"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76">
        <w:r>
          <w:rPr>
            <w:rStyle w:val="Hyperlink"/>
          </w:rPr>
          <w:t xml:space="preserve">https://doi.org/10.48550/arXiv.2304.05128</w:t>
        </w:r>
      </w:hyperlink>
      <w:r>
        <w:t xml:space="preserve">.</w:t>
      </w:r>
    </w:p>
    <w:bookmarkEnd w:id="77"/>
    <w:bookmarkStart w:id="79" w:name="ref-Codreanu2026"/>
    <w:p>
      <w:pPr>
        <w:pStyle w:val="Bibliography"/>
      </w:pPr>
      <w:r>
        <w:t xml:space="preserve">Codreanu, Mihai, Alex Imas, Juan Mateos-Garcia,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8">
        <w:r>
          <w:rPr>
            <w:rStyle w:val="Hyperlink"/>
          </w:rPr>
          <w:t xml:space="preserve">https://doi.org/10.2139/ssrn.7465898</w:t>
        </w:r>
      </w:hyperlink>
      <w:r>
        <w:t xml:space="preserve">, accessed September 16, 2026.</w:t>
      </w:r>
    </w:p>
    <w:bookmarkEnd w:id="79"/>
    <w:bookmarkStart w:id="81"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80">
        <w:r>
          <w:rPr>
            <w:rStyle w:val="Hyperlink"/>
          </w:rPr>
          <w:t xml:space="preserve">https://doi.org/10.1111/2041-210X.14325</w:t>
        </w:r>
      </w:hyperlink>
      <w:r>
        <w:t xml:space="preserve">.</w:t>
      </w:r>
    </w:p>
    <w:bookmarkEnd w:id="81"/>
    <w:bookmarkStart w:id="83"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82">
        <w:r>
          <w:rPr>
            <w:rStyle w:val="Hyperlink"/>
          </w:rPr>
          <w:t xml:space="preserve">https://doi.org/10.1017/aap.2026.10173</w:t>
        </w:r>
      </w:hyperlink>
      <w:r>
        <w:t xml:space="preserve">.</w:t>
      </w:r>
    </w:p>
    <w:bookmarkEnd w:id="83"/>
    <w:bookmarkStart w:id="85" w:name="ref-DellAcqua2026"/>
    <w:p>
      <w:pPr>
        <w:pStyle w:val="Bibliography"/>
      </w:pPr>
      <w:r>
        <w:t xml:space="preserve">Dell’Acqua, Fabrizio, Edward McFowland, Ethan Mollick, et al.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84">
        <w:r>
          <w:rPr>
            <w:rStyle w:val="Hyperlink"/>
          </w:rPr>
          <w:t xml:space="preserve">https://doi.org/10.1287/orsc.2025.21838</w:t>
        </w:r>
      </w:hyperlink>
      <w:r>
        <w:t xml:space="preserve">.</w:t>
      </w:r>
    </w:p>
    <w:bookmarkEnd w:id="85"/>
    <w:bookmarkStart w:id="87"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6">
        <w:r>
          <w:rPr>
            <w:rStyle w:val="Hyperlink"/>
          </w:rPr>
          <w:t xml:space="preserve">https://doi.org/10.1093/jmammal/gyaf082</w:t>
        </w:r>
      </w:hyperlink>
      <w:r>
        <w:t xml:space="preserve">.</w:t>
      </w:r>
    </w:p>
    <w:bookmarkEnd w:id="87"/>
    <w:bookmarkStart w:id="89"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8">
        <w:r>
          <w:rPr>
            <w:rStyle w:val="Hyperlink"/>
          </w:rPr>
          <w:t xml:space="preserve">https://doi.org/10.1007/s12599-023-00834-7</w:t>
        </w:r>
      </w:hyperlink>
      <w:r>
        <w:t xml:space="preserve">.</w:t>
      </w:r>
    </w:p>
    <w:bookmarkEnd w:id="89"/>
    <w:bookmarkStart w:id="91"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90">
        <w:r>
          <w:rPr>
            <w:rStyle w:val="Hyperlink"/>
          </w:rPr>
          <w:t xml:space="preserve">https://doi.org/10.1016/j.culher.2024.11.020</w:t>
        </w:r>
      </w:hyperlink>
      <w:r>
        <w:t xml:space="preserve">.</w:t>
      </w:r>
    </w:p>
    <w:bookmarkEnd w:id="91"/>
    <w:bookmarkStart w:id="93"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92">
        <w:r>
          <w:rPr>
            <w:rStyle w:val="Hyperlink"/>
          </w:rPr>
          <w:t xml:space="preserve">https://doi.org/10.1080/10584609.2023.2290497</w:t>
        </w:r>
      </w:hyperlink>
      <w:r>
        <w:t xml:space="preserve">.</w:t>
      </w:r>
    </w:p>
    <w:bookmarkEnd w:id="93"/>
    <w:bookmarkStart w:id="95"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94">
        <w:r>
          <w:rPr>
            <w:rStyle w:val="Hyperlink"/>
          </w:rPr>
          <w:t xml:space="preserve">https://doi.org/10.1038/s44185-024-00043-9</w:t>
        </w:r>
      </w:hyperlink>
      <w:r>
        <w:t xml:space="preserve">.</w:t>
      </w:r>
    </w:p>
    <w:bookmarkEnd w:id="95"/>
    <w:bookmarkStart w:id="97" w:name="ref-Goyal2026"/>
    <w:p>
      <w:pPr>
        <w:pStyle w:val="Bibliography"/>
      </w:pPr>
      <w:r>
        <w:t xml:space="preserve">Goyal, Palash, Mihir Parmar, Yiwen Song, et al. 2026.</w:t>
      </w:r>
      <w:r>
        <w:t xml:space="preserve"> </w:t>
      </w:r>
      <w:r>
        <w:t xml:space="preserve">ScholarPeer</w:t>
      </w:r>
      <w:r>
        <w:t xml:space="preserve">: A Context-Aware Multi-Agent Framework for Automated Peer Review.</w:t>
      </w:r>
      <w:r>
        <w:t xml:space="preserve"> </w:t>
      </w:r>
      <w:hyperlink r:id="rId96">
        <w:r>
          <w:rPr>
            <w:rStyle w:val="Hyperlink"/>
          </w:rPr>
          <w:t xml:space="preserve">https://doi.org/10.48550/arXiv.2601.22638</w:t>
        </w:r>
      </w:hyperlink>
      <w:r>
        <w:t xml:space="preserve">.</w:t>
      </w:r>
    </w:p>
    <w:bookmarkEnd w:id="97"/>
    <w:bookmarkStart w:id="99" w:name="ref-Greenacre2022Principal"/>
    <w:p>
      <w:pPr>
        <w:pStyle w:val="Bibliography"/>
      </w:pPr>
      <w:r>
        <w:t xml:space="preserve">Greenacre, Michael, Patrick J. F. Groenen, Trevor Hastie, et al. 2022. Principal Component Analysis.</w:t>
      </w:r>
      <w:r>
        <w:t xml:space="preserve"> </w:t>
      </w:r>
      <w:r>
        <w:rPr>
          <w:iCs/>
          <w:i/>
        </w:rPr>
        <w:t xml:space="preserve">Nature Reviews Methods Primers</w:t>
      </w:r>
      <w:r>
        <w:t xml:space="preserve"> </w:t>
      </w:r>
      <w:r>
        <w:t xml:space="preserve">2(1):100.</w:t>
      </w:r>
      <w:r>
        <w:t xml:space="preserve"> </w:t>
      </w:r>
      <w:hyperlink r:id="rId98">
        <w:r>
          <w:rPr>
            <w:rStyle w:val="Hyperlink"/>
          </w:rPr>
          <w:t xml:space="preserve">https://doi.org/10.1038/s43586-022-00184-w</w:t>
        </w:r>
      </w:hyperlink>
      <w:r>
        <w:t xml:space="preserve">.</w:t>
      </w:r>
    </w:p>
    <w:bookmarkEnd w:id="99"/>
    <w:bookmarkStart w:id="101" w:name="ref-Grossmann2023Transformation"/>
    <w:p>
      <w:pPr>
        <w:pStyle w:val="Bibliography"/>
      </w:pPr>
      <w:r>
        <w:t xml:space="preserve">Grossmann, Igor, Matthew Feinberg, Dawn C. Parker, et al.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100">
        <w:r>
          <w:rPr>
            <w:rStyle w:val="Hyperlink"/>
          </w:rPr>
          <w:t xml:space="preserve">https://doi.org/10.1126/science.adi1778</w:t>
        </w:r>
      </w:hyperlink>
      <w:r>
        <w:t xml:space="preserve">.</w:t>
      </w:r>
    </w:p>
    <w:bookmarkEnd w:id="101"/>
    <w:bookmarkStart w:id="103"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102">
        <w:r>
          <w:rPr>
            <w:rStyle w:val="Hyperlink"/>
          </w:rPr>
          <w:t xml:space="preserve">https://doi.org/10.1057/s41599-026-08832-2</w:t>
        </w:r>
      </w:hyperlink>
      <w:r>
        <w:t xml:space="preserve">.</w:t>
      </w:r>
    </w:p>
    <w:bookmarkEnd w:id="103"/>
    <w:bookmarkStart w:id="105"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104">
        <w:r>
          <w:rPr>
            <w:rStyle w:val="Hyperlink"/>
          </w:rPr>
          <w:t xml:space="preserve">https://doi.org/10.1016/j.sftr.2025.101152</w:t>
        </w:r>
      </w:hyperlink>
      <w:r>
        <w:t xml:space="preserve">.</w:t>
      </w:r>
    </w:p>
    <w:bookmarkEnd w:id="105"/>
    <w:bookmarkStart w:id="107" w:name="ref-Hariri2025"/>
    <w:p>
      <w:pPr>
        <w:pStyle w:val="Bibliography"/>
      </w:pPr>
      <w:r>
        <w:t xml:space="preserve">Hariri, Ali, Stéphane Jean, and Mickaël Baron. 2025. Towards Automating RDF Extraction for Archaeological Knowledge Graphs with LLMs. In</w:t>
      </w:r>
      <w:r>
        <w:t xml:space="preserve"> </w:t>
      </w:r>
      <w:r>
        <w:rPr>
          <w:iCs/>
          <w:i/>
        </w:rPr>
        <w:t xml:space="preserve">Database and Expert Systems Applications</w:t>
      </w:r>
      <w:r>
        <w:t xml:space="preserve">, pp. 83–97. Lecture Notes in Computer Science. Springer Nature Switzerland, Cham, Switzerland.</w:t>
      </w:r>
      <w:r>
        <w:t xml:space="preserve"> </w:t>
      </w:r>
      <w:hyperlink r:id="rId106">
        <w:r>
          <w:rPr>
            <w:rStyle w:val="Hyperlink"/>
          </w:rPr>
          <w:t xml:space="preserve">https://doi.org/10.1007/978-3-032-02049-9_6</w:t>
        </w:r>
      </w:hyperlink>
      <w:r>
        <w:t xml:space="preserve">.</w:t>
      </w:r>
    </w:p>
    <w:bookmarkEnd w:id="107"/>
    <w:bookmarkStart w:id="109"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8">
        <w:r>
          <w:rPr>
            <w:rStyle w:val="Hyperlink"/>
          </w:rPr>
          <w:t xml:space="preserve">https://doi.org/10.1145/3796519</w:t>
        </w:r>
      </w:hyperlink>
      <w:r>
        <w:t xml:space="preserve">.</w:t>
      </w:r>
    </w:p>
    <w:bookmarkEnd w:id="109"/>
    <w:bookmarkStart w:id="111"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10">
        <w:r>
          <w:rPr>
            <w:rStyle w:val="Hyperlink"/>
          </w:rPr>
          <w:t xml:space="preserve">https://doi.org/10.1371/journal.pone.0317084</w:t>
        </w:r>
      </w:hyperlink>
      <w:r>
        <w:t xml:space="preserve">.</w:t>
      </w:r>
    </w:p>
    <w:bookmarkEnd w:id="111"/>
    <w:bookmarkStart w:id="113"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12">
        <w:r>
          <w:rPr>
            <w:rStyle w:val="Hyperlink"/>
          </w:rPr>
          <w:t xml:space="preserve">https://doi.org/10.1080/00187259.2026.2714301</w:t>
        </w:r>
      </w:hyperlink>
      <w:r>
        <w:t xml:space="preserve">.</w:t>
      </w:r>
    </w:p>
    <w:bookmarkEnd w:id="113"/>
    <w:bookmarkStart w:id="115" w:name="ref-Jonker2024"/>
    <w:p>
      <w:pPr>
        <w:pStyle w:val="Bibliography"/>
      </w:pPr>
      <w:r>
        <w:t xml:space="preserve">Jonker, Catholijn M., Luciano Cavalcante Siebert, and Pradeep K. Murukannaiah. 2024. Reflective Hybrid Intelligence for Meaningful</w:t>
      </w:r>
      <w:r>
        <w:t xml:space="preserve"> </w:t>
      </w:r>
      <w:r>
        <w:t xml:space="preserve">Human Control</w:t>
      </w:r>
      <w:r>
        <w:t xml:space="preserve"> </w:t>
      </w:r>
      <w:r>
        <w:t xml:space="preserve">in Decision-Support Systems. In</w:t>
      </w:r>
      <w:r>
        <w:t xml:space="preserve"> </w:t>
      </w:r>
      <w:r>
        <w:rPr>
          <w:iCs/>
          <w:i/>
        </w:rPr>
        <w:t xml:space="preserve">Research Handbook on Meaningful Human Control of Artificial Intelligence Systems</w:t>
      </w:r>
      <w:r>
        <w:t xml:space="preserve">, pp. 188–204. Edward Elgar Publishing, Cheltenham, UK.</w:t>
      </w:r>
      <w:r>
        <w:t xml:space="preserve"> </w:t>
      </w:r>
      <w:hyperlink r:id="rId114">
        <w:r>
          <w:rPr>
            <w:rStyle w:val="Hyperlink"/>
          </w:rPr>
          <w:t xml:space="preserve">https://doi.org/10.4337/9781802204131.00019</w:t>
        </w:r>
      </w:hyperlink>
      <w:r>
        <w:t xml:space="preserve">.</w:t>
      </w:r>
    </w:p>
    <w:bookmarkEnd w:id="115"/>
    <w:bookmarkStart w:id="117"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 </w:t>
      </w:r>
      <w:r>
        <w:t xml:space="preserve">71.</w:t>
      </w:r>
      <w:r>
        <w:t xml:space="preserve"> </w:t>
      </w:r>
      <w:hyperlink r:id="rId116">
        <w:r>
          <w:rPr>
            <w:rStyle w:val="Hyperlink"/>
          </w:rPr>
          <w:t xml:space="preserve">https://doi.org/10.11141/ia.71.15</w:t>
        </w:r>
      </w:hyperlink>
      <w:r>
        <w:t xml:space="preserve">.</w:t>
      </w:r>
    </w:p>
    <w:bookmarkEnd w:id="117"/>
    <w:bookmarkStart w:id="119" w:name="ref-Kim2026Power"/>
    <w:p>
      <w:pPr>
        <w:pStyle w:val="Bibliography"/>
      </w:pPr>
      <w:r>
        <w:t xml:space="preserve">Kim, Hajung, Jia Qi, Zhe Feng, et al.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6(2):173–184.</w:t>
      </w:r>
      <w:r>
        <w:t xml:space="preserve"> </w:t>
      </w:r>
      <w:hyperlink r:id="rId118">
        <w:r>
          <w:rPr>
            <w:rStyle w:val="Hyperlink"/>
          </w:rPr>
          <w:t xml:space="preserve">https://doi.org/10.35566/jbds/jikim</w:t>
        </w:r>
      </w:hyperlink>
      <w:r>
        <w:t xml:space="preserve">.</w:t>
      </w:r>
    </w:p>
    <w:bookmarkEnd w:id="119"/>
    <w:bookmarkStart w:id="121"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20">
        <w:r>
          <w:rPr>
            <w:rStyle w:val="Hyperlink"/>
          </w:rPr>
          <w:t xml:space="preserve">https://doi.org/10.1257/jel.20231736</w:t>
        </w:r>
      </w:hyperlink>
      <w:r>
        <w:t xml:space="preserve">.</w:t>
      </w:r>
    </w:p>
    <w:bookmarkEnd w:id="121"/>
    <w:bookmarkStart w:id="123" w:name="ref-Korinek2025"/>
    <w:p>
      <w:pPr>
        <w:pStyle w:val="Bibliography"/>
      </w:pPr>
      <w:r>
        <w:t xml:space="preserve">Korinek, Anton. 2025.</w:t>
      </w:r>
      <w:r>
        <w:t xml:space="preserve"> </w:t>
      </w:r>
      <w:r>
        <w:t xml:space="preserve">AI</w:t>
      </w:r>
      <w:r>
        <w:t xml:space="preserve"> </w:t>
      </w:r>
      <w:r>
        <w:t xml:space="preserve">Agents for Economic Research.</w:t>
      </w:r>
      <w:r>
        <w:t xml:space="preserve"> </w:t>
      </w:r>
      <w:hyperlink r:id="rId122">
        <w:r>
          <w:rPr>
            <w:rStyle w:val="Hyperlink"/>
          </w:rPr>
          <w:t xml:space="preserve">https://www.nber.org/papers/w34202</w:t>
        </w:r>
      </w:hyperlink>
      <w:r>
        <w:t xml:space="preserve">, accessed September 29, 2026.</w:t>
      </w:r>
    </w:p>
    <w:bookmarkEnd w:id="123"/>
    <w:bookmarkStart w:id="125"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hyperlink r:id="rId124">
        <w:r>
          <w:rPr>
            <w:rStyle w:val="Hyperlink"/>
          </w:rPr>
          <w:t xml:space="preserve">https://doi.org/10.48550/arXiv.2505.06120</w:t>
        </w:r>
      </w:hyperlink>
      <w:r>
        <w:t xml:space="preserve">.</w:t>
      </w:r>
    </w:p>
    <w:bookmarkEnd w:id="125"/>
    <w:bookmarkStart w:id="127"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26">
        <w:r>
          <w:rPr>
            <w:rStyle w:val="Hyperlink"/>
          </w:rPr>
          <w:t xml:space="preserve">https://doi.org/10.2196/51584</w:t>
        </w:r>
      </w:hyperlink>
      <w:r>
        <w:t xml:space="preserve">.</w:t>
      </w:r>
    </w:p>
    <w:bookmarkEnd w:id="127"/>
    <w:bookmarkStart w:id="129" w:name="ref-Lin2026"/>
    <w:p>
      <w:pPr>
        <w:pStyle w:val="Bibliography"/>
      </w:pPr>
      <w:r>
        <w:t xml:space="preserve">Lin, Kevin Qinghong, Siyuan Hu, Pan Lu, et al. 2026.</w:t>
      </w:r>
      <w:r>
        <w:t xml:space="preserve"> </w:t>
      </w:r>
      <w:r>
        <w:t xml:space="preserve">PaperDoctor</w:t>
      </w:r>
      <w:r>
        <w:t xml:space="preserve">: Evidence-Grounded and Actionable Feedback for Scientific Papers in Progress.</w:t>
      </w:r>
      <w:r>
        <w:t xml:space="preserve"> </w:t>
      </w:r>
      <w:hyperlink r:id="rId128">
        <w:r>
          <w:rPr>
            <w:rStyle w:val="Hyperlink"/>
          </w:rPr>
          <w:t xml:space="preserve">https://doi.org/10.48550/arXiv.2609.16995</w:t>
        </w:r>
      </w:hyperlink>
      <w:r>
        <w:t xml:space="preserve">.</w:t>
      </w:r>
    </w:p>
    <w:bookmarkEnd w:id="129"/>
    <w:bookmarkStart w:id="131" w:name="ref-Liu2026Dive"/>
    <w:p>
      <w:pPr>
        <w:pStyle w:val="Bibliography"/>
      </w:pPr>
      <w:r>
        <w:t xml:space="preserve">Liu, Jiacheng, Xiaohan Zhao, Xinyi Shang, and Zhiqiang Shen. 2026. Dive into</w:t>
      </w:r>
      <w:r>
        <w:t xml:space="preserve"> </w:t>
      </w:r>
      <w:r>
        <w:t xml:space="preserve">Claude Code</w:t>
      </w:r>
      <w:r>
        <w:t xml:space="preserve">: The Design Space of Today’s and Future</w:t>
      </w:r>
      <w:r>
        <w:t xml:space="preserve"> </w:t>
      </w:r>
      <w:r>
        <w:t xml:space="preserve">AI</w:t>
      </w:r>
      <w:r>
        <w:t xml:space="preserve"> </w:t>
      </w:r>
      <w:r>
        <w:t xml:space="preserve">Agent Systems.</w:t>
      </w:r>
      <w:r>
        <w:t xml:space="preserve"> </w:t>
      </w:r>
      <w:hyperlink r:id="rId130">
        <w:r>
          <w:rPr>
            <w:rStyle w:val="Hyperlink"/>
          </w:rPr>
          <w:t xml:space="preserve">https://doi.org/10.48550/arXiv.2604.14228</w:t>
        </w:r>
      </w:hyperlink>
      <w:r>
        <w:t xml:space="preserve">.</w:t>
      </w:r>
    </w:p>
    <w:bookmarkEnd w:id="131"/>
    <w:bookmarkStart w:id="133"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32">
        <w:r>
          <w:rPr>
            <w:rStyle w:val="Hyperlink"/>
          </w:rPr>
          <w:t xml:space="preserve">https://doi.org/10.22582/ta.v14i2.778</w:t>
        </w:r>
      </w:hyperlink>
      <w:r>
        <w:t xml:space="preserve">.</w:t>
      </w:r>
    </w:p>
    <w:bookmarkEnd w:id="133"/>
    <w:bookmarkStart w:id="135" w:name="ref-Lu2026"/>
    <w:p>
      <w:pPr>
        <w:pStyle w:val="Bibliography"/>
      </w:pPr>
      <w:r>
        <w:t xml:space="preserve">Lu, Chris, Cong Lu, Robert Tjarko Lange, et al.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34">
        <w:r>
          <w:rPr>
            <w:rStyle w:val="Hyperlink"/>
          </w:rPr>
          <w:t xml:space="preserve">https://doi.org/10.1038/s41586-026-10265-5</w:t>
        </w:r>
      </w:hyperlink>
      <w:r>
        <w:t xml:space="preserve">.</w:t>
      </w:r>
    </w:p>
    <w:bookmarkEnd w:id="135"/>
    <w:bookmarkStart w:id="137" w:name="ref-lyttelton2026agents"/>
    <w:p>
      <w:pPr>
        <w:pStyle w:val="Bibliography"/>
      </w:pPr>
      <w:r>
        <w:t xml:space="preserve">Lyttelton, Thomas, Maxim Massenkoff, and Nathan Wilmers. 2026. Coding Agents in the Social Sciences.</w:t>
      </w:r>
      <w:r>
        <w:t xml:space="preserve"> </w:t>
      </w:r>
      <w:hyperlink r:id="rId136">
        <w:r>
          <w:rPr>
            <w:rStyle w:val="Hyperlink"/>
          </w:rPr>
          <w:t xml:space="preserve">https://www.anthropic.com/research/coding-agents-social-sciences</w:t>
        </w:r>
      </w:hyperlink>
      <w:r>
        <w:t xml:space="preserve">, accessed September 29, 2026.</w:t>
      </w:r>
    </w:p>
    <w:bookmarkEnd w:id="137"/>
    <w:bookmarkStart w:id="139"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38">
        <w:r>
          <w:rPr>
            <w:rStyle w:val="Hyperlink"/>
          </w:rPr>
          <w:t xml:space="preserve">https://doi.org/10.1007/s10816-015-9272-9</w:t>
        </w:r>
      </w:hyperlink>
      <w:r>
        <w:t xml:space="preserve">.</w:t>
      </w:r>
    </w:p>
    <w:bookmarkEnd w:id="139"/>
    <w:bookmarkStart w:id="141"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40">
        <w:r>
          <w:rPr>
            <w:rStyle w:val="Hyperlink"/>
          </w:rPr>
          <w:t xml:space="preserve">https://doi.org/10.1038/s41586-024-07146-0</w:t>
        </w:r>
      </w:hyperlink>
      <w:r>
        <w:t xml:space="preserve">.</w:t>
      </w:r>
    </w:p>
    <w:bookmarkEnd w:id="141"/>
    <w:bookmarkStart w:id="143" w:name="ref-Miao2026"/>
    <w:p>
      <w:pPr>
        <w:pStyle w:val="Bibliography"/>
      </w:pPr>
      <w:r>
        <w:t xml:space="preserve">Miao, Jiacheng, Jonathan K. Pritchard, and James Zou. 2026. The Agentic Garden of Forking Paths.</w:t>
      </w:r>
      <w:r>
        <w:t xml:space="preserve"> </w:t>
      </w:r>
      <w:hyperlink r:id="rId142">
        <w:r>
          <w:rPr>
            <w:rStyle w:val="Hyperlink"/>
          </w:rPr>
          <w:t xml:space="preserve">https://doi.org/10.48550/arXiv.2607.01507</w:t>
        </w:r>
      </w:hyperlink>
      <w:r>
        <w:t xml:space="preserve">.</w:t>
      </w:r>
    </w:p>
    <w:bookmarkEnd w:id="143"/>
    <w:bookmarkStart w:id="145" w:name="ref-Monakhov2026"/>
    <w:p>
      <w:pPr>
        <w:pStyle w:val="Bibliography"/>
      </w:pPr>
      <w:r>
        <w:t xml:space="preserve">Monakhov, Alexander Yu. 2026. Governance as Cybernetics: Feedback, Control, and the</w:t>
      </w:r>
      <w:r>
        <w:t xml:space="preserve"> </w:t>
      </w:r>
      <w:r>
        <w:t xml:space="preserve">Human at the Helm</w:t>
      </w:r>
      <w:r>
        <w:t xml:space="preserve"> </w:t>
      </w:r>
      <w:r>
        <w:t xml:space="preserve">in the Regulation of Artificial Intelligence.</w:t>
      </w:r>
      <w:r>
        <w:t xml:space="preserve"> </w:t>
      </w:r>
      <w:hyperlink r:id="rId144">
        <w:r>
          <w:rPr>
            <w:rStyle w:val="Hyperlink"/>
          </w:rPr>
          <w:t xml:space="preserve">https://doi.org/10.2139/ssrn.7011058</w:t>
        </w:r>
      </w:hyperlink>
      <w:r>
        <w:t xml:space="preserve">.</w:t>
      </w:r>
    </w:p>
    <w:bookmarkEnd w:id="145"/>
    <w:bookmarkStart w:id="147" w:name="ref-Moorthy2026"/>
    <w:p>
      <w:pPr>
        <w:pStyle w:val="Bibliography"/>
      </w:pPr>
      <w:r>
        <w:t xml:space="preserve">Moorthy, Sruthi M. Krishna,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46">
        <w:r>
          <w:rPr>
            <w:rStyle w:val="Hyperlink"/>
          </w:rPr>
          <w:t xml:space="preserve">https://doi.org/10.1111/2041-210x.70403</w:t>
        </w:r>
      </w:hyperlink>
      <w:r>
        <w:t xml:space="preserve">.</w:t>
      </w:r>
    </w:p>
    <w:bookmarkEnd w:id="147"/>
    <w:bookmarkStart w:id="149" w:name="ref-NationalAcademies2026"/>
    <w:p>
      <w:pPr>
        <w:pStyle w:val="Bibliography"/>
      </w:pPr>
      <w:r>
        <w:t xml:space="preserve">National Academies of Sciences, Engineering, and Medicine. 2026.</w:t>
      </w:r>
      <w:r>
        <w:t xml:space="preserve"> </w:t>
      </w:r>
      <w:r>
        <w:rPr>
          <w:iCs/>
          <w:i/>
        </w:rPr>
        <w:t xml:space="preserve">On Being a Scientist: A Guide to the Responsible and Ethical Conduct of Research: Fourth Edition</w:t>
      </w:r>
      <w:r>
        <w:t xml:space="preserve">. The National Academies Press, Washington, DC.</w:t>
      </w:r>
      <w:r>
        <w:t xml:space="preserve"> </w:t>
      </w:r>
      <w:hyperlink r:id="rId148">
        <w:r>
          <w:rPr>
            <w:rStyle w:val="Hyperlink"/>
          </w:rPr>
          <w:t xml:space="preserve">https://doi.org/10.17226/29488</w:t>
        </w:r>
      </w:hyperlink>
      <w:r>
        <w:t xml:space="preserve">.</w:t>
      </w:r>
    </w:p>
    <w:bookmarkEnd w:id="149"/>
    <w:bookmarkStart w:id="151"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50">
        <w:r>
          <w:rPr>
            <w:rStyle w:val="Hyperlink"/>
          </w:rPr>
          <w:t xml:space="preserve">https://doi.org/10.1002/smr.2723</w:t>
        </w:r>
      </w:hyperlink>
      <w:r>
        <w:t xml:space="preserve">.</w:t>
      </w:r>
    </w:p>
    <w:bookmarkEnd w:id="151"/>
    <w:bookmarkStart w:id="153"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52">
        <w:r>
          <w:rPr>
            <w:rStyle w:val="Hyperlink"/>
          </w:rPr>
          <w:t xml:space="preserve">https://doi.org/10.1017/chr.2026.10039</w:t>
        </w:r>
      </w:hyperlink>
      <w:r>
        <w:t xml:space="preserve">.</w:t>
      </w:r>
    </w:p>
    <w:bookmarkEnd w:id="153"/>
    <w:bookmarkStart w:id="155"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hyperlink r:id="rId154">
        <w:r>
          <w:rPr>
            <w:rStyle w:val="Hyperlink"/>
          </w:rPr>
          <w:t xml:space="preserve">https://doi.org/10.36227/techrxiv.176703982.24212722/v1</w:t>
        </w:r>
      </w:hyperlink>
      <w:r>
        <w:t xml:space="preserve">.</w:t>
      </w:r>
    </w:p>
    <w:bookmarkEnd w:id="155"/>
    <w:bookmarkStart w:id="157"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56">
        <w:r>
          <w:rPr>
            <w:rStyle w:val="Hyperlink"/>
          </w:rPr>
          <w:t xml:space="preserve">https://doi.org/10.1111/2041-210X.14341</w:t>
        </w:r>
      </w:hyperlink>
      <w:r>
        <w:t xml:space="preserve">.</w:t>
      </w:r>
    </w:p>
    <w:bookmarkEnd w:id="157"/>
    <w:bookmarkStart w:id="159"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58">
        <w:r>
          <w:rPr>
            <w:rStyle w:val="Hyperlink"/>
          </w:rPr>
          <w:t xml:space="preserve">https://doi.org/10.5281/zenodo.19332911</w:t>
        </w:r>
      </w:hyperlink>
      <w:r>
        <w:t xml:space="preserve">, accessed September 18, 2026.</w:t>
      </w:r>
    </w:p>
    <w:bookmarkEnd w:id="159"/>
    <w:bookmarkStart w:id="161"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60">
        <w:r>
          <w:rPr>
            <w:rStyle w:val="Hyperlink"/>
          </w:rPr>
          <w:t xml:space="preserve">https://doi.org/10.1080/20548923.2025.2564519</w:t>
        </w:r>
      </w:hyperlink>
      <w:r>
        <w:t xml:space="preserve">.</w:t>
      </w:r>
    </w:p>
    <w:bookmarkEnd w:id="161"/>
    <w:bookmarkStart w:id="163" w:name="ref-Sinha2026"/>
    <w:p>
      <w:pPr>
        <w:pStyle w:val="Bibliography"/>
      </w:pPr>
      <w:r>
        <w:t xml:space="preserve">Sinha, Akshit, Arvindh Arun, Shashwat Goel, Steffen Staab, and Jonas Geiping. 2026.</w:t>
      </w:r>
      <w:r>
        <w:t xml:space="preserve"> </w:t>
      </w:r>
      <w:r>
        <w:t xml:space="preserve">The Illusion of Diminishing Returns</w:t>
      </w:r>
      <w:r>
        <w:t xml:space="preserve">: Measuring Long Horizon Execution in</w:t>
      </w:r>
      <w:r>
        <w:t xml:space="preserve"> </w:t>
      </w:r>
      <w:r>
        <w:t xml:space="preserve">LLM</w:t>
      </w:r>
      <w:r>
        <w:t xml:space="preserve">s.</w:t>
      </w:r>
      <w:r>
        <w:t xml:space="preserve"> </w:t>
      </w:r>
      <w:r>
        <w:rPr>
          <w:iCs/>
          <w:i/>
        </w:rPr>
        <w:t xml:space="preserve">International Conference on Learning Representations (ICLR)</w:t>
      </w:r>
      <w:r>
        <w:t xml:space="preserve">.</w:t>
      </w:r>
      <w:r>
        <w:t xml:space="preserve"> </w:t>
      </w:r>
      <w:hyperlink r:id="rId162">
        <w:r>
          <w:rPr>
            <w:rStyle w:val="Hyperlink"/>
          </w:rPr>
          <w:t xml:space="preserve">https://doi.org/10.48550/arXiv.2509.09677</w:t>
        </w:r>
      </w:hyperlink>
      <w:r>
        <w:t xml:space="preserve">.</w:t>
      </w:r>
    </w:p>
    <w:bookmarkEnd w:id="163"/>
    <w:bookmarkStart w:id="165" w:name="ref-Taylor2023"/>
    <w:p>
      <w:pPr>
        <w:pStyle w:val="Bibliography"/>
      </w:pPr>
      <w:r>
        <w:t xml:space="preserve">Taylor, Matthew E. 2023. Reinforcement Learning Requires</w:t>
      </w:r>
      <w:r>
        <w:t xml:space="preserve"> </w:t>
      </w:r>
      <w:r>
        <w:t xml:space="preserve">Human-in-the-Loop</w:t>
      </w:r>
      <w:r>
        <w:t xml:space="preserve"> </w:t>
      </w:r>
      <w:r>
        <w:t xml:space="preserve">Framing and Approaches. In</w:t>
      </w:r>
      <w:r>
        <w:t xml:space="preserve"> </w:t>
      </w:r>
      <w:r>
        <w:rPr>
          <w:iCs/>
          <w:i/>
        </w:rPr>
        <w:t xml:space="preserve">HHAI 2023: Augmenting Human Intellect</w:t>
      </w:r>
      <w:r>
        <w:t xml:space="preserve">, Vol. 368. Frontiers in Artificial Intelligence and Applications. IOS Press, Amsterdam.</w:t>
      </w:r>
      <w:r>
        <w:t xml:space="preserve"> </w:t>
      </w:r>
      <w:hyperlink r:id="rId164">
        <w:r>
          <w:rPr>
            <w:rStyle w:val="Hyperlink"/>
          </w:rPr>
          <w:t xml:space="preserve">https://doi.org/10.3233/faia230098</w:t>
        </w:r>
      </w:hyperlink>
      <w:r>
        <w:t xml:space="preserve">.</w:t>
      </w:r>
    </w:p>
    <w:bookmarkEnd w:id="165"/>
    <w:bookmarkStart w:id="167"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 </w:t>
      </w:r>
      <w:r>
        <w:t xml:space="preserve">67.</w:t>
      </w:r>
      <w:r>
        <w:t xml:space="preserve"> </w:t>
      </w:r>
      <w:hyperlink r:id="rId166">
        <w:r>
          <w:rPr>
            <w:rStyle w:val="Hyperlink"/>
          </w:rPr>
          <w:t xml:space="preserve">https://doi.org/10.11141/ia.67.8</w:t>
        </w:r>
      </w:hyperlink>
      <w:r>
        <w:t xml:space="preserve">.</w:t>
      </w:r>
    </w:p>
    <w:bookmarkEnd w:id="167"/>
    <w:bookmarkStart w:id="169" w:name="ref-RoyalSociety2024"/>
    <w:p>
      <w:pPr>
        <w:pStyle w:val="Bibliography"/>
      </w:pPr>
      <w:r>
        <w:t xml:space="preserve">The Royal Society. 2024.</w:t>
      </w:r>
      <w:r>
        <w:t xml:space="preserve"> </w:t>
      </w:r>
      <w:r>
        <w:rPr>
          <w:iCs/>
          <w:i/>
        </w:rPr>
        <w:t xml:space="preserve">Science in the Age of AI</w:t>
      </w:r>
      <w:r>
        <w:rPr>
          <w:iCs/>
          <w:i/>
        </w:rPr>
        <w:t xml:space="preserve">: How Artificial Intelligence Is Changing the Nature and Method of Scientific Research</w:t>
      </w:r>
      <w:r>
        <w:t xml:space="preserve">. The Royal Society, London.</w:t>
      </w:r>
      <w:r>
        <w:t xml:space="preserve"> </w:t>
      </w:r>
      <w:hyperlink r:id="rId168">
        <w:r>
          <w:rPr>
            <w:rStyle w:val="Hyperlink"/>
          </w:rPr>
          <w:t xml:space="preserve">https://doi.org/10.1098/rs-policy.2026-31</w:t>
        </w:r>
      </w:hyperlink>
      <w:r>
        <w:t xml:space="preserve">.</w:t>
      </w:r>
    </w:p>
    <w:bookmarkEnd w:id="169"/>
    <w:bookmarkStart w:id="171"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13(1):14045.</w:t>
      </w:r>
      <w:r>
        <w:t xml:space="preserve"> </w:t>
      </w:r>
      <w:hyperlink r:id="rId170">
        <w:r>
          <w:rPr>
            <w:rStyle w:val="Hyperlink"/>
          </w:rPr>
          <w:t xml:space="preserve">https://doi.org/10.1038/s41598-023-41032-5</w:t>
        </w:r>
      </w:hyperlink>
      <w:r>
        <w:t xml:space="preserve">.</w:t>
      </w:r>
    </w:p>
    <w:bookmarkEnd w:id="171"/>
    <w:bookmarkStart w:id="173" w:name="ref-Wang2024"/>
    <w:p>
      <w:pPr>
        <w:pStyle w:val="Bibliography"/>
      </w:pPr>
      <w:r>
        <w:t xml:space="preserve">Wang, Lei, Chen Ma, Xueyang Feng,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18(6):186345.</w:t>
      </w:r>
      <w:r>
        <w:t xml:space="preserve"> </w:t>
      </w:r>
      <w:hyperlink r:id="rId172">
        <w:r>
          <w:rPr>
            <w:rStyle w:val="Hyperlink"/>
          </w:rPr>
          <w:t xml:space="preserve">https://doi.org/10.1007/s11704-024-40231-1</w:t>
        </w:r>
      </w:hyperlink>
      <w:r>
        <w:t xml:space="preserve">.</w:t>
      </w:r>
    </w:p>
    <w:bookmarkEnd w:id="173"/>
    <w:bookmarkStart w:id="175" w:name="ref-Wickham2019"/>
    <w:p>
      <w:pPr>
        <w:pStyle w:val="Bibliography"/>
      </w:pPr>
      <w:r>
        <w:t xml:space="preserve">Wickham, Hadley, Mara Averick, Jennifer Bryan,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4">
        <w:r>
          <w:rPr>
            <w:rStyle w:val="Hyperlink"/>
          </w:rPr>
          <w:t xml:space="preserve">https://doi.org/10.21105/joss.01686</w:t>
        </w:r>
      </w:hyperlink>
      <w:r>
        <w:t xml:space="preserve">.</w:t>
      </w:r>
    </w:p>
    <w:bookmarkEnd w:id="175"/>
    <w:bookmarkStart w:id="177" w:name="ref-Wiest2024"/>
    <w:p>
      <w:pPr>
        <w:pStyle w:val="Bibliography"/>
      </w:pPr>
      <w:r>
        <w:t xml:space="preserve">Wiest, Isabella Catharina, Dyke Ferber, Jiefu Zhu,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76">
        <w:r>
          <w:rPr>
            <w:rStyle w:val="Hyperlink"/>
          </w:rPr>
          <w:t xml:space="preserve">https://doi.org/10.1038/s41746-024-01233-2</w:t>
        </w:r>
      </w:hyperlink>
      <w:r>
        <w:t xml:space="preserve">.</w:t>
      </w:r>
    </w:p>
    <w:bookmarkEnd w:id="177"/>
    <w:bookmarkStart w:id="179"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hyperlink r:id="rId178">
        <w:r>
          <w:rPr>
            <w:rStyle w:val="Hyperlink"/>
          </w:rPr>
          <w:t xml:space="preserve">https://doi.org/10.48550/arXiv.2602.12430</w:t>
        </w:r>
      </w:hyperlink>
      <w:r>
        <w:t xml:space="preserve">.</w:t>
      </w:r>
    </w:p>
    <w:bookmarkEnd w:id="179"/>
    <w:bookmarkStart w:id="181" w:name="ref-ZamfirescuPereira2023"/>
    <w:p>
      <w:pPr>
        <w:pStyle w:val="Bibliography"/>
      </w:pPr>
      <w:r>
        <w:t xml:space="preserve">Zamfirescu-Pereira, J. D., Richmond Y. Wong, Bjoern Hartmann, and Qian Yang. 2023. Why Johnny Can’t Prompt: How Non-AI Experts Try (and Fail) to Design LLM Prompts.</w:t>
      </w:r>
      <w:r>
        <w:t xml:space="preserve"> </w:t>
      </w:r>
      <w:r>
        <w:rPr>
          <w:iCs/>
          <w:i/>
        </w:rPr>
        <w:t xml:space="preserve">Proceedings of the 2023 CHI Conference on Human Factors in Computing Systems</w:t>
      </w:r>
      <w:r>
        <w:t xml:space="preserve">, New York, New York, USA.</w:t>
      </w:r>
      <w:r>
        <w:t xml:space="preserve"> </w:t>
      </w:r>
      <w:hyperlink r:id="rId180">
        <w:r>
          <w:rPr>
            <w:rStyle w:val="Hyperlink"/>
          </w:rPr>
          <w:t xml:space="preserve">https://doi.org/10.1145/3544548.3581388</w:t>
        </w:r>
      </w:hyperlink>
      <w:r>
        <w:t xml:space="preserve">.</w:t>
      </w:r>
    </w:p>
    <w:bookmarkEnd w:id="181"/>
    <w:bookmarkStart w:id="183" w:name="ref-Zhang2026Vibe"/>
    <w:p>
      <w:pPr>
        <w:pStyle w:val="Bibliography"/>
      </w:pPr>
      <w:r>
        <w:t xml:space="preserve">Zhang, Yongjun. 2026. Vibe Researching: Can</w:t>
      </w:r>
      <w:r>
        <w:t xml:space="preserve"> </w:t>
      </w:r>
      <w:r>
        <w:t xml:space="preserve">AI</w:t>
      </w:r>
      <w:r>
        <w:t xml:space="preserve"> </w:t>
      </w:r>
      <w:r>
        <w:t xml:space="preserve">Agents with Skills Replace or Augment Social Scientists?</w:t>
      </w:r>
      <w:r>
        <w:t xml:space="preserve"> </w:t>
      </w:r>
      <w:r>
        <w:rPr>
          <w:iCs/>
          <w:i/>
        </w:rPr>
        <w:t xml:space="preserve">Chinese Sociological Review</w:t>
      </w:r>
      <w:r>
        <w:t xml:space="preserve">:1–36.</w:t>
      </w:r>
      <w:r>
        <w:t xml:space="preserve"> </w:t>
      </w:r>
      <w:hyperlink r:id="rId182">
        <w:r>
          <w:rPr>
            <w:rStyle w:val="Hyperlink"/>
          </w:rPr>
          <w:t xml:space="preserve">https://doi.org/10.1080/21620555.2026.2707167</w:t>
        </w:r>
      </w:hyperlink>
      <w:r>
        <w:t xml:space="preserve">.</w:t>
      </w:r>
    </w:p>
    <w:bookmarkEnd w:id="183"/>
    <w:bookmarkStart w:id="185" w:name="ref-Zheng2024"/>
    <w:p>
      <w:pPr>
        <w:pStyle w:val="Bibliography"/>
      </w:pPr>
      <w:r>
        <w:t xml:space="preserve">Zheng, Zibin, Kaiwen Ning, Yanlin Wang, et al. 2024. A Survey of Large Language Models for Code: Evolution, Benchmarking, and Future Trends.</w:t>
      </w:r>
      <w:r>
        <w:t xml:space="preserve"> </w:t>
      </w:r>
      <w:hyperlink r:id="rId184">
        <w:r>
          <w:rPr>
            <w:rStyle w:val="Hyperlink"/>
          </w:rPr>
          <w:t xml:space="preserve">https://doi.org/10.48550/arXiv.2311.10372</w:t>
        </w:r>
      </w:hyperlink>
      <w:r>
        <w:t xml:space="preserve">.</w:t>
      </w:r>
    </w:p>
    <w:bookmarkEnd w:id="185"/>
    <w:bookmarkStart w:id="187" w:name="ref-Ziems2024"/>
    <w:p>
      <w:pPr>
        <w:pStyle w:val="Bibliography"/>
      </w:pPr>
      <w:r>
        <w:t xml:space="preserve">Ziems, Caleb, William Held, Omar Shaikh, et al.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86">
        <w:r>
          <w:rPr>
            <w:rStyle w:val="Hyperlink"/>
          </w:rPr>
          <w:t xml:space="preserve">https://doi.org/10.1162/coli_a_00502</w:t>
        </w:r>
      </w:hyperlink>
      <w:r>
        <w:t xml:space="preserve">.</w:t>
      </w:r>
    </w:p>
    <w:bookmarkEnd w:id="187"/>
    <w:bookmarkStart w:id="189"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hyperlink r:id="rId188">
        <w:r>
          <w:rPr>
            <w:rStyle w:val="Hyperlink"/>
          </w:rPr>
          <w:t xml:space="preserve">https://doi.org/10.48550/arXiv.2603.15914</w:t>
        </w:r>
      </w:hyperlink>
      <w:r>
        <w:t xml:space="preserve">.</w:t>
      </w:r>
    </w:p>
    <w:bookmarkEnd w:id="189"/>
    <w:bookmarkEnd w:id="190"/>
    <w:bookmarkEnd w:id="19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hyperlink" Id="rId150"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2"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04"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6"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0" Target="https://doi.org/10.1038/s41598-023-41032-5" TargetMode="External" /><Relationship Type="http://schemas.openxmlformats.org/officeDocument/2006/relationships/hyperlink" Id="rId176" Target="https://doi.org/10.1038/s41746-024-01233-2" TargetMode="External" /><Relationship Type="http://schemas.openxmlformats.org/officeDocument/2006/relationships/hyperlink" Id="rId58"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02" Target="https://doi.org/10.1057/s41599-026-08832-2" TargetMode="External" /><Relationship Type="http://schemas.openxmlformats.org/officeDocument/2006/relationships/hyperlink" Id="rId50"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60" Target="https://doi.org/10.1080/20548923.2025.2564519" TargetMode="External" /><Relationship Type="http://schemas.openxmlformats.org/officeDocument/2006/relationships/hyperlink" Id="rId182"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68"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56"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4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6"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4" Target="https://doi.org/10.1162/coli.a.652" TargetMode="External" /><Relationship Type="http://schemas.openxmlformats.org/officeDocument/2006/relationships/hyperlink" Id="rId186"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4"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48" Target="https://doi.org/10.17226/29488" TargetMode="External" /><Relationship Type="http://schemas.openxmlformats.org/officeDocument/2006/relationships/hyperlink" Id="rId174"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78" Target="https://doi.org/10.2139/ssrn.7465898" TargetMode="External" /><Relationship Type="http://schemas.openxmlformats.org/officeDocument/2006/relationships/hyperlink" Id="rId126"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64" Target="https://doi.org/10.3233/faia230098" TargetMode="External" /><Relationship Type="http://schemas.openxmlformats.org/officeDocument/2006/relationships/hyperlink" Id="rId118" Target="https://doi.org/10.35566/jbds/jikim" TargetMode="External" /><Relationship Type="http://schemas.openxmlformats.org/officeDocument/2006/relationships/hyperlink" Id="rId154" Target="https://doi.org/10.36227/techrxiv.176703982.24212722/v1" TargetMode="External" /><Relationship Type="http://schemas.openxmlformats.org/officeDocument/2006/relationships/hyperlink" Id="rId48"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84" Target="https://doi.org/10.48550/arXiv.2311.10372" TargetMode="External" /><Relationship Type="http://schemas.openxmlformats.org/officeDocument/2006/relationships/hyperlink" Id="rId124" Target="https://doi.org/10.48550/arXiv.2505.06120" TargetMode="External" /><Relationship Type="http://schemas.openxmlformats.org/officeDocument/2006/relationships/hyperlink" Id="rId162" Target="https://doi.org/10.48550/arXiv.2509.09677" TargetMode="External" /><Relationship Type="http://schemas.openxmlformats.org/officeDocument/2006/relationships/hyperlink" Id="rId96" Target="https://doi.org/10.48550/arXiv.2601.22638" TargetMode="External" /><Relationship Type="http://schemas.openxmlformats.org/officeDocument/2006/relationships/hyperlink" Id="rId178" Target="https://doi.org/10.48550/arXiv.2602.12430" TargetMode="External" /><Relationship Type="http://schemas.openxmlformats.org/officeDocument/2006/relationships/hyperlink" Id="rId188" Target="https://doi.org/10.48550/arXiv.2603.15914" TargetMode="External" /><Relationship Type="http://schemas.openxmlformats.org/officeDocument/2006/relationships/hyperlink" Id="rId130" Target="https://doi.org/10.48550/arXiv.2604.14228" TargetMode="External" /><Relationship Type="http://schemas.openxmlformats.org/officeDocument/2006/relationships/hyperlink" Id="rId142" Target="https://doi.org/10.48550/arXiv.2607.01507" TargetMode="External" /><Relationship Type="http://schemas.openxmlformats.org/officeDocument/2006/relationships/hyperlink" Id="rId46" Target="https://doi.org/10.48550/arXiv.2609.00006" TargetMode="External" /><Relationship Type="http://schemas.openxmlformats.org/officeDocument/2006/relationships/hyperlink" Id="rId72" Target="https://doi.org/10.48550/arXiv.2609.11198" TargetMode="External" /><Relationship Type="http://schemas.openxmlformats.org/officeDocument/2006/relationships/hyperlink" Id="rId128" Target="https://doi.org/10.48550/arXiv.2609.16995" TargetMode="External" /><Relationship Type="http://schemas.openxmlformats.org/officeDocument/2006/relationships/hyperlink" Id="rId158" Target="https://doi.org/10.5281/zenodo.19332911"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36" Target="https://www.anthropic.com/research/coding-agents-social-science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150"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2"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04"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6"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0" Target="https://doi.org/10.1038/s41598-023-41032-5" TargetMode="External" /><Relationship Type="http://schemas.openxmlformats.org/officeDocument/2006/relationships/hyperlink" Id="rId176" Target="https://doi.org/10.1038/s41746-024-01233-2" TargetMode="External" /><Relationship Type="http://schemas.openxmlformats.org/officeDocument/2006/relationships/hyperlink" Id="rId58"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02" Target="https://doi.org/10.1057/s41599-026-08832-2" TargetMode="External" /><Relationship Type="http://schemas.openxmlformats.org/officeDocument/2006/relationships/hyperlink" Id="rId50"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60" Target="https://doi.org/10.1080/20548923.2025.2564519" TargetMode="External" /><Relationship Type="http://schemas.openxmlformats.org/officeDocument/2006/relationships/hyperlink" Id="rId182"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68"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56"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4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6"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4" Target="https://doi.org/10.1162/coli.a.652" TargetMode="External" /><Relationship Type="http://schemas.openxmlformats.org/officeDocument/2006/relationships/hyperlink" Id="rId186"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4"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48" Target="https://doi.org/10.17226/29488" TargetMode="External" /><Relationship Type="http://schemas.openxmlformats.org/officeDocument/2006/relationships/hyperlink" Id="rId174"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78" Target="https://doi.org/10.2139/ssrn.7465898" TargetMode="External" /><Relationship Type="http://schemas.openxmlformats.org/officeDocument/2006/relationships/hyperlink" Id="rId126"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64" Target="https://doi.org/10.3233/faia230098" TargetMode="External" /><Relationship Type="http://schemas.openxmlformats.org/officeDocument/2006/relationships/hyperlink" Id="rId118" Target="https://doi.org/10.35566/jbds/jikim" TargetMode="External" /><Relationship Type="http://schemas.openxmlformats.org/officeDocument/2006/relationships/hyperlink" Id="rId154" Target="https://doi.org/10.36227/techrxiv.176703982.24212722/v1" TargetMode="External" /><Relationship Type="http://schemas.openxmlformats.org/officeDocument/2006/relationships/hyperlink" Id="rId48"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84" Target="https://doi.org/10.48550/arXiv.2311.10372" TargetMode="External" /><Relationship Type="http://schemas.openxmlformats.org/officeDocument/2006/relationships/hyperlink" Id="rId124" Target="https://doi.org/10.48550/arXiv.2505.06120" TargetMode="External" /><Relationship Type="http://schemas.openxmlformats.org/officeDocument/2006/relationships/hyperlink" Id="rId162" Target="https://doi.org/10.48550/arXiv.2509.09677" TargetMode="External" /><Relationship Type="http://schemas.openxmlformats.org/officeDocument/2006/relationships/hyperlink" Id="rId96" Target="https://doi.org/10.48550/arXiv.2601.22638" TargetMode="External" /><Relationship Type="http://schemas.openxmlformats.org/officeDocument/2006/relationships/hyperlink" Id="rId178" Target="https://doi.org/10.48550/arXiv.2602.12430" TargetMode="External" /><Relationship Type="http://schemas.openxmlformats.org/officeDocument/2006/relationships/hyperlink" Id="rId188" Target="https://doi.org/10.48550/arXiv.2603.15914" TargetMode="External" /><Relationship Type="http://schemas.openxmlformats.org/officeDocument/2006/relationships/hyperlink" Id="rId130" Target="https://doi.org/10.48550/arXiv.2604.14228" TargetMode="External" /><Relationship Type="http://schemas.openxmlformats.org/officeDocument/2006/relationships/hyperlink" Id="rId142" Target="https://doi.org/10.48550/arXiv.2607.01507" TargetMode="External" /><Relationship Type="http://schemas.openxmlformats.org/officeDocument/2006/relationships/hyperlink" Id="rId46" Target="https://doi.org/10.48550/arXiv.2609.00006" TargetMode="External" /><Relationship Type="http://schemas.openxmlformats.org/officeDocument/2006/relationships/hyperlink" Id="rId72" Target="https://doi.org/10.48550/arXiv.2609.11198" TargetMode="External" /><Relationship Type="http://schemas.openxmlformats.org/officeDocument/2006/relationships/hyperlink" Id="rId128" Target="https://doi.org/10.48550/arXiv.2609.16995" TargetMode="External" /><Relationship Type="http://schemas.openxmlformats.org/officeDocument/2006/relationships/hyperlink" Id="rId158" Target="https://doi.org/10.5281/zenodo.19332911"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36" Target="https://www.anthropic.com/research/coding-agents-social-science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2026-10-02T22:25:54Z</dcterms:created>
  <dcterms:modified xsi:type="dcterms:W3CDTF">2026-10-02T22:25:54Z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describe how to use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October 2,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reproducible analyses, and review changesConfigure an agent harness with project instructions and explicit permissionsUse and customize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