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under your direction at every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left"/>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Web-Based Chat</w:t>
                  </w:r>
                </w:p>
              </w:tc>
              <w:tc>
                <w:tcPr/>
                <w:p>
                  <w:pPr>
                    <w:pStyle w:val="Compact"/>
                    <w:jc w:val="left"/>
                    <w:jc w:val="left"/>
                  </w:pPr>
                  <w:r>
                    <w:t xml:space="preserve">Agentic AI</w:t>
                  </w:r>
                </w:p>
              </w:tc>
            </w:tr>
            <w:tr>
              <w:tc>
                <w:tcPr/>
                <w:p>
                  <w:pPr>
                    <w:pStyle w:val="Compact"/>
                    <w:jc w:val="left"/>
                    <w:jc w:val="left"/>
                  </w:pPr>
                  <w:r>
                    <w:t xml:space="preserve">Objective</w:t>
                  </w:r>
                </w:p>
              </w:tc>
              <w:tc>
                <w:tcPr/>
                <w:p>
                  <w:pPr>
                    <w:pStyle w:val="Compact"/>
                    <w:jc w:val="left"/>
                    <w:jc w:val="left"/>
                  </w:pPr>
                  <w:r>
                    <w:t xml:space="preserve">Produces a relevant text response to the current prompt</w:t>
                  </w:r>
                </w:p>
              </w:tc>
              <w:tc>
                <w:tcPr/>
                <w:p>
                  <w:pPr>
                    <w:pStyle w:val="Compact"/>
                    <w:jc w:val="left"/>
                    <w:jc w:val="left"/>
                  </w:pPr>
                  <w:r>
                    <w:t xml:space="preserve">Completes an external goal across many steps</w:t>
                  </w:r>
                </w:p>
              </w:tc>
            </w:tr>
            <w:tr>
              <w:tc>
                <w:tcPr/>
                <w:p>
                  <w:pPr>
                    <w:pStyle w:val="Compact"/>
                    <w:jc w:val="left"/>
                    <w:jc w:val="left"/>
                  </w:pPr>
                  <w:r>
                    <w:t xml:space="preserve">Interaction pattern</w:t>
                  </w:r>
                </w:p>
              </w:tc>
              <w:tc>
                <w:tcPr/>
                <w:p>
                  <w:pPr>
                    <w:pStyle w:val="Compact"/>
                    <w:jc w:val="left"/>
                    <w:jc w:val="left"/>
                  </w:pPr>
                  <w:r>
                    <w:t xml:space="preserve">Turn-based question and answer in a browser session</w:t>
                  </w:r>
                </w:p>
              </w:tc>
              <w:tc>
                <w:tcPr/>
                <w:p>
                  <w:pPr>
                    <w:pStyle w:val="Compact"/>
                    <w:jc w:val="left"/>
                    <w:jc w:val="left"/>
                  </w:pPr>
                  <w:r>
                    <w:t xml:space="preserve">Perceive-plan-act-observe loop until a stopping condition</w:t>
                  </w:r>
                </w:p>
              </w:tc>
            </w:tr>
            <w:tr>
              <w:tc>
                <w:tcPr/>
                <w:p>
                  <w:pPr>
                    <w:pStyle w:val="Compact"/>
                    <w:jc w:val="left"/>
                    <w:jc w:val="left"/>
                  </w:pPr>
                  <w:r>
                    <w:t xml:space="preserve">Initiative</w:t>
                  </w:r>
                </w:p>
              </w:tc>
              <w:tc>
                <w:tcPr/>
                <w:p>
                  <w:pPr>
                    <w:pStyle w:val="Compact"/>
                    <w:jc w:val="left"/>
                    <w:jc w:val="left"/>
                  </w:pPr>
                  <w:r>
                    <w:t xml:space="preserve">Reactive; waits for the user</w:t>
                  </w:r>
                </w:p>
              </w:tc>
              <w:tc>
                <w:tcPr/>
                <w:p>
                  <w:pPr>
                    <w:pStyle w:val="Compact"/>
                    <w:jc w:val="left"/>
                    <w:jc w:val="left"/>
                  </w:pPr>
                  <w:r>
                    <w:t xml:space="preserve">Proactive; decomposes goals and starts sub-tasks</w:t>
                  </w:r>
                </w:p>
              </w:tc>
            </w:tr>
            <w:tr>
              <w:tc>
                <w:tcPr/>
                <w:p>
                  <w:pPr>
                    <w:pStyle w:val="Compact"/>
                    <w:jc w:val="left"/>
                    <w:jc w:val="left"/>
                  </w:pPr>
                  <w:r>
                    <w:t xml:space="preserve">Tool and environment action</w:t>
                  </w:r>
                </w:p>
              </w:tc>
              <w:tc>
                <w:tcPr/>
                <w:p>
                  <w:pPr>
                    <w:pStyle w:val="Compact"/>
                    <w:jc w:val="left"/>
                    <w:jc w:val="left"/>
                  </w:pPr>
                  <w:r>
                    <w:t xml:space="preserve">Text only by default; browsing or files when added</w:t>
                  </w:r>
                </w:p>
              </w:tc>
              <w:tc>
                <w:tcPr/>
                <w:p>
                  <w:pPr>
                    <w:pStyle w:val="Compact"/>
                    <w:jc w:val="left"/>
                    <w:jc w:val="left"/>
                  </w:pPr>
                  <w:r>
                    <w:t xml:space="preserve">Native tool calls plus APIs code execution and instrument control</w:t>
                  </w:r>
                </w:p>
              </w:tc>
            </w:tr>
            <w:tr>
              <w:tc>
                <w:tcPr/>
                <w:p>
                  <w:pPr>
                    <w:pStyle w:val="Compact"/>
                    <w:jc w:val="left"/>
                    <w:jc w:val="left"/>
                  </w:pPr>
                  <w:r>
                    <w:t xml:space="preserve">Planning</w:t>
                  </w:r>
                </w:p>
              </w:tc>
              <w:tc>
                <w:tcPr/>
                <w:p>
                  <w:pPr>
                    <w:pStyle w:val="Compact"/>
                    <w:jc w:val="left"/>
                    <w:jc w:val="left"/>
                  </w:pPr>
                  <w:r>
                    <w:t xml:space="preserve">Implicit single-response reasoning</w:t>
                  </w:r>
                </w:p>
              </w:tc>
              <w:tc>
                <w:tcPr/>
                <w:p>
                  <w:pPr>
                    <w:pStyle w:val="Compact"/>
                    <w:jc w:val="left"/>
                    <w:jc w:val="left"/>
                  </w:pPr>
                  <w:r>
                    <w:t xml:space="preserve">Explicit task decomposition reflection and re-planning</w:t>
                  </w:r>
                </w:p>
              </w:tc>
            </w:tr>
            <w:tr>
              <w:tc>
                <w:tcPr/>
                <w:p>
                  <w:pPr>
                    <w:pStyle w:val="Compact"/>
                    <w:jc w:val="left"/>
                    <w:jc w:val="left"/>
                  </w:pPr>
                  <w:r>
                    <w:t xml:space="preserve">Memory and state</w:t>
                  </w:r>
                </w:p>
              </w:tc>
              <w:tc>
                <w:tcPr/>
                <w:p>
                  <w:pPr>
                    <w:pStyle w:val="Compact"/>
                    <w:jc w:val="left"/>
                    <w:jc w:val="left"/>
                  </w:pPr>
                  <w:r>
                    <w:t xml:space="preserve">Short dialogue context with limited persistence</w:t>
                  </w:r>
                </w:p>
              </w:tc>
              <w:tc>
                <w:tcPr/>
                <w:p>
                  <w:pPr>
                    <w:pStyle w:val="Compact"/>
                    <w:jc w:val="left"/>
                    <w:jc w:val="left"/>
                  </w:pPr>
                  <w:r>
                    <w:t xml:space="preserve">Long-term memory stored plans and persistent agent state</w:t>
                  </w:r>
                </w:p>
              </w:tc>
            </w:tr>
            <w:tr>
              <w:tc>
                <w:tcPr/>
                <w:p>
                  <w:pPr>
                    <w:pStyle w:val="Compact"/>
                    <w:jc w:val="left"/>
                    <w:jc w:val="left"/>
                  </w:pPr>
                  <w:r>
                    <w:t xml:space="preserve">Architecture</w:t>
                  </w:r>
                </w:p>
              </w:tc>
              <w:tc>
                <w:tcPr/>
                <w:p>
                  <w:pPr>
                    <w:pStyle w:val="Compact"/>
                    <w:jc w:val="left"/>
                    <w:jc w:val="left"/>
                  </w:pPr>
                  <w:r>
                    <w:t xml:space="preserve">Language model plus dialogue interface and safety filters</w:t>
                  </w:r>
                </w:p>
              </w:tc>
              <w:tc>
                <w:tcPr/>
                <w:p>
                  <w:pPr>
                    <w:pStyle w:val="Compact"/>
                    <w:jc w:val="left"/>
                    <w:jc w:val="left"/>
                  </w:pPr>
                  <w:r>
                    <w:t xml:space="preserve">Language model plus planner memory tool interfaces and orchestration</w:t>
                  </w:r>
                </w:p>
              </w:tc>
            </w:tr>
            <w:tr>
              <w:tc>
                <w:tcPr/>
                <w:p>
                  <w:pPr>
                    <w:pStyle w:val="Compact"/>
                    <w:jc w:val="left"/>
                    <w:jc w:val="left"/>
                  </w:pPr>
                  <w:r>
                    <w:t xml:space="preserve">Task duration</w:t>
                  </w:r>
                </w:p>
              </w:tc>
              <w:tc>
                <w:tcPr/>
                <w:p>
                  <w:pPr>
                    <w:pStyle w:val="Compact"/>
                    <w:jc w:val="left"/>
                    <w:jc w:val="left"/>
                  </w:pPr>
                  <w:r>
                    <w:t xml:space="preserve">Seconds to minutes per answer</w:t>
                  </w:r>
                </w:p>
              </w:tc>
              <w:tc>
                <w:tcPr/>
                <w:p>
                  <w:pPr>
                    <w:pStyle w:val="Compact"/>
                    <w:jc w:val="left"/>
                    <w:jc w:val="left"/>
                  </w:pPr>
                  <w:r>
                    <w:t xml:space="preserve">Minutes to hours or days of autonomous operation</w:t>
                  </w:r>
                </w:p>
              </w:tc>
            </w:tr>
            <w:tr>
              <w:tc>
                <w:tcPr/>
                <w:p>
                  <w:pPr>
                    <w:pStyle w:val="Compact"/>
                    <w:jc w:val="left"/>
                    <w:jc w:val="left"/>
                  </w:pPr>
                  <w:r>
                    <w:t xml:space="preserve">Evaluation</w:t>
                  </w:r>
                </w:p>
              </w:tc>
              <w:tc>
                <w:tcPr/>
                <w:p>
                  <w:pPr>
                    <w:pStyle w:val="Compact"/>
                    <w:jc w:val="left"/>
                    <w:jc w:val="left"/>
                  </w:pPr>
                  <w:r>
                    <w:t xml:space="preserve">Response quality factuality and helpfulness</w:t>
                  </w:r>
                </w:p>
              </w:tc>
              <w:tc>
                <w:tcPr/>
                <w:p>
                  <w:pPr>
                    <w:pStyle w:val="Compact"/>
                    <w:jc w:val="left"/>
                    <w:jc w:val="left"/>
                  </w:pPr>
                  <w:r>
                    <w:t xml:space="preserve">Task completion correct tool sequences and side effects</w:t>
                  </w:r>
                </w:p>
              </w:tc>
            </w:tr>
            <w:tr>
              <w:tc>
                <w:tcPr/>
                <w:p>
                  <w:pPr>
                    <w:pStyle w:val="Compact"/>
                    <w:jc w:val="left"/>
                    <w:jc w:val="left"/>
                  </w:pPr>
                  <w:r>
                    <w:t xml:space="preserve">Risk profile</w:t>
                  </w:r>
                </w:p>
              </w:tc>
              <w:tc>
                <w:tcPr/>
                <w:p>
                  <w:pPr>
                    <w:pStyle w:val="Compact"/>
                    <w:jc w:val="left"/>
                    <w:jc w:val="left"/>
                  </w:pPr>
                  <w:r>
                    <w:t xml:space="preserve">Misinformation bias and over-reliance on fluent text</w:t>
                  </w:r>
                </w:p>
              </w:tc>
              <w:tc>
                <w:tcPr/>
                <w:p>
                  <w:pPr>
                    <w:pStyle w:val="Compact"/>
                    <w:jc w:val="left"/>
                    <w:jc w:val="left"/>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validation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high-level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left"/>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742"/>
              <w:gridCol w:w="3088"/>
              <w:gridCol w:w="3088"/>
            </w:tblGrid>
            <w:tr>
              <w:trPr>
                <w:tblHeader w:val="true"/>
              </w:trPr>
              <w:tc>
                <w:tcPr/>
                <w:p>
                  <w:pPr>
                    <w:pStyle w:val="Compact"/>
                    <w:jc w:val="left"/>
                    <w:jc w:val="left"/>
                  </w:pPr>
                  <w:r>
                    <w:t xml:space="preserve">Dimension</w:t>
                  </w:r>
                </w:p>
              </w:tc>
              <w:tc>
                <w:tcPr/>
                <w:p>
                  <w:pPr>
                    <w:pStyle w:val="Compact"/>
                    <w:jc w:val="left"/>
                    <w:jc w:val="left"/>
                  </w:pPr>
                  <w:r>
                    <w:t xml:space="preserve">Human in the Loop</w:t>
                  </w:r>
                </w:p>
              </w:tc>
              <w:tc>
                <w:tcPr/>
                <w:p>
                  <w:pPr>
                    <w:pStyle w:val="Compact"/>
                    <w:jc w:val="left"/>
                    <w:jc w:val="left"/>
                  </w:pPr>
                  <w:r>
                    <w:t xml:space="preserve">Human at the Helm</w:t>
                  </w:r>
                </w:p>
              </w:tc>
            </w:tr>
            <w:tr>
              <w:tc>
                <w:tcPr/>
                <w:p>
                  <w:pPr>
                    <w:pStyle w:val="Compact"/>
                    <w:jc w:val="left"/>
                    <w:jc w:val="left"/>
                  </w:pPr>
                  <w:r>
                    <w:t xml:space="preserve">Locus of authority</w:t>
                  </w:r>
                </w:p>
              </w:tc>
              <w:tc>
                <w:tcPr/>
                <w:p>
                  <w:pPr>
                    <w:pStyle w:val="Compact"/>
                    <w:jc w:val="left"/>
                    <w:jc w:val="left"/>
                  </w:pPr>
                  <w:r>
                    <w:t xml:space="preserve">AI drives the workflow; the human approves at checkpoints</w:t>
                  </w:r>
                </w:p>
              </w:tc>
              <w:tc>
                <w:tcPr/>
                <w:p>
                  <w:pPr>
                    <w:pStyle w:val="Compact"/>
                    <w:jc w:val="left"/>
                    <w:jc w:val="left"/>
                  </w:pPr>
                  <w:r>
                    <w:t xml:space="preserve">Human directs the workflow; AI executes under direction</w:t>
                  </w:r>
                </w:p>
              </w:tc>
            </w:tr>
            <w:tr>
              <w:tc>
                <w:tcPr/>
                <w:p>
                  <w:pPr>
                    <w:pStyle w:val="Compact"/>
                    <w:jc w:val="left"/>
                    <w:jc w:val="left"/>
                  </w:pPr>
                  <w:r>
                    <w:t xml:space="preserve">Human role</w:t>
                  </w:r>
                </w:p>
              </w:tc>
              <w:tc>
                <w:tcPr/>
                <w:p>
                  <w:pPr>
                    <w:pStyle w:val="Compact"/>
                    <w:jc w:val="left"/>
                    <w:jc w:val="left"/>
                  </w:pPr>
                  <w:r>
                    <w:t xml:space="preserve">Intermittent reviewer, validator, or corrector</w:t>
                  </w:r>
                </w:p>
              </w:tc>
              <w:tc>
                <w:tcPr/>
                <w:p>
                  <w:pPr>
                    <w:pStyle w:val="Compact"/>
                    <w:jc w:val="left"/>
                    <w:jc w:val="left"/>
                  </w:pPr>
                  <w:r>
                    <w:t xml:space="preserve">Continuous director and final decision-maker</w:t>
                  </w:r>
                </w:p>
              </w:tc>
            </w:tr>
            <w:tr>
              <w:tc>
                <w:tcPr/>
                <w:p>
                  <w:pPr>
                    <w:pStyle w:val="Compact"/>
                    <w:jc w:val="left"/>
                    <w:jc w:val="left"/>
                  </w:pPr>
                  <w:r>
                    <w:t xml:space="preserve">When humans act</w:t>
                  </w:r>
                </w:p>
              </w:tc>
              <w:tc>
                <w:tcPr/>
                <w:p>
                  <w:pPr>
                    <w:pStyle w:val="Compact"/>
                    <w:jc w:val="left"/>
                    <w:jc w:val="left"/>
                  </w:pPr>
                  <w:r>
                    <w:t xml:space="preserve">At predefined intervention points (approval gates, error correction)</w:t>
                  </w:r>
                </w:p>
              </w:tc>
              <w:tc>
                <w:tcPr/>
                <w:p>
                  <w:pPr>
                    <w:pStyle w:val="Compact"/>
                    <w:jc w:val="left"/>
                    <w:jc w:val="left"/>
                  </w:pPr>
                  <w:r>
                    <w:t xml:space="preserve">Throughout the process, including goal definition and result interpretation</w:t>
                  </w:r>
                </w:p>
              </w:tc>
            </w:tr>
            <w:tr>
              <w:tc>
                <w:tcPr/>
                <w:p>
                  <w:pPr>
                    <w:pStyle w:val="Compact"/>
                    <w:jc w:val="left"/>
                    <w:jc w:val="left"/>
                  </w:pPr>
                  <w:r>
                    <w:t xml:space="preserve">Control logic</w:t>
                  </w:r>
                </w:p>
              </w:tc>
              <w:tc>
                <w:tcPr/>
                <w:p>
                  <w:pPr>
                    <w:pStyle w:val="Compact"/>
                    <w:jc w:val="left"/>
                    <w:jc w:val="left"/>
                  </w:pPr>
                  <w:r>
                    <w:t xml:space="preserve">Oversight of individual AI outputs (exception handling)</w:t>
                  </w:r>
                </w:p>
              </w:tc>
              <w:tc>
                <w:tcPr/>
                <w:p>
                  <w:pPr>
                    <w:pStyle w:val="Compact"/>
                    <w:jc w:val="left"/>
                    <w:jc w:val="left"/>
                  </w:pPr>
                  <w:r>
                    <w:t xml:space="preserve">Steering the entire trajectory of the research task</w:t>
                  </w:r>
                </w:p>
              </w:tc>
            </w:tr>
            <w:tr>
              <w:tc>
                <w:tcPr/>
                <w:p>
                  <w:pPr>
                    <w:pStyle w:val="Compact"/>
                    <w:jc w:val="left"/>
                    <w:jc w:val="left"/>
                  </w:pPr>
                  <w:r>
                    <w:t xml:space="preserve">Accountability</w:t>
                  </w:r>
                </w:p>
              </w:tc>
              <w:tc>
                <w:tcPr/>
                <w:p>
                  <w:pPr>
                    <w:pStyle w:val="Compact"/>
                    <w:jc w:val="left"/>
                    <w:jc w:val="left"/>
                  </w:pPr>
                  <w:r>
                    <w:t xml:space="preserve">Distributed between system and operator; often ambiguous in practice</w:t>
                  </w:r>
                </w:p>
              </w:tc>
              <w:tc>
                <w:tcPr/>
                <w:p>
                  <w:pPr>
                    <w:pStyle w:val="Compact"/>
                    <w:jc w:val="left"/>
                    <w:jc w:val="left"/>
                  </w:pPr>
                  <w:r>
                    <w:t xml:space="preserve">Retained by the researcher from start to finish</w:t>
                  </w:r>
                </w:p>
              </w:tc>
            </w:tr>
            <w:tr>
              <w:tc>
                <w:tcPr/>
                <w:p>
                  <w:pPr>
                    <w:pStyle w:val="Compact"/>
                    <w:jc w:val="left"/>
                    <w:jc w:val="left"/>
                  </w:pPr>
                  <w:r>
                    <w:t xml:space="preserve">Epistemic stance</w:t>
                  </w:r>
                </w:p>
              </w:tc>
              <w:tc>
                <w:tcPr/>
                <w:p>
                  <w:pPr>
                    <w:pStyle w:val="Compact"/>
                    <w:jc w:val="left"/>
                    <w:jc w:val="left"/>
                  </w:pPr>
                  <w:r>
                    <w:t xml:space="preserve">Machine output is assumed usable until flagged</w:t>
                  </w:r>
                </w:p>
              </w:tc>
              <w:tc>
                <w:tcPr/>
                <w:p>
                  <w:pPr>
                    <w:pStyle w:val="Compact"/>
                    <w:jc w:val="left"/>
                    <w:jc w:val="left"/>
                  </w:pPr>
                  <w:r>
                    <w:t xml:space="preserve">Machine output is provisional until the researcher has understood and endorsed it</w:t>
                  </w:r>
                </w:p>
              </w:tc>
            </w:tr>
            <w:tr>
              <w:tc>
                <w:tcPr/>
                <w:p>
                  <w:pPr>
                    <w:pStyle w:val="Compact"/>
                    <w:jc w:val="left"/>
                    <w:jc w:val="left"/>
                  </w:pPr>
                  <w:r>
                    <w:t xml:space="preserve">Relation to research integrity</w:t>
                  </w:r>
                </w:p>
              </w:tc>
              <w:tc>
                <w:tcPr/>
                <w:p>
                  <w:pPr>
                    <w:pStyle w:val="Compact"/>
                    <w:jc w:val="left"/>
                    <w:jc w:val="left"/>
                  </w:pPr>
                  <w:r>
                    <w:t xml:space="preserve">Can automate reasoning while the human only reacts</w:t>
                  </w:r>
                </w:p>
              </w:tc>
              <w:tc>
                <w:tcPr/>
                <w:p>
                  <w:pPr>
                    <w:pStyle w:val="Compact"/>
                    <w:jc w:val="left"/>
                    <w:jc w:val="left"/>
                  </w:pPr>
                  <w:r>
                    <w:t xml:space="preserve">Preserves human agency; the researcher owns the reasoning and the result</w:t>
                  </w:r>
                </w:p>
              </w:tc>
            </w:tr>
            <w:tr>
              <w:tc>
                <w:tcPr/>
                <w:p>
                  <w:pPr>
                    <w:pStyle w:val="Compact"/>
                    <w:jc w:val="left"/>
                    <w:jc w:val="left"/>
                  </w:pPr>
                  <w:r>
                    <w:t xml:space="preserve">Scientific framing</w:t>
                  </w:r>
                </w:p>
              </w:tc>
              <w:tc>
                <w:tcPr/>
                <w:p>
                  <w:pPr>
                    <w:pStyle w:val="Compact"/>
                    <w:jc w:val="left"/>
                    <w:jc w:val="left"/>
                  </w:pPr>
                  <w:r>
                    <w:t xml:space="preserve">HITL is a system-design pattern common in machine learning</w:t>
                  </w:r>
                </w:p>
              </w:tc>
              <w:tc>
                <w:tcPr/>
                <w:p>
                  <w:pPr>
                    <w:pStyle w:val="Compact"/>
                    <w:jc w:val="left"/>
                    <w:jc w:val="left"/>
                  </w:pPr>
                  <w:r>
                    <w:t xml:space="preserve">Extends meaningful human control to research contexts</w:t>
                  </w:r>
                </w:p>
              </w:tc>
            </w:tr>
            <w:tr>
              <w:tc>
                <w:tcPr/>
                <w:p>
                  <w:pPr>
                    <w:pStyle w:val="Compact"/>
                    <w:jc w:val="left"/>
                    <w:jc w:val="left"/>
                  </w:pPr>
                  <w:r>
                    <w:t xml:space="preserve">Regulatory echo</w:t>
                  </w:r>
                </w:p>
              </w:tc>
              <w:tc>
                <w:tcPr/>
                <w:p>
                  <w:pPr>
                    <w:pStyle w:val="Compact"/>
                    <w:jc w:val="left"/>
                    <w:jc w:val="left"/>
                  </w:pPr>
                  <w:r>
                    <w:t xml:space="preserve">Absent in law; legal discourse requires oversight, not mere presence in a loop</w:t>
                  </w:r>
                </w:p>
              </w:tc>
              <w:tc>
                <w:tcPr/>
                <w:p>
                  <w:pPr>
                    <w:pStyle w:val="Compact"/>
                    <w:jc w:val="left"/>
                    <w:jc w:val="left"/>
                  </w:pPr>
                  <w:r>
                    <w:t xml:space="preserve">Aligns with human oversight and control requirements in AI regulation</w:t>
                  </w:r>
                </w:p>
              </w:tc>
            </w:tr>
            <w:tr>
              <w:tc>
                <w:tcPr/>
                <w:p>
                  <w:pPr>
                    <w:pStyle w:val="Compact"/>
                    <w:jc w:val="left"/>
                    <w:jc w:val="left"/>
                  </w:pPr>
                  <w:r>
                    <w:t xml:space="preserve">Risk profile</w:t>
                  </w:r>
                </w:p>
              </w:tc>
              <w:tc>
                <w:tcPr/>
                <w:p>
                  <w:pPr>
                    <w:pStyle w:val="Compact"/>
                    <w:jc w:val="left"/>
                    <w:jc w:val="left"/>
                  </w:pPr>
                  <w:r>
                    <w:t xml:space="preserve">Risk of automation bias: the human rubber-stamps machine output</w:t>
                  </w:r>
                </w:p>
              </w:tc>
              <w:tc>
                <w:tcPr/>
                <w:p>
                  <w:pPr>
                    <w:pStyle w:val="Compact"/>
                    <w:jc w:val="left"/>
                    <w:jc w:val="left"/>
                  </w:pPr>
                  <w:r>
                    <w:t xml:space="preserve">Risk reduced by continuous human direction, though the human must stay engaged</w:t>
                  </w:r>
                </w:p>
              </w:tc>
            </w:tr>
            <w:tr>
              <w:tc>
                <w:tcPr/>
                <w:p>
                  <w:pPr>
                    <w:pStyle w:val="Compact"/>
                    <w:jc w:val="left"/>
                    <w:jc w:val="left"/>
                  </w:pPr>
                  <w:r>
                    <w:t xml:space="preserve">Definition of collaboration</w:t>
                  </w:r>
                </w:p>
              </w:tc>
              <w:tc>
                <w:tcPr/>
                <w:p>
                  <w:pPr>
                    <w:pStyle w:val="Compact"/>
                    <w:jc w:val="left"/>
                    <w:jc w:val="left"/>
                  </w:pPr>
                  <w:r>
                    <w:t xml:space="preserve">Human and AI as separable stages in a pipeline</w:t>
                  </w:r>
                </w:p>
              </w:tc>
              <w:tc>
                <w:tcPr/>
                <w:p>
                  <w:pPr>
                    <w:pStyle w:val="Compact"/>
                    <w:jc w:val="left"/>
                    <w:jc w:val="left"/>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analyze and visualize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R users that set includes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text and tables from very quickly and accurately,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free and open source software that records successive versions of a project’s text, code, and data files, so you can inspect every change and recover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output and edits are traceable as Git commits (a saved snapshot of your project’s files at a specific point in time) and human-readable as Git diffs (plain text records of changes of your files from one commit to another). This is an efficient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you use the tools described above, it is relatively simple to configure an AI agent so that it can efficiently see all the files in your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manages context, runs the model-tool loop,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left"/>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1742"/>
              <w:gridCol w:w="2376"/>
              <w:gridCol w:w="3801"/>
            </w:tblGrid>
            <w:tr>
              <w:trPr>
                <w:tblHeader w:val="true"/>
              </w:trPr>
              <w:tc>
                <w:tcPr/>
                <w:p>
                  <w:pPr>
                    <w:pStyle w:val="Compact"/>
                    <w:jc w:val="left"/>
                    <w:jc w:val="left"/>
                  </w:pPr>
                  <w:r>
                    <w:t xml:space="preserve">Component</w:t>
                  </w:r>
                </w:p>
              </w:tc>
              <w:tc>
                <w:tcPr/>
                <w:p>
                  <w:pPr>
                    <w:pStyle w:val="Compact"/>
                    <w:jc w:val="left"/>
                    <w:jc w:val="left"/>
                  </w:pPr>
                  <w:r>
                    <w:t xml:space="preserve">Job</w:t>
                  </w:r>
                </w:p>
              </w:tc>
              <w:tc>
                <w:tcPr/>
                <w:p>
                  <w:pPr>
                    <w:pStyle w:val="Compact"/>
                    <w:jc w:val="left"/>
                    <w:jc w:val="left"/>
                  </w:pPr>
                  <w:r>
                    <w:t xml:space="preserve">Example</w:t>
                  </w:r>
                </w:p>
              </w:tc>
            </w:tr>
            <w:tr>
              <w:tc>
                <w:tcPr/>
                <w:p>
                  <w:pPr>
                    <w:pStyle w:val="Compact"/>
                    <w:jc w:val="left"/>
                    <w:jc w:val="left"/>
                  </w:pPr>
                  <w:r>
                    <w:t xml:space="preserve">Permissions</w:t>
                  </w:r>
                </w:p>
              </w:tc>
              <w:tc>
                <w:tcPr/>
                <w:p>
                  <w:pPr>
                    <w:pStyle w:val="Compact"/>
                    <w:jc w:val="left"/>
                    <w:jc w:val="left"/>
                  </w:pPr>
                  <w:r>
                    <w:t xml:space="preserve">Decide which actions run automatically and which need your approval</w:t>
                  </w:r>
                </w:p>
              </w:tc>
              <w:tc>
                <w:tcPr/>
                <w:p>
                  <w:pPr>
                    <w:pStyle w:val="Compact"/>
                    <w:jc w:val="left"/>
                    <w:jc w:val="left"/>
                  </w:pPr>
                  <w:r>
                    <w:t xml:space="preserve">Block edits to restricted files</w:t>
                  </w:r>
                </w:p>
              </w:tc>
            </w:tr>
            <w:tr>
              <w:tc>
                <w:tcPr/>
                <w:p>
                  <w:pPr>
                    <w:pStyle w:val="Compact"/>
                    <w:jc w:val="left"/>
                    <w:jc w:val="left"/>
                  </w:pPr>
                  <w:r>
                    <w:t xml:space="preserve">Context</w:t>
                  </w:r>
                </w:p>
              </w:tc>
              <w:tc>
                <w:tcPr/>
                <w:p>
                  <w:pPr>
                    <w:pStyle w:val="Compact"/>
                    <w:jc w:val="left"/>
                    <w:jc w:val="left"/>
                  </w:pPr>
                  <w:r>
                    <w:t xml:space="preserve">Assemble the content your model sees each turn</w:t>
                  </w:r>
                </w:p>
              </w:tc>
              <w:tc>
                <w:tcPr/>
                <w:p>
                  <w:pPr>
                    <w:pStyle w:val="Compact"/>
                    <w:jc w:val="left"/>
                    <w:jc w:val="left"/>
                  </w:pPr>
                  <w:r>
                    <w:t xml:space="preserve">AGENTS.md, conversation history, file contents, tool outputs</w:t>
                  </w:r>
                </w:p>
              </w:tc>
            </w:tr>
            <w:tr>
              <w:tc>
                <w:tcPr/>
                <w:p>
                  <w:pPr>
                    <w:pStyle w:val="Compact"/>
                    <w:jc w:val="left"/>
                    <w:jc w:val="left"/>
                  </w:pPr>
                  <w:r>
                    <w:t xml:space="preserve">Loop</w:t>
                  </w:r>
                </w:p>
              </w:tc>
              <w:tc>
                <w:tcPr/>
                <w:p>
                  <w:pPr>
                    <w:pStyle w:val="Compact"/>
                    <w:jc w:val="left"/>
                    <w:jc w:val="left"/>
                  </w:pPr>
                  <w:r>
                    <w:t xml:space="preserve">Send your prompt to the model, run its tool calls and feed results back until the task finishes or you stop it</w:t>
                  </w:r>
                </w:p>
              </w:tc>
              <w:tc>
                <w:tcPr/>
                <w:p>
                  <w:pPr>
                    <w:pStyle w:val="Compact"/>
                    <w:jc w:val="left"/>
                    <w:jc w:val="left"/>
                  </w:pPr>
                  <w:r>
                    <w:t xml:space="preserve">Plan, then the model acts, then checks its work, then repeats or moves to the next step in the plan</w:t>
                  </w:r>
                </w:p>
              </w:tc>
            </w:tr>
            <w:tr>
              <w:tc>
                <w:tcPr/>
                <w:p>
                  <w:pPr>
                    <w:pStyle w:val="Compact"/>
                    <w:jc w:val="left"/>
                    <w:jc w:val="left"/>
                  </w:pPr>
                  <w:r>
                    <w:t xml:space="preserve">Interface</w:t>
                  </w:r>
                </w:p>
              </w:tc>
              <w:tc>
                <w:tcPr/>
                <w:p>
                  <w:pPr>
                    <w:pStyle w:val="Compact"/>
                    <w:jc w:val="left"/>
                    <w:jc w:val="left"/>
                  </w:pPr>
                  <w:r>
                    <w:t xml:space="preserve">Show where you type prompts, watch the agent work, and read its output</w:t>
                  </w:r>
                </w:p>
              </w:tc>
              <w:tc>
                <w:tcPr/>
                <w:p>
                  <w:pPr>
                    <w:pStyle w:val="Compact"/>
                    <w:jc w:val="left"/>
                    <w:jc w:val="left"/>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environment that includes agentic AI. The entire frame is encapsulated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visualization.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summarizes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left"/>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1584"/>
              <w:gridCol w:w="3564"/>
              <w:gridCol w:w="2772"/>
            </w:tblGrid>
            <w:tr>
              <w:trPr>
                <w:tblHeader w:val="true"/>
              </w:trPr>
              <w:tc>
                <w:tcPr/>
                <w:p>
                  <w:pPr>
                    <w:pStyle w:val="Compact"/>
                    <w:jc w:val="left"/>
                    <w:jc w:val="left"/>
                  </w:pPr>
                  <w:r>
                    <w:t xml:space="preserve">Option</w:t>
                  </w:r>
                </w:p>
              </w:tc>
              <w:tc>
                <w:tcPr/>
                <w:p>
                  <w:pPr>
                    <w:pStyle w:val="Compact"/>
                    <w:jc w:val="left"/>
                    <w:jc w:val="left"/>
                  </w:pPr>
                  <w:r>
                    <w:t xml:space="preserve">Action</w:t>
                  </w:r>
                </w:p>
              </w:tc>
              <w:tc>
                <w:tcPr/>
                <w:p>
                  <w:pPr>
                    <w:pStyle w:val="Compact"/>
                    <w:jc w:val="left"/>
                    <w:jc w:val="left"/>
                  </w:pPr>
                  <w:r>
                    <w:t xml:space="preserve">Limitation</w:t>
                  </w:r>
                </w:p>
              </w:tc>
            </w:tr>
            <w:tr>
              <w:tc>
                <w:tcPr/>
                <w:p>
                  <w:pPr>
                    <w:pStyle w:val="Compact"/>
                    <w:jc w:val="left"/>
                    <w:jc w:val="left"/>
                  </w:pPr>
                  <w:r>
                    <w:t xml:space="preserve">Zero Data Retention (ZDR)</w:t>
                  </w:r>
                </w:p>
              </w:tc>
              <w:tc>
                <w:tcPr/>
                <w:p>
                  <w:pPr>
                    <w:pStyle w:val="Compact"/>
                    <w:jc w:val="left"/>
                    <w:jc w:val="left"/>
                  </w:pPr>
                  <w:r>
                    <w:t xml:space="preserve">Use a provider that deletes request data immediately after processing</w:t>
                  </w:r>
                </w:p>
              </w:tc>
              <w:tc>
                <w:tcPr/>
                <w:p>
                  <w:pPr>
                    <w:pStyle w:val="Compact"/>
                    <w:jc w:val="left"/>
                    <w:jc w:val="left"/>
                  </w:pPr>
                  <w:r>
                    <w:t xml:space="preserve">Contractual promise only; check terms before sending sensitive data</w:t>
                  </w:r>
                </w:p>
              </w:tc>
            </w:tr>
            <w:tr>
              <w:tc>
                <w:tcPr/>
                <w:p>
                  <w:pPr>
                    <w:pStyle w:val="Compact"/>
                    <w:jc w:val="left"/>
                    <w:jc w:val="left"/>
                  </w:pPr>
                  <w:r>
                    <w:t xml:space="preserve">Outside-folder storage</w:t>
                  </w:r>
                </w:p>
              </w:tc>
              <w:tc>
                <w:tcPr/>
                <w:p>
                  <w:pPr>
                    <w:pStyle w:val="Compact"/>
                    <w:jc w:val="left"/>
                    <w:jc w:val="left"/>
                  </w:pPr>
                  <w:r>
                    <w:t xml:space="preserve">Keep restricted files in a directory outside the project folder so the agent cannot open them by accident</w:t>
                  </w:r>
                  <w:r>
                    <w:t xml:space="preserve"> </w:t>
                  </w:r>
                  <w:r>
                    <w:t xml:space="preserve">(Brown 2026)</w:t>
                  </w:r>
                </w:p>
              </w:tc>
              <w:tc>
                <w:tcPr/>
                <w:p>
                  <w:pPr>
                    <w:pStyle w:val="Compact"/>
                    <w:jc w:val="left"/>
                    <w:jc w:val="left"/>
                  </w:pPr>
                  <w:r>
                    <w:t xml:space="preserve">You must move files yourself and manage what the agent can see</w:t>
                  </w:r>
                </w:p>
              </w:tc>
            </w:tr>
            <w:tr>
              <w:tc>
                <w:tcPr/>
                <w:p>
                  <w:pPr>
                    <w:pStyle w:val="Compact"/>
                    <w:jc w:val="left"/>
                    <w:jc w:val="left"/>
                  </w:pPr>
                  <w:r>
                    <w:t xml:space="preserve">Local LLM</w:t>
                  </w:r>
                </w:p>
              </w:tc>
              <w:tc>
                <w:tcPr/>
                <w:p>
                  <w:pPr>
                    <w:pStyle w:val="Compact"/>
                    <w:jc w:val="left"/>
                    <w:jc w:val="left"/>
                  </w:pPr>
                  <w:r>
                    <w:t xml:space="preserve">Run the model on your computer so no data leave it</w:t>
                  </w:r>
                  <w:r>
                    <w:t xml:space="preserve"> </w:t>
                  </w:r>
                  <w:r>
                    <w:t xml:space="preserve">(Abramson et al. 2026; Wiest et al. 2024)</w:t>
                  </w:r>
                </w:p>
              </w:tc>
              <w:tc>
                <w:tcPr/>
                <w:p>
                  <w:pPr>
                    <w:pStyle w:val="Compact"/>
                    <w:jc w:val="left"/>
                    <w:jc w:val="left"/>
                  </w:pPr>
                  <w:r>
                    <w:t xml:space="preserve">Matching hosted-model quality needs expensive high-performance hardware</w:t>
                  </w:r>
                  <w:r>
                    <w:t xml:space="preserve"> </w:t>
                  </w:r>
                  <w:r>
                    <w:t xml:space="preserve">(Brown, Spillias, et al. 2026)</w:t>
                  </w:r>
                </w:p>
              </w:tc>
            </w:tr>
            <w:tr>
              <w:tc>
                <w:tcPr/>
                <w:p>
                  <w:pPr>
                    <w:pStyle w:val="Compact"/>
                    <w:jc w:val="left"/>
                    <w:jc w:val="left"/>
                  </w:pPr>
                  <w:r>
                    <w:t xml:space="preserve">Synthetic proxy data</w:t>
                  </w:r>
                </w:p>
              </w:tc>
              <w:tc>
                <w:tcPr/>
                <w:p>
                  <w:pPr>
                    <w:pStyle w:val="Compact"/>
                    <w:jc w:val="left"/>
                    <w:jc w:val="left"/>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left"/>
                  </w:pPr>
                  <w:r>
                    <w:t xml:space="preserve">The proxy must match the variable types, distributions, and format of the real columns, or the code will not transfer</w:t>
                  </w:r>
                </w:p>
              </w:tc>
            </w:tr>
          </w:tbl>
          <w:bookmarkEnd w:id="29"/>
          <w:p/>
        </w:tc>
      </w:tr>
    </w:tbl>
    <w:bookmarkEnd w:id="30"/>
    <w:bookmarkStart w:id="36" w:name="sec-analysis"/>
    <w:p>
      <w:pPr>
        <w:pStyle w:val="Heading1"/>
      </w:pPr>
      <w:r>
        <w:t xml:space="preserve">Step 3: Use Tools, Skills, and Model Context Protocols to Research, Plan, Execute, and Verify</w:t>
      </w:r>
    </w:p>
    <w:p>
      <w:pPr>
        <w:pStyle w:val="FirstParagraph"/>
      </w:pPr>
      <w:r>
        <w:t xml:space="preserve">With the harness configured, working with an AI to generate plans and analyze data is more efficient by using tools, skills and Model Context Protocols (MCPs) to do common research tasks such as search for and verify references, write and run code, organize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tidyverse conventions in R. When we ask for R code, the harness loads that file into the context and sends it to the model along with the rest of the prompt, and the output follows those instructions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left"/>
            </w:pPr>
            <w:pPr>
              <w:jc w:val="start"/>
              <w:spacing w:before="200"/>
              <w:pStyle w:val="ImageCaption"/>
            </w:pPr>
            <w:r>
              <w:t xml:space="preserve">Table 5: Instructions, MCP servers and skills installed in our OpenCode configuration that we have found useful for assistance with routine research tasks. The source column refers to repositories on github.com and publications.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in this table was 1 Oct 2026.</w:t>
            </w:r>
          </w:p>
          <w:tbl>
            <w:tblPr>
              <w:tblStyle w:val="Table"/>
              <w:tblW w:type="pct" w:w="5000"/>
              <w:tblLook w:firstRow="1" w:lastRow="0" w:firstColumn="0" w:lastColumn="0" w:noHBand="0" w:noVBand="0" w:val="0020"/>
              <w:jc w:val="start"/>
              <w:tblLayout w:type="fixed"/>
            </w:tblPr>
            <w:tblGrid>
              <w:gridCol w:w="633"/>
              <w:gridCol w:w="1584"/>
              <w:gridCol w:w="3484"/>
              <w:gridCol w:w="1267"/>
              <w:gridCol w:w="950"/>
            </w:tblGrid>
            <w:tr>
              <w:trPr>
                <w:tblHeader w:val="true"/>
              </w:trPr>
              <w:tc>
                <w:tcPr/>
                <w:p>
                  <w:pPr>
                    <w:pStyle w:val="Compact"/>
                    <w:jc w:val="left"/>
                    <w:jc w:val="left"/>
                  </w:pPr>
                  <w:r>
                    <w:t xml:space="preserve">Type</w:t>
                  </w:r>
                </w:p>
              </w:tc>
              <w:tc>
                <w:tcPr/>
                <w:p>
                  <w:pPr>
                    <w:pStyle w:val="Compact"/>
                    <w:jc w:val="left"/>
                    <w:jc w:val="left"/>
                  </w:pPr>
                  <w:r>
                    <w:t xml:space="preserve">Name</w:t>
                  </w:r>
                </w:p>
              </w:tc>
              <w:tc>
                <w:tcPr/>
                <w:p>
                  <w:pPr>
                    <w:pStyle w:val="Compact"/>
                    <w:jc w:val="left"/>
                    <w:jc w:val="left"/>
                  </w:pPr>
                  <w:r>
                    <w:t xml:space="preserve">Purpose</w:t>
                  </w:r>
                </w:p>
              </w:tc>
              <w:tc>
                <w:tcPr/>
                <w:p>
                  <w:pPr>
                    <w:pStyle w:val="Compact"/>
                    <w:jc w:val="left"/>
                    <w:jc w:val="left"/>
                  </w:pPr>
                  <w:r>
                    <w:t xml:space="preserve">Source</w:t>
                  </w:r>
                </w:p>
              </w:tc>
              <w:tc>
                <w:tcPr/>
                <w:p>
                  <w:pPr>
                    <w:pStyle w:val="Compact"/>
                    <w:jc w:val="left"/>
                    <w:jc w:val="left"/>
                  </w:pPr>
                  <w:r>
                    <w:t xml:space="preserve">License</w:t>
                  </w:r>
                </w:p>
              </w:tc>
            </w:tr>
            <w:tr>
              <w:tc>
                <w:tcPr/>
                <w:p>
                  <w:pPr>
                    <w:pStyle w:val="Compact"/>
                    <w:jc w:val="left"/>
                    <w:jc w:val="left"/>
                  </w:pPr>
                  <w:r>
                    <w:t xml:space="preserve">Instructions</w:t>
                  </w:r>
                </w:p>
              </w:tc>
              <w:tc>
                <w:tcPr/>
                <w:p>
                  <w:pPr>
                    <w:pStyle w:val="Compact"/>
                    <w:jc w:val="left"/>
                    <w:jc w:val="left"/>
                  </w:pPr>
                  <w:r>
                    <w:t xml:space="preserve">global AGENTS.md</w:t>
                  </w:r>
                </w:p>
              </w:tc>
              <w:tc>
                <w:tcPr/>
                <w:p>
                  <w:pPr>
                    <w:pStyle w:val="Compact"/>
                    <w:jc w:val="left"/>
                    <w:jc w:val="left"/>
                  </w:pPr>
                  <w:r>
                    <w:t xml:space="preserve">Global preferences and working habits applied across all projects</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Instructions</w:t>
                  </w:r>
                </w:p>
              </w:tc>
              <w:tc>
                <w:tcPr/>
                <w:p>
                  <w:pPr>
                    <w:pStyle w:val="Compact"/>
                    <w:jc w:val="left"/>
                    <w:jc w:val="left"/>
                  </w:pPr>
                  <w:r>
                    <w:t xml:space="preserve">project-specific AGENTS.md</w:t>
                  </w:r>
                </w:p>
              </w:tc>
              <w:tc>
                <w:tcPr/>
                <w:p>
                  <w:pPr>
                    <w:pStyle w:val="Compact"/>
                    <w:jc w:val="left"/>
                    <w:jc w:val="left"/>
                  </w:pPr>
                  <w:r>
                    <w:t xml:space="preserve">Specific custom project context and instructions auto-loaded at the start of each session</w:t>
                  </w:r>
                </w:p>
              </w:tc>
              <w:tc>
                <w:tcPr/>
                <w:p>
                  <w:pPr>
                    <w:pStyle w:val="Compact"/>
                    <w:jc w:val="left"/>
                    <w:jc w:val="left"/>
                  </w:pPr>
                  <w:r>
                    <w:t xml:space="preserve">local</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deep-research</w:t>
                  </w:r>
                </w:p>
              </w:tc>
              <w:tc>
                <w:tcPr/>
                <w:p>
                  <w:pPr>
                    <w:pStyle w:val="Compact"/>
                    <w:jc w:val="left"/>
                    <w:jc w:val="left"/>
                  </w:pPr>
                  <w:r>
                    <w:t xml:space="preserve">Agent team for literature search verification synthesis and systematic review</w:t>
                  </w:r>
                </w:p>
              </w:tc>
              <w:tc>
                <w:tcPr/>
                <w:p>
                  <w:pPr>
                    <w:pStyle w:val="Compact"/>
                    <w:jc w:val="left"/>
                    <w:jc w:val="left"/>
                  </w:pPr>
                  <w:r>
                    <w:t xml:space="preserve">pafozz/hermes-deep-research</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r-style-guide</w:t>
                  </w:r>
                </w:p>
              </w:tc>
              <w:tc>
                <w:tcPr/>
                <w:p>
                  <w:pPr>
                    <w:pStyle w:val="Compact"/>
                    <w:jc w:val="left"/>
                    <w:jc w:val="left"/>
                  </w:pPr>
                  <w:r>
                    <w:t xml:space="preserve">Conventions for writing R, e.g. naming, spacing, layout, function design</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tidyverse-patterns</w:t>
                  </w:r>
                </w:p>
              </w:tc>
              <w:tc>
                <w:tcPr/>
                <w:p>
                  <w:pPr>
                    <w:pStyle w:val="Compact"/>
                    <w:jc w:val="left"/>
                    <w:jc w:val="left"/>
                  </w:pPr>
                  <w:r>
                    <w:t xml:space="preserve">Conventions for using tidyverse packages, e.g. modern pipes, joins, grouping, string handling</w:t>
                  </w:r>
                </w:p>
              </w:tc>
              <w:tc>
                <w:tcPr/>
                <w:p>
                  <w:pPr>
                    <w:pStyle w:val="Compact"/>
                    <w:jc w:val="left"/>
                    <w:jc w:val="left"/>
                  </w:pPr>
                  <w:r>
                    <w:t xml:space="preserve">ab604/claude-code-r-skills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quarto-authoring</w:t>
                  </w:r>
                </w:p>
              </w:tc>
              <w:tc>
                <w:tcPr/>
                <w:p>
                  <w:pPr>
                    <w:pStyle w:val="Compact"/>
                    <w:jc w:val="left"/>
                    <w:jc w:val="left"/>
                  </w:pPr>
                  <w:r>
                    <w:t xml:space="preserve">Authoring with Quarto documents, e.g. cross-references, citations, and extensions</w:t>
                  </w:r>
                </w:p>
              </w:tc>
              <w:tc>
                <w:tcPr/>
                <w:p>
                  <w:pPr>
                    <w:pStyle w:val="Compact"/>
                    <w:jc w:val="left"/>
                    <w:jc w:val="left"/>
                  </w:pPr>
                  <w:r>
                    <w:t xml:space="preserve">posit-dev/skills</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zotero-cli</w:t>
                  </w:r>
                </w:p>
              </w:tc>
              <w:tc>
                <w:tcPr/>
                <w:p>
                  <w:pPr>
                    <w:pStyle w:val="Compact"/>
                    <w:jc w:val="left"/>
                    <w:jc w:val="left"/>
                  </w:pPr>
                  <w:r>
                    <w:t xml:space="preserve">Searches, reads, and annotates the author’s Zotero library from the shell</w:t>
                  </w:r>
                </w:p>
              </w:tc>
              <w:tc>
                <w:tcPr/>
                <w:p>
                  <w:pPr>
                    <w:pStyle w:val="Compact"/>
                    <w:jc w:val="left"/>
                    <w:jc w:val="left"/>
                  </w:pPr>
                  <w:r>
                    <w:t xml:space="preserve">Agents365-ai/zotero-cli-ai</w:t>
                  </w:r>
                </w:p>
              </w:tc>
              <w:tc>
                <w:tcPr/>
                <w:p>
                  <w:pPr>
                    <w:pStyle w:val="Compact"/>
                    <w:jc w:val="left"/>
                    <w:jc w:val="left"/>
                  </w:pPr>
                  <w:r>
                    <w:t xml:space="preserve">AGPL-3.0</w:t>
                  </w:r>
                </w:p>
              </w:tc>
            </w:tr>
            <w:tr>
              <w:tc>
                <w:tcPr/>
                <w:p>
                  <w:pPr>
                    <w:pStyle w:val="Compact"/>
                    <w:jc w:val="left"/>
                    <w:jc w:val="left"/>
                  </w:pPr>
                  <w:r>
                    <w:t xml:space="preserve">Skill</w:t>
                  </w:r>
                </w:p>
              </w:tc>
              <w:tc>
                <w:tcPr/>
                <w:p>
                  <w:pPr>
                    <w:pStyle w:val="Compact"/>
                    <w:jc w:val="left"/>
                    <w:jc w:val="left"/>
                  </w:pPr>
                  <w:r>
                    <w:t xml:space="preserve">paperdoctor</w:t>
                  </w:r>
                </w:p>
              </w:tc>
              <w:tc>
                <w:tcPr/>
                <w:p>
                  <w:pPr>
                    <w:pStyle w:val="Compact"/>
                    <w:jc w:val="left"/>
                    <w:jc w:val="left"/>
                  </w:pPr>
                  <w:r>
                    <w:t xml:space="preserve">Suite of skills that reviews a manuscript in progress by checking its claims, code, math, references and visual layout, then renders every finding into one interactive HTML report</w:t>
                  </w:r>
                </w:p>
              </w:tc>
              <w:tc>
                <w:tcPr/>
                <w:p>
                  <w:pPr>
                    <w:pStyle w:val="Compact"/>
                    <w:jc w:val="left"/>
                    <w:jc w:val="left"/>
                  </w:pPr>
                  <w:r>
                    <w:t xml:space="preserve">QinghongLin/paperdoctor,</w:t>
                  </w:r>
                  <w:r>
                    <w:t xml:space="preserve"> </w:t>
                  </w:r>
                  <w:r>
                    <w:t xml:space="preserve">Lin et al. (2026)</w:t>
                  </w:r>
                </w:p>
              </w:tc>
              <w:tc>
                <w:tcPr/>
                <w:p>
                  <w:pPr>
                    <w:pStyle w:val="Compact"/>
                    <w:jc w:val="left"/>
                    <w:jc w:val="left"/>
                  </w:pPr>
                  <w:r>
                    <w:t xml:space="preserve">MIT</w:t>
                  </w:r>
                </w:p>
              </w:tc>
            </w:tr>
            <w:tr>
              <w:tc>
                <w:tcPr/>
                <w:p>
                  <w:pPr>
                    <w:pStyle w:val="Compact"/>
                    <w:jc w:val="left"/>
                    <w:jc w:val="left"/>
                  </w:pPr>
                  <w:r>
                    <w:t xml:space="preserve">Skill</w:t>
                  </w:r>
                </w:p>
              </w:tc>
              <w:tc>
                <w:tcPr/>
                <w:p>
                  <w:pPr>
                    <w:pStyle w:val="Compact"/>
                    <w:jc w:val="left"/>
                    <w:jc w:val="left"/>
                  </w:pPr>
                  <w:r>
                    <w:t xml:space="preserve">open-scholar-skill</w:t>
                  </w:r>
                </w:p>
              </w:tc>
              <w:tc>
                <w:tcPr/>
                <w:p>
                  <w:pPr>
                    <w:pStyle w:val="Compact"/>
                    <w:jc w:val="left"/>
                    <w:jc w:val="left"/>
                  </w:pPr>
                  <w:r>
                    <w:t xml:space="preserve">Suite of skills for assisting with social science research through a pipeline of verification gates, e.g. idea generation, theory exploration, study design, analysis, ethics, etc</w:t>
                  </w:r>
                </w:p>
              </w:tc>
              <w:tc>
                <w:tcPr/>
                <w:p>
                  <w:pPr>
                    <w:pStyle w:val="Compact"/>
                    <w:jc w:val="left"/>
                    <w:jc w:val="left"/>
                  </w:pPr>
                  <w:r>
                    <w:t xml:space="preserve">joshzyj/open-scholar-skill,</w:t>
                  </w:r>
                  <w:r>
                    <w:t xml:space="preserve"> </w:t>
                  </w:r>
                  <w:r>
                    <w:t xml:space="preserve">Zhang (2026)</w:t>
                  </w:r>
                </w:p>
              </w:tc>
              <w:tc>
                <w:tcPr/>
                <w:p>
                  <w:pPr>
                    <w:pStyle w:val="Compact"/>
                    <w:jc w:val="left"/>
                    <w:jc w:val="left"/>
                  </w:pPr>
                  <w:r>
                    <w:t xml:space="preserve">Custom License for non-commercial, academic use,</w:t>
                  </w:r>
                </w:p>
              </w:tc>
            </w:tr>
            <w:tr>
              <w:tc>
                <w:tcPr/>
                <w:p>
                  <w:pPr>
                    <w:pStyle w:val="Compact"/>
                    <w:jc w:val="left"/>
                    <w:jc w:val="left"/>
                  </w:pPr>
                  <w:r>
                    <w:t xml:space="preserve">Skill</w:t>
                  </w:r>
                </w:p>
              </w:tc>
              <w:tc>
                <w:tcPr/>
                <w:p>
                  <w:pPr>
                    <w:pStyle w:val="Compact"/>
                    <w:jc w:val="left"/>
                    <w:jc w:val="left"/>
                  </w:pPr>
                  <w:r>
                    <w:t xml:space="preserve">manuscript-writing-review</w:t>
                  </w:r>
                </w:p>
              </w:tc>
              <w:tc>
                <w:tcPr/>
                <w:p>
                  <w:pPr>
                    <w:pStyle w:val="Compact"/>
                    <w:jc w:val="left"/>
                    <w:jc w:val="left"/>
                  </w:pPr>
                  <w:r>
                    <w:t xml:space="preserve">Reviews a scientific or engineering manuscript for writing quality, e.g. clutter, passive voice, sentence architecture, keyword consistency, and numerical or citation errors</w:t>
                  </w:r>
                </w:p>
              </w:tc>
              <w:tc>
                <w:tcPr/>
                <w:p>
                  <w:pPr>
                    <w:pStyle w:val="Compact"/>
                    <w:jc w:val="left"/>
                    <w:jc w:val="left"/>
                  </w:pPr>
                  <w:r>
                    <w:t xml:space="preserve">labarba/sciwrite</w:t>
                  </w:r>
                </w:p>
              </w:tc>
              <w:tc>
                <w:tcPr/>
                <w:p>
                  <w:pPr>
                    <w:pStyle w:val="Compact"/>
                    <w:jc w:val="left"/>
                    <w:jc w:val="left"/>
                  </w:pPr>
                  <w:r>
                    <w:t xml:space="preserve">CC-BY-4.0</w:t>
                  </w:r>
                </w:p>
              </w:tc>
            </w:tr>
            <w:tr>
              <w:tc>
                <w:tcPr/>
                <w:p>
                  <w:pPr>
                    <w:pStyle w:val="Compact"/>
                    <w:jc w:val="left"/>
                    <w:jc w:val="left"/>
                  </w:pPr>
                  <w:r>
                    <w:t xml:space="preserve">MCP</w:t>
                  </w:r>
                </w:p>
              </w:tc>
              <w:tc>
                <w:tcPr/>
                <w:p>
                  <w:pPr>
                    <w:pStyle w:val="Compact"/>
                    <w:jc w:val="left"/>
                    <w:jc w:val="left"/>
                  </w:pPr>
                  <w:r>
                    <w:t xml:space="preserve">r-mcptools</w:t>
                  </w:r>
                </w:p>
              </w:tc>
              <w:tc>
                <w:tcPr/>
                <w:p>
                  <w:pPr>
                    <w:pStyle w:val="Compact"/>
                    <w:jc w:val="left"/>
                    <w:jc w:val="left"/>
                  </w:pPr>
                  <w:r>
                    <w:t xml:space="preserve">Exposes a running R session so the agent can execute code and read results</w:t>
                  </w:r>
                </w:p>
              </w:tc>
              <w:tc>
                <w:tcPr/>
                <w:p>
                  <w:pPr>
                    <w:pStyle w:val="Compact"/>
                    <w:jc w:val="left"/>
                    <w:jc w:val="left"/>
                  </w:pPr>
                  <w:r>
                    <w:t xml:space="preserve">posit-dev/mcptools</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refcheck</w:t>
                  </w:r>
                </w:p>
              </w:tc>
              <w:tc>
                <w:tcPr/>
                <w:p>
                  <w:pPr>
                    <w:pStyle w:val="Compact"/>
                    <w:jc w:val="left"/>
                    <w:jc w:val="left"/>
                  </w:pPr>
                  <w:r>
                    <w:t xml:space="preserve">Searches publication databases and returns verified references with BibTeX</w:t>
                  </w:r>
                </w:p>
              </w:tc>
              <w:tc>
                <w:tcPr/>
                <w:p>
                  <w:pPr>
                    <w:pStyle w:val="Compact"/>
                    <w:jc w:val="left"/>
                    <w:jc w:val="left"/>
                  </w:pPr>
                  <w:r>
                    <w:t xml:space="preserve">benchoi93/refcheck</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scholar_mcp</w:t>
                  </w:r>
                </w:p>
              </w:tc>
              <w:tc>
                <w:tcPr/>
                <w:p>
                  <w:pPr>
                    <w:pStyle w:val="Compact"/>
                    <w:jc w:val="left"/>
                    <w:jc w:val="left"/>
                  </w:pPr>
                  <w:r>
                    <w:t xml:space="preserve">Searches Google Scholar and other sources by keywords and then reads inside papers</w:t>
                  </w:r>
                </w:p>
              </w:tc>
              <w:tc>
                <w:tcPr/>
                <w:p>
                  <w:pPr>
                    <w:pStyle w:val="Compact"/>
                    <w:jc w:val="left"/>
                    <w:jc w:val="left"/>
                  </w:pPr>
                  <w:r>
                    <w:t xml:space="preserve">Liyux3/scholar-mcp</w:t>
                  </w:r>
                </w:p>
              </w:tc>
              <w:tc>
                <w:tcPr/>
                <w:p>
                  <w:pPr>
                    <w:pStyle w:val="Compact"/>
                    <w:jc w:val="left"/>
                    <w:jc w:val="left"/>
                  </w:pPr>
                  <w:r>
                    <w:t xml:space="preserve">Apache-2.0</w:t>
                  </w:r>
                </w:p>
              </w:tc>
            </w:tr>
            <w:tr>
              <w:tc>
                <w:tcPr/>
                <w:p>
                  <w:pPr>
                    <w:pStyle w:val="Compact"/>
                    <w:jc w:val="left"/>
                    <w:jc w:val="left"/>
                  </w:pPr>
                  <w:r>
                    <w:t xml:space="preserve">MCP</w:t>
                  </w:r>
                </w:p>
              </w:tc>
              <w:tc>
                <w:tcPr/>
                <w:p>
                  <w:pPr>
                    <w:pStyle w:val="Compact"/>
                    <w:jc w:val="left"/>
                    <w:jc w:val="left"/>
                  </w:pPr>
                  <w:r>
                    <w:t xml:space="preserve">markitdown</w:t>
                  </w:r>
                </w:p>
              </w:tc>
              <w:tc>
                <w:tcPr/>
                <w:p>
                  <w:pPr>
                    <w:pStyle w:val="Compact"/>
                    <w:jc w:val="left"/>
                    <w:jc w:val="left"/>
                  </w:pPr>
                  <w:r>
                    <w:t xml:space="preserve">Converts DOCX files, PDFs and web pages to markdown the agent can read</w:t>
                  </w:r>
                </w:p>
              </w:tc>
              <w:tc>
                <w:tcPr/>
                <w:p>
                  <w:pPr>
                    <w:pStyle w:val="Compact"/>
                    <w:jc w:val="left"/>
                    <w:jc w:val="left"/>
                  </w:pPr>
                  <w:r>
                    <w:t xml:space="preserve">microsoft/markitdown</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open-scholar-peer</w:t>
                  </w:r>
                </w:p>
              </w:tc>
              <w:tc>
                <w:tcPr/>
                <w:p>
                  <w:pPr>
                    <w:pStyle w:val="Compact"/>
                    <w:jc w:val="left"/>
                    <w:jc w:val="left"/>
                  </w:pPr>
                  <w:r>
                    <w:t xml:space="preserve">An open source implementation of ScholarPeer: A Context-Aware Multi-Agent Framework for Automated Peer Review</w:t>
                  </w:r>
                </w:p>
              </w:tc>
              <w:tc>
                <w:tcPr/>
                <w:p>
                  <w:pPr>
                    <w:pStyle w:val="Compact"/>
                    <w:jc w:val="left"/>
                    <w:jc w:val="left"/>
                  </w:pPr>
                  <w:r>
                    <w:t xml:space="preserve">amirkiarafiei/open-scholar-peer,</w:t>
                  </w:r>
                  <w:r>
                    <w:t xml:space="preserve"> </w:t>
                  </w:r>
                  <w:r>
                    <w:t xml:space="preserve">Goyal et al. (2026)</w:t>
                  </w:r>
                </w:p>
              </w:tc>
              <w:tc>
                <w:tcPr/>
                <w:p>
                  <w:pPr>
                    <w:pStyle w:val="Compact"/>
                    <w:jc w:val="left"/>
                    <w:jc w:val="left"/>
                  </w:pPr>
                  <w:r>
                    <w:t xml:space="preserve">MIT</w:t>
                  </w:r>
                </w:p>
              </w:tc>
            </w:tr>
            <w:tr>
              <w:tc>
                <w:tcPr/>
                <w:p>
                  <w:pPr>
                    <w:pStyle w:val="Compact"/>
                    <w:jc w:val="left"/>
                    <w:jc w:val="left"/>
                  </w:pPr>
                  <w:r>
                    <w:t xml:space="preserve">MCP</w:t>
                  </w:r>
                </w:p>
              </w:tc>
              <w:tc>
                <w:tcPr/>
                <w:p>
                  <w:pPr>
                    <w:pStyle w:val="Compact"/>
                    <w:jc w:val="left"/>
                    <w:jc w:val="left"/>
                  </w:pPr>
                  <w:r>
                    <w:t xml:space="preserve">playwright</w:t>
                  </w:r>
                </w:p>
              </w:tc>
              <w:tc>
                <w:tcPr/>
                <w:p>
                  <w:pPr>
                    <w:pStyle w:val="Compact"/>
                    <w:jc w:val="left"/>
                    <w:jc w:val="left"/>
                  </w:pPr>
                  <w:r>
                    <w:t xml:space="preserve">Provides browser automation capabilities for LLMs, allowing AI agents to interact with web pages</w:t>
                  </w:r>
                </w:p>
              </w:tc>
              <w:tc>
                <w:tcPr/>
                <w:p>
                  <w:pPr>
                    <w:pStyle w:val="Compact"/>
                    <w:jc w:val="left"/>
                    <w:jc w:val="left"/>
                  </w:pPr>
                  <w:r>
                    <w:t xml:space="preserve">microsoft/playwright-mcp</w:t>
                  </w:r>
                </w:p>
              </w:tc>
              <w:tc>
                <w:tcPr/>
                <w:p>
                  <w:pPr>
                    <w:pStyle w:val="Compact"/>
                    <w:jc w:val="left"/>
                    <w:jc w:val="left"/>
                  </w:pPr>
                  <w:r>
                    <w:t xml:space="preserve">Apache-2.0</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 the agent but cannot force compliance, so you need to review the completeness and accuracy of results before incorporating them into your work.</w:t>
      </w:r>
    </w:p>
    <w:p>
      <w:pPr>
        <w:pStyle w:val="BodyText"/>
      </w:pPr>
      <w:r>
        <w:t xml:space="preserve">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to plan and write code for a stone artifact analysis with an AI agent, we recommend the following:</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the dataset in the prompt, or a narrative summary of the data, or a synthetic version generated by a local LLM. For a stone artifact assemblage this could simply be mentioning the raw data file in your prompt, e.g. </w:t>
      </w:r>
      <w:r>
        <w:t xml:space="preserve">‘</w:t>
      </w:r>
      <w:r>
        <w:t xml:space="preserve">Look at my data in</w:t>
      </w:r>
      <w:r>
        <w:t xml:space="preserve"> </w:t>
      </w:r>
      <w:r>
        <w:rPr>
          <w:rStyle w:val="VerbatimChar"/>
        </w:rPr>
        <w:t xml:space="preserve">@analysis/data/stone-artifact-data.csv</w:t>
      </w:r>
      <w:r>
        <w:t xml:space="preserve">’</w:t>
      </w:r>
      <w:r>
        <w:t xml:space="preserve">, that directs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artifact analysis we would request the agent use to the FactoMineR and factoextra R packages for the multivariate analyses and follow the guidance in</w:t>
      </w:r>
      <w:r>
        <w:t xml:space="preserve"> </w:t>
      </w:r>
      <w:r>
        <w:t xml:space="preserve">Greenacre et al. (2022)</w:t>
      </w:r>
      <w:r>
        <w:t xml:space="preserve">. Use the agent’s tools to retrieve the literature specific to your analysis.</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FirstParagraph"/>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iteration and refinement, as indicated by the bi-directional arrows between the researcher and the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Grossmann et al. 2023; Longkumer 2025)</w:t>
      </w:r>
      <w:r>
        <w:t xml:space="preserve">.</w:t>
      </w:r>
      <w:r>
        <w:t xml:space="preserve"> </w:t>
      </w:r>
      <w:r>
        <w:t xml:space="preserve">Piper (2026)</w:t>
      </w:r>
      <w:r>
        <w:t xml:space="preserve"> </w:t>
      </w:r>
      <w:r>
        <w:t xml:space="preserve">argues that AI in the humanities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makes it more urgent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1" w:name="references-cited"/>
    <w:p>
      <w:pPr>
        <w:pStyle w:val="Heading1"/>
      </w:pPr>
      <w:r>
        <w:t xml:space="preserve">References Cited</w:t>
      </w:r>
    </w:p>
    <w:bookmarkStart w:id="190"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6">
        <w:r>
          <w:rPr>
            <w:rStyle w:val="Hyperlink"/>
          </w:rPr>
          <w:t xml:space="preserve">https://doi.org/10.48550/arXiv.2609.00006</w:t>
        </w:r>
      </w:hyperlink>
      <w:r>
        <w:t xml:space="preserve">.</w:t>
      </w:r>
    </w:p>
    <w:bookmarkEnd w:id="47"/>
    <w:bookmarkStart w:id="49"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48">
        <w:r>
          <w:rPr>
            <w:rStyle w:val="Hyperlink"/>
          </w:rPr>
          <w:t xml:space="preserve">https://doi.org/10.4337/9781802204131.00014</w:t>
        </w:r>
      </w:hyperlink>
      <w:r>
        <w:t xml:space="preserve">.</w:t>
      </w:r>
    </w:p>
    <w:bookmarkEnd w:id="49"/>
    <w:bookmarkStart w:id="51"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0">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hyperlink r:id="rId52">
        <w:r>
          <w:rPr>
            <w:rStyle w:val="Hyperlink"/>
          </w:rPr>
          <w:t xml:space="preserve">https://doi.org/10.31235/osf.io/azs6r_v1</w:t>
        </w:r>
      </w:hyperlink>
      <w:r>
        <w:t xml:space="preserve">.</w:t>
      </w:r>
    </w:p>
    <w:bookmarkEnd w:id="53"/>
    <w:bookmarkStart w:id="55" w:name="ref-BlischakDavenportWilson2016"/>
    <w:p>
      <w:pPr>
        <w:pStyle w:val="Bibliography"/>
      </w:pPr>
      <w:r>
        <w:t xml:space="preserve">Blischak, John D., Emily R. Davenport, and Greg Wilson. 2016. A Quick Introduction to Version Control with</w:t>
      </w:r>
      <w:r>
        <w:t xml:space="preserve"> </w:t>
      </w:r>
      <w:r>
        <w:t xml:space="preserve">Git</w:t>
      </w:r>
      <w:r>
        <w:t xml:space="preserve"> </w:t>
      </w:r>
      <w:r>
        <w:t xml:space="preserve">and</w:t>
      </w:r>
      <w:r>
        <w:t xml:space="preserve"> </w:t>
      </w:r>
      <w:r>
        <w:t xml:space="preserve">GitHub</w:t>
      </w:r>
      <w:r>
        <w:t xml:space="preserve">.</w:t>
      </w:r>
      <w:r>
        <w:t xml:space="preserve"> </w:t>
      </w:r>
      <w:r>
        <w:rPr>
          <w:iCs/>
          <w:i/>
        </w:rPr>
        <w:t xml:space="preserve">PLOS Computational Biology</w:t>
      </w:r>
      <w:r>
        <w:t xml:space="preserve"> </w:t>
      </w:r>
      <w:r>
        <w:t xml:space="preserve">12(1):e1004668.</w:t>
      </w:r>
      <w:r>
        <w:t xml:space="preserve"> </w:t>
      </w:r>
      <w:hyperlink r:id="rId54">
        <w:r>
          <w:rPr>
            <w:rStyle w:val="Hyperlink"/>
          </w:rPr>
          <w:t xml:space="preserve">https://doi.org/10.1371/journal.pcbi.1004668</w:t>
        </w:r>
      </w:hyperlink>
      <w:r>
        <w:t xml:space="preserve">.</w:t>
      </w:r>
    </w:p>
    <w:bookmarkEnd w:id="55"/>
    <w:bookmarkStart w:id="57"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6">
        <w:r>
          <w:rPr>
            <w:rStyle w:val="Hyperlink"/>
          </w:rPr>
          <w:t xml:space="preserve">https://doi.org/10.1038/s41586-023-06792-0</w:t>
        </w:r>
      </w:hyperlink>
      <w:r>
        <w:t xml:space="preserve">.</w:t>
      </w:r>
    </w:p>
    <w:bookmarkEnd w:id="57"/>
    <w:bookmarkStart w:id="59"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58">
        <w:r>
          <w:rPr>
            <w:rStyle w:val="Hyperlink"/>
          </w:rPr>
          <w:t xml:space="preserve">https://doi.org/10.1038/s42256-024-00832-8</w:t>
        </w:r>
      </w:hyperlink>
      <w:r>
        <w:t xml:space="preserve">.</w:t>
      </w:r>
    </w:p>
    <w:bookmarkEnd w:id="59"/>
    <w:bookmarkStart w:id="61"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0">
        <w:r>
          <w:rPr>
            <w:rStyle w:val="Hyperlink"/>
          </w:rPr>
          <w:t xml:space="preserve">https://doi.org/10.1371/journal.pcbi.1014428</w:t>
        </w:r>
      </w:hyperlink>
      <w:r>
        <w:t xml:space="preserve">.</w:t>
      </w:r>
    </w:p>
    <w:bookmarkEnd w:id="61"/>
    <w:bookmarkStart w:id="63"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2">
        <w:r>
          <w:rPr>
            <w:rStyle w:val="Hyperlink"/>
          </w:rPr>
          <w:t xml:space="preserve">https://www.seascapemodels.org/AI-assistants-for-scientific-coding/</w:t>
        </w:r>
      </w:hyperlink>
      <w:r>
        <w:t xml:space="preserve">, accessed September 18, 2026.</w:t>
      </w:r>
    </w:p>
    <w:bookmarkEnd w:id="63"/>
    <w:bookmarkStart w:id="65"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4">
        <w:r>
          <w:rPr>
            <w:rStyle w:val="Hyperlink"/>
          </w:rPr>
          <w:t xml:space="preserve">https://doi.org/10.1111/faf.70079</w:t>
        </w:r>
      </w:hyperlink>
      <w:r>
        <w:t xml:space="preserve">.</w:t>
      </w:r>
    </w:p>
    <w:bookmarkEnd w:id="65"/>
    <w:bookmarkStart w:id="67"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6">
        <w:r>
          <w:rPr>
            <w:rStyle w:val="Hyperlink"/>
          </w:rPr>
          <w:t xml:space="preserve">https://doi.org/10.1111/2041-210x.70267</w:t>
        </w:r>
      </w:hyperlink>
      <w:r>
        <w:t xml:space="preserve">.</w:t>
      </w:r>
    </w:p>
    <w:bookmarkEnd w:id="67"/>
    <w:bookmarkStart w:id="69"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8">
        <w:r>
          <w:rPr>
            <w:rStyle w:val="Hyperlink"/>
          </w:rPr>
          <w:t xml:space="preserve">https://vitaexmachina.substack.com/p/running-local-large-language-models</w:t>
        </w:r>
      </w:hyperlink>
      <w:r>
        <w:t xml:space="preserve">, accessed September 18, 2026.</w:t>
      </w:r>
    </w:p>
    <w:bookmarkEnd w:id="69"/>
    <w:bookmarkStart w:id="71"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0">
        <w:r>
          <w:rPr>
            <w:rStyle w:val="Hyperlink"/>
          </w:rPr>
          <w:t xml:space="preserve">https://doi.org/10.1111/2041-210X.14396</w:t>
        </w:r>
      </w:hyperlink>
      <w:r>
        <w:t xml:space="preserve">.</w:t>
      </w:r>
    </w:p>
    <w:bookmarkEnd w:id="71"/>
    <w:bookmarkStart w:id="73" w:name="ref-CardarelliRagno2026"/>
    <w:p>
      <w:pPr>
        <w:pStyle w:val="Bibliography"/>
      </w:pPr>
      <w:r>
        <w:t xml:space="preserve">Cardarelli, Lorenzo, and Roberto Ragno. 2026. (Whose Defaults?) Is Artificial Intelligence Reorienting Archaeological Methods?</w:t>
      </w:r>
      <w:r>
        <w:t xml:space="preserve"> </w:t>
      </w:r>
      <w:hyperlink r:id="rId72">
        <w:r>
          <w:rPr>
            <w:rStyle w:val="Hyperlink"/>
          </w:rPr>
          <w:t xml:space="preserve">https://doi.org/10.48550/arXiv.2609.11198</w:t>
        </w:r>
      </w:hyperlink>
      <w:r>
        <w:t xml:space="preserve">.</w:t>
      </w:r>
    </w:p>
    <w:bookmarkEnd w:id="73"/>
    <w:bookmarkStart w:id="75"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4">
        <w:r>
          <w:rPr>
            <w:rStyle w:val="Hyperlink"/>
          </w:rPr>
          <w:t xml:space="preserve">https://doi.org/10.1162/coli.a.652</w:t>
        </w:r>
      </w:hyperlink>
      <w:r>
        <w:t xml:space="preserve">.</w:t>
      </w:r>
    </w:p>
    <w:bookmarkEnd w:id="75"/>
    <w:bookmarkStart w:id="7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6">
        <w:r>
          <w:rPr>
            <w:rStyle w:val="Hyperlink"/>
          </w:rPr>
          <w:t xml:space="preserve">https://doi.org/10.48550/arXiv.2304.05128</w:t>
        </w:r>
      </w:hyperlink>
      <w:r>
        <w:t xml:space="preserve">.</w:t>
      </w:r>
    </w:p>
    <w:bookmarkEnd w:id="77"/>
    <w:bookmarkStart w:id="79"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8">
        <w:r>
          <w:rPr>
            <w:rStyle w:val="Hyperlink"/>
          </w:rPr>
          <w:t xml:space="preserve">https://doi.org/10.2139/ssrn.7465898</w:t>
        </w:r>
      </w:hyperlink>
      <w:r>
        <w:t xml:space="preserve">, accessed September 16, 2026.</w:t>
      </w:r>
    </w:p>
    <w:bookmarkEnd w:id="79"/>
    <w:bookmarkStart w:id="8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0">
        <w:r>
          <w:rPr>
            <w:rStyle w:val="Hyperlink"/>
          </w:rPr>
          <w:t xml:space="preserve">https://doi.org/10.1111/2041-210X.14325</w:t>
        </w:r>
      </w:hyperlink>
      <w:r>
        <w:t xml:space="preserve">.</w:t>
      </w:r>
    </w:p>
    <w:bookmarkEnd w:id="81"/>
    <w:bookmarkStart w:id="83"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2">
        <w:r>
          <w:rPr>
            <w:rStyle w:val="Hyperlink"/>
          </w:rPr>
          <w:t xml:space="preserve">https://doi.org/10.1017/aap.2026.10173</w:t>
        </w:r>
      </w:hyperlink>
      <w:r>
        <w:t xml:space="preserve">.</w:t>
      </w:r>
    </w:p>
    <w:bookmarkEnd w:id="83"/>
    <w:bookmarkStart w:id="85"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4">
        <w:r>
          <w:rPr>
            <w:rStyle w:val="Hyperlink"/>
          </w:rPr>
          <w:t xml:space="preserve">https://doi.org/10.1287/orsc.2025.21838</w:t>
        </w:r>
      </w:hyperlink>
      <w:r>
        <w:t xml:space="preserve">.</w:t>
      </w:r>
    </w:p>
    <w:bookmarkEnd w:id="85"/>
    <w:bookmarkStart w:id="8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6">
        <w:r>
          <w:rPr>
            <w:rStyle w:val="Hyperlink"/>
          </w:rPr>
          <w:t xml:space="preserve">https://doi.org/10.1093/jmammal/gyaf082</w:t>
        </w:r>
      </w:hyperlink>
      <w:r>
        <w:t xml:space="preserve">.</w:t>
      </w:r>
    </w:p>
    <w:bookmarkEnd w:id="87"/>
    <w:bookmarkStart w:id="8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8">
        <w:r>
          <w:rPr>
            <w:rStyle w:val="Hyperlink"/>
          </w:rPr>
          <w:t xml:space="preserve">https://doi.org/10.1007/s12599-023-00834-7</w:t>
        </w:r>
      </w:hyperlink>
      <w:r>
        <w:t xml:space="preserve">.</w:t>
      </w:r>
    </w:p>
    <w:bookmarkEnd w:id="89"/>
    <w:bookmarkStart w:id="9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0">
        <w:r>
          <w:rPr>
            <w:rStyle w:val="Hyperlink"/>
          </w:rPr>
          <w:t xml:space="preserve">https://doi.org/10.1016/j.culher.2024.11.020</w:t>
        </w:r>
      </w:hyperlink>
      <w:r>
        <w:t xml:space="preserve">.</w:t>
      </w:r>
    </w:p>
    <w:bookmarkEnd w:id="91"/>
    <w:bookmarkStart w:id="9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2">
        <w:r>
          <w:rPr>
            <w:rStyle w:val="Hyperlink"/>
          </w:rPr>
          <w:t xml:space="preserve">https://doi.org/10.1080/10584609.2023.2290497</w:t>
        </w:r>
      </w:hyperlink>
      <w:r>
        <w:t xml:space="preserve">.</w:t>
      </w:r>
    </w:p>
    <w:bookmarkEnd w:id="93"/>
    <w:bookmarkStart w:id="9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4">
        <w:r>
          <w:rPr>
            <w:rStyle w:val="Hyperlink"/>
          </w:rPr>
          <w:t xml:space="preserve">https://doi.org/10.1038/s44185-024-00043-9</w:t>
        </w:r>
      </w:hyperlink>
      <w:r>
        <w:t xml:space="preserve">.</w:t>
      </w:r>
    </w:p>
    <w:bookmarkEnd w:id="95"/>
    <w:bookmarkStart w:id="97"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6">
        <w:r>
          <w:rPr>
            <w:rStyle w:val="Hyperlink"/>
          </w:rPr>
          <w:t xml:space="preserve">https://doi.org/10.48550/arXiv.2601.22638</w:t>
        </w:r>
      </w:hyperlink>
      <w:r>
        <w:t xml:space="preserve">.</w:t>
      </w:r>
    </w:p>
    <w:bookmarkEnd w:id="97"/>
    <w:bookmarkStart w:id="99"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98">
        <w:r>
          <w:rPr>
            <w:rStyle w:val="Hyperlink"/>
          </w:rPr>
          <w:t xml:space="preserve">https://doi.org/10.1038/s43586-022-00184-w</w:t>
        </w:r>
      </w:hyperlink>
      <w:r>
        <w:t xml:space="preserve">.</w:t>
      </w:r>
    </w:p>
    <w:bookmarkEnd w:id="99"/>
    <w:bookmarkStart w:id="101"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0">
        <w:r>
          <w:rPr>
            <w:rStyle w:val="Hyperlink"/>
          </w:rPr>
          <w:t xml:space="preserve">https://doi.org/10.1126/science.adi1778</w:t>
        </w:r>
      </w:hyperlink>
      <w:r>
        <w:t xml:space="preserve">.</w:t>
      </w:r>
    </w:p>
    <w:bookmarkEnd w:id="101"/>
    <w:bookmarkStart w:id="103"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2">
        <w:r>
          <w:rPr>
            <w:rStyle w:val="Hyperlink"/>
          </w:rPr>
          <w:t xml:space="preserve">https://doi.org/10.1057/s41599-026-08832-2</w:t>
        </w:r>
      </w:hyperlink>
      <w:r>
        <w:t xml:space="preserve">.</w:t>
      </w:r>
    </w:p>
    <w:bookmarkEnd w:id="103"/>
    <w:bookmarkStart w:id="105"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4">
        <w:r>
          <w:rPr>
            <w:rStyle w:val="Hyperlink"/>
          </w:rPr>
          <w:t xml:space="preserve">https://doi.org/10.1016/j.sftr.2025.101152</w:t>
        </w:r>
      </w:hyperlink>
      <w:r>
        <w:t xml:space="preserve">.</w:t>
      </w:r>
    </w:p>
    <w:bookmarkEnd w:id="105"/>
    <w:bookmarkStart w:id="107"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6">
        <w:r>
          <w:rPr>
            <w:rStyle w:val="Hyperlink"/>
          </w:rPr>
          <w:t xml:space="preserve">https://doi.org/10.1007/978-3-032-02049-9_6</w:t>
        </w:r>
      </w:hyperlink>
      <w:r>
        <w:t xml:space="preserve">.</w:t>
      </w:r>
    </w:p>
    <w:bookmarkEnd w:id="107"/>
    <w:bookmarkStart w:id="109"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08">
        <w:r>
          <w:rPr>
            <w:rStyle w:val="Hyperlink"/>
          </w:rPr>
          <w:t xml:space="preserve">https://doi.org/10.1145/3796519</w:t>
        </w:r>
      </w:hyperlink>
      <w:r>
        <w:t xml:space="preserve">.</w:t>
      </w:r>
    </w:p>
    <w:bookmarkEnd w:id="109"/>
    <w:bookmarkStart w:id="111"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0">
        <w:r>
          <w:rPr>
            <w:rStyle w:val="Hyperlink"/>
          </w:rPr>
          <w:t xml:space="preserve">https://doi.org/10.1371/journal.pone.0317084</w:t>
        </w:r>
      </w:hyperlink>
      <w:r>
        <w:t xml:space="preserve">.</w:t>
      </w:r>
    </w:p>
    <w:bookmarkEnd w:id="111"/>
    <w:bookmarkStart w:id="113"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2">
        <w:r>
          <w:rPr>
            <w:rStyle w:val="Hyperlink"/>
          </w:rPr>
          <w:t xml:space="preserve">https://doi.org/10.1080/00187259.2026.2714301</w:t>
        </w:r>
      </w:hyperlink>
      <w:r>
        <w:t xml:space="preserve">.</w:t>
      </w:r>
    </w:p>
    <w:bookmarkEnd w:id="113"/>
    <w:bookmarkStart w:id="115"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4">
        <w:r>
          <w:rPr>
            <w:rStyle w:val="Hyperlink"/>
          </w:rPr>
          <w:t xml:space="preserve">https://doi.org/10.4337/9781802204131.00019</w:t>
        </w:r>
      </w:hyperlink>
      <w:r>
        <w:t xml:space="preserve">.</w:t>
      </w:r>
    </w:p>
    <w:bookmarkEnd w:id="115"/>
    <w:bookmarkStart w:id="117"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6">
        <w:r>
          <w:rPr>
            <w:rStyle w:val="Hyperlink"/>
          </w:rPr>
          <w:t xml:space="preserve">https://doi.org/10.11141/ia.71.15</w:t>
        </w:r>
      </w:hyperlink>
      <w:r>
        <w:t xml:space="preserve">.</w:t>
      </w:r>
    </w:p>
    <w:bookmarkEnd w:id="117"/>
    <w:bookmarkStart w:id="119"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18">
        <w:r>
          <w:rPr>
            <w:rStyle w:val="Hyperlink"/>
          </w:rPr>
          <w:t xml:space="preserve">https://doi.org/10.35566/jbds/jikim</w:t>
        </w:r>
      </w:hyperlink>
      <w:r>
        <w:t xml:space="preserve">.</w:t>
      </w:r>
    </w:p>
    <w:bookmarkEnd w:id="119"/>
    <w:bookmarkStart w:id="121"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0">
        <w:r>
          <w:rPr>
            <w:rStyle w:val="Hyperlink"/>
          </w:rPr>
          <w:t xml:space="preserve">https://doi.org/10.1257/jel.20231736</w:t>
        </w:r>
      </w:hyperlink>
      <w:r>
        <w:t xml:space="preserve">.</w:t>
      </w:r>
    </w:p>
    <w:bookmarkEnd w:id="121"/>
    <w:bookmarkStart w:id="123"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2">
        <w:r>
          <w:rPr>
            <w:rStyle w:val="Hyperlink"/>
          </w:rPr>
          <w:t xml:space="preserve">https://www.nber.org/papers/w34202</w:t>
        </w:r>
      </w:hyperlink>
      <w:r>
        <w:t xml:space="preserve">, accessed September 29, 2026.</w:t>
      </w:r>
    </w:p>
    <w:bookmarkEnd w:id="123"/>
    <w:bookmarkStart w:id="12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4">
        <w:r>
          <w:rPr>
            <w:rStyle w:val="Hyperlink"/>
          </w:rPr>
          <w:t xml:space="preserve">https://doi.org/10.48550/arXiv.2505.06120</w:t>
        </w:r>
      </w:hyperlink>
      <w:r>
        <w:t xml:space="preserve">.</w:t>
      </w:r>
    </w:p>
    <w:bookmarkEnd w:id="125"/>
    <w:bookmarkStart w:id="12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26">
        <w:r>
          <w:rPr>
            <w:rStyle w:val="Hyperlink"/>
          </w:rPr>
          <w:t xml:space="preserve">https://doi.org/10.2196/51584</w:t>
        </w:r>
      </w:hyperlink>
      <w:r>
        <w:t xml:space="preserve">.</w:t>
      </w:r>
    </w:p>
    <w:bookmarkEnd w:id="127"/>
    <w:bookmarkStart w:id="129"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28">
        <w:r>
          <w:rPr>
            <w:rStyle w:val="Hyperlink"/>
          </w:rPr>
          <w:t xml:space="preserve">https://doi.org/10.48550/arXiv.2609.16995</w:t>
        </w:r>
      </w:hyperlink>
      <w:r>
        <w:t xml:space="preserve">.</w:t>
      </w:r>
    </w:p>
    <w:bookmarkEnd w:id="129"/>
    <w:bookmarkStart w:id="131"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0">
        <w:r>
          <w:rPr>
            <w:rStyle w:val="Hyperlink"/>
          </w:rPr>
          <w:t xml:space="preserve">https://doi.org/10.48550/arXiv.2604.14228</w:t>
        </w:r>
      </w:hyperlink>
      <w:r>
        <w:t xml:space="preserve">.</w:t>
      </w:r>
    </w:p>
    <w:bookmarkEnd w:id="131"/>
    <w:bookmarkStart w:id="133"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2">
        <w:r>
          <w:rPr>
            <w:rStyle w:val="Hyperlink"/>
          </w:rPr>
          <w:t xml:space="preserve">https://doi.org/10.22582/ta.v14i2.778</w:t>
        </w:r>
      </w:hyperlink>
      <w:r>
        <w:t xml:space="preserve">.</w:t>
      </w:r>
    </w:p>
    <w:bookmarkEnd w:id="133"/>
    <w:bookmarkStart w:id="135"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4">
        <w:r>
          <w:rPr>
            <w:rStyle w:val="Hyperlink"/>
          </w:rPr>
          <w:t xml:space="preserve">https://doi.org/10.1038/s41586-026-10265-5</w:t>
        </w:r>
      </w:hyperlink>
      <w:r>
        <w:t xml:space="preserve">.</w:t>
      </w:r>
    </w:p>
    <w:bookmarkEnd w:id="135"/>
    <w:bookmarkStart w:id="137" w:name="ref-lyttelton2026agents"/>
    <w:p>
      <w:pPr>
        <w:pStyle w:val="Bibliography"/>
      </w:pPr>
      <w:r>
        <w:t xml:space="preserve">Lyttelton, Thomas, Maxim Massenkoff, and Nathan Wilmers. 2026. Coding Agents in the Social Sciences.</w:t>
      </w:r>
      <w:r>
        <w:t xml:space="preserve"> </w:t>
      </w:r>
      <w:hyperlink r:id="rId136">
        <w:r>
          <w:rPr>
            <w:rStyle w:val="Hyperlink"/>
          </w:rPr>
          <w:t xml:space="preserve">https://www.anthropic.com/research/coding-agents-social-sciences</w:t>
        </w:r>
      </w:hyperlink>
      <w:r>
        <w:t xml:space="preserve">, accessed September 29, 2026.</w:t>
      </w:r>
    </w:p>
    <w:bookmarkEnd w:id="137"/>
    <w:bookmarkStart w:id="139"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38">
        <w:r>
          <w:rPr>
            <w:rStyle w:val="Hyperlink"/>
          </w:rPr>
          <w:t xml:space="preserve">https://doi.org/10.1007/s10816-015-9272-9</w:t>
        </w:r>
      </w:hyperlink>
      <w:r>
        <w:t xml:space="preserve">.</w:t>
      </w:r>
    </w:p>
    <w:bookmarkEnd w:id="139"/>
    <w:bookmarkStart w:id="141"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0">
        <w:r>
          <w:rPr>
            <w:rStyle w:val="Hyperlink"/>
          </w:rPr>
          <w:t xml:space="preserve">https://doi.org/10.1038/s41586-024-07146-0</w:t>
        </w:r>
      </w:hyperlink>
      <w:r>
        <w:t xml:space="preserve">.</w:t>
      </w:r>
    </w:p>
    <w:bookmarkEnd w:id="141"/>
    <w:bookmarkStart w:id="143" w:name="ref-Miao2026"/>
    <w:p>
      <w:pPr>
        <w:pStyle w:val="Bibliography"/>
      </w:pPr>
      <w:r>
        <w:t xml:space="preserve">Miao, Jiacheng, Jonathan K. Pritchard, and James Zou. 2026. The Agentic Garden of Forking Paths.</w:t>
      </w:r>
      <w:r>
        <w:t xml:space="preserve"> </w:t>
      </w:r>
      <w:hyperlink r:id="rId142">
        <w:r>
          <w:rPr>
            <w:rStyle w:val="Hyperlink"/>
          </w:rPr>
          <w:t xml:space="preserve">https://doi.org/10.48550/arXiv.2607.01507</w:t>
        </w:r>
      </w:hyperlink>
      <w:r>
        <w:t xml:space="preserve">.</w:t>
      </w:r>
    </w:p>
    <w:bookmarkEnd w:id="143"/>
    <w:bookmarkStart w:id="145"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4">
        <w:r>
          <w:rPr>
            <w:rStyle w:val="Hyperlink"/>
          </w:rPr>
          <w:t xml:space="preserve">https://doi.org/10.2139/ssrn.7011058</w:t>
        </w:r>
      </w:hyperlink>
      <w:r>
        <w:t xml:space="preserve">.</w:t>
      </w:r>
    </w:p>
    <w:bookmarkEnd w:id="145"/>
    <w:bookmarkStart w:id="147"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46">
        <w:r>
          <w:rPr>
            <w:rStyle w:val="Hyperlink"/>
          </w:rPr>
          <w:t xml:space="preserve">https://doi.org/10.1111/2041-210x.70403</w:t>
        </w:r>
      </w:hyperlink>
      <w:r>
        <w:t xml:space="preserve">.</w:t>
      </w:r>
    </w:p>
    <w:bookmarkEnd w:id="147"/>
    <w:bookmarkStart w:id="149"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48">
        <w:r>
          <w:rPr>
            <w:rStyle w:val="Hyperlink"/>
          </w:rPr>
          <w:t xml:space="preserve">https://doi.org/10.17226/29488</w:t>
        </w:r>
      </w:hyperlink>
      <w:r>
        <w:t xml:space="preserve">.</w:t>
      </w:r>
    </w:p>
    <w:bookmarkEnd w:id="149"/>
    <w:bookmarkStart w:id="15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0">
        <w:r>
          <w:rPr>
            <w:rStyle w:val="Hyperlink"/>
          </w:rPr>
          <w:t xml:space="preserve">https://doi.org/10.1002/smr.2723</w:t>
        </w:r>
      </w:hyperlink>
      <w:r>
        <w:t xml:space="preserve">.</w:t>
      </w:r>
    </w:p>
    <w:bookmarkEnd w:id="151"/>
    <w:bookmarkStart w:id="15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2">
        <w:r>
          <w:rPr>
            <w:rStyle w:val="Hyperlink"/>
          </w:rPr>
          <w:t xml:space="preserve">https://doi.org/10.1017/chr.2026.10039</w:t>
        </w:r>
      </w:hyperlink>
      <w:r>
        <w:t xml:space="preserve">.</w:t>
      </w:r>
    </w:p>
    <w:bookmarkEnd w:id="153"/>
    <w:bookmarkStart w:id="155"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4">
        <w:r>
          <w:rPr>
            <w:rStyle w:val="Hyperlink"/>
          </w:rPr>
          <w:t xml:space="preserve">https://doi.org/10.36227/techrxiv.176703982.24212722/v1</w:t>
        </w:r>
      </w:hyperlink>
      <w:r>
        <w:t xml:space="preserve">.</w:t>
      </w:r>
    </w:p>
    <w:bookmarkEnd w:id="155"/>
    <w:bookmarkStart w:id="15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56">
        <w:r>
          <w:rPr>
            <w:rStyle w:val="Hyperlink"/>
          </w:rPr>
          <w:t xml:space="preserve">https://doi.org/10.1111/2041-210X.14341</w:t>
        </w:r>
      </w:hyperlink>
      <w:r>
        <w:t xml:space="preserve">.</w:t>
      </w:r>
    </w:p>
    <w:bookmarkEnd w:id="157"/>
    <w:bookmarkStart w:id="15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58">
        <w:r>
          <w:rPr>
            <w:rStyle w:val="Hyperlink"/>
          </w:rPr>
          <w:t xml:space="preserve">https://doi.org/10.5281/zenodo.19332911</w:t>
        </w:r>
      </w:hyperlink>
      <w:r>
        <w:t xml:space="preserve">, accessed September 18, 2026.</w:t>
      </w:r>
    </w:p>
    <w:bookmarkEnd w:id="159"/>
    <w:bookmarkStart w:id="16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0">
        <w:r>
          <w:rPr>
            <w:rStyle w:val="Hyperlink"/>
          </w:rPr>
          <w:t xml:space="preserve">https://doi.org/10.1080/20548923.2025.2564519</w:t>
        </w:r>
      </w:hyperlink>
      <w:r>
        <w:t xml:space="preserve">.</w:t>
      </w:r>
    </w:p>
    <w:bookmarkEnd w:id="161"/>
    <w:bookmarkStart w:id="163"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2">
        <w:r>
          <w:rPr>
            <w:rStyle w:val="Hyperlink"/>
          </w:rPr>
          <w:t xml:space="preserve">https://doi.org/10.48550/arXiv.2509.09677</w:t>
        </w:r>
      </w:hyperlink>
      <w:r>
        <w:t xml:space="preserve">.</w:t>
      </w:r>
    </w:p>
    <w:bookmarkEnd w:id="163"/>
    <w:bookmarkStart w:id="165"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4">
        <w:r>
          <w:rPr>
            <w:rStyle w:val="Hyperlink"/>
          </w:rPr>
          <w:t xml:space="preserve">https://doi.org/10.3233/faia230098</w:t>
        </w:r>
      </w:hyperlink>
      <w:r>
        <w:t xml:space="preserve">.</w:t>
      </w:r>
    </w:p>
    <w:bookmarkEnd w:id="165"/>
    <w:bookmarkStart w:id="16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66">
        <w:r>
          <w:rPr>
            <w:rStyle w:val="Hyperlink"/>
          </w:rPr>
          <w:t xml:space="preserve">https://doi.org/10.11141/ia.67.8</w:t>
        </w:r>
      </w:hyperlink>
      <w:r>
        <w:t xml:space="preserve">.</w:t>
      </w:r>
    </w:p>
    <w:bookmarkEnd w:id="167"/>
    <w:bookmarkStart w:id="169"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68">
        <w:r>
          <w:rPr>
            <w:rStyle w:val="Hyperlink"/>
          </w:rPr>
          <w:t xml:space="preserve">https://doi.org/10.1098/rs-policy.2026-31</w:t>
        </w:r>
      </w:hyperlink>
      <w:r>
        <w:t xml:space="preserve">.</w:t>
      </w:r>
    </w:p>
    <w:bookmarkEnd w:id="169"/>
    <w:bookmarkStart w:id="17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0">
        <w:r>
          <w:rPr>
            <w:rStyle w:val="Hyperlink"/>
          </w:rPr>
          <w:t xml:space="preserve">https://doi.org/10.1038/s41598-023-41032-5</w:t>
        </w:r>
      </w:hyperlink>
      <w:r>
        <w:t xml:space="preserve">.</w:t>
      </w:r>
    </w:p>
    <w:bookmarkEnd w:id="171"/>
    <w:bookmarkStart w:id="173"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2">
        <w:r>
          <w:rPr>
            <w:rStyle w:val="Hyperlink"/>
          </w:rPr>
          <w:t xml:space="preserve">https://doi.org/10.1007/s11704-024-40231-1</w:t>
        </w:r>
      </w:hyperlink>
      <w:r>
        <w:t xml:space="preserve">.</w:t>
      </w:r>
    </w:p>
    <w:bookmarkEnd w:id="173"/>
    <w:bookmarkStart w:id="175"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4">
        <w:r>
          <w:rPr>
            <w:rStyle w:val="Hyperlink"/>
          </w:rPr>
          <w:t xml:space="preserve">https://doi.org/10.21105/joss.01686</w:t>
        </w:r>
      </w:hyperlink>
      <w:r>
        <w:t xml:space="preserve">.</w:t>
      </w:r>
    </w:p>
    <w:bookmarkEnd w:id="175"/>
    <w:bookmarkStart w:id="177"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76">
        <w:r>
          <w:rPr>
            <w:rStyle w:val="Hyperlink"/>
          </w:rPr>
          <w:t xml:space="preserve">https://doi.org/10.1038/s41746-024-01233-2</w:t>
        </w:r>
      </w:hyperlink>
      <w:r>
        <w:t xml:space="preserve">.</w:t>
      </w:r>
    </w:p>
    <w:bookmarkEnd w:id="177"/>
    <w:bookmarkStart w:id="17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78">
        <w:r>
          <w:rPr>
            <w:rStyle w:val="Hyperlink"/>
          </w:rPr>
          <w:t xml:space="preserve">https://doi.org/10.48550/arXiv.2602.12430</w:t>
        </w:r>
      </w:hyperlink>
      <w:r>
        <w:t xml:space="preserve">.</w:t>
      </w:r>
    </w:p>
    <w:bookmarkEnd w:id="179"/>
    <w:bookmarkStart w:id="181"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0">
        <w:r>
          <w:rPr>
            <w:rStyle w:val="Hyperlink"/>
          </w:rPr>
          <w:t xml:space="preserve">https://doi.org/10.1145/3544548.3581388</w:t>
        </w:r>
      </w:hyperlink>
      <w:r>
        <w:t xml:space="preserve">.</w:t>
      </w:r>
    </w:p>
    <w:bookmarkEnd w:id="181"/>
    <w:bookmarkStart w:id="183"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2">
        <w:r>
          <w:rPr>
            <w:rStyle w:val="Hyperlink"/>
          </w:rPr>
          <w:t xml:space="preserve">https://doi.org/10.1080/21620555.2026.2707167</w:t>
        </w:r>
      </w:hyperlink>
      <w:r>
        <w:t xml:space="preserve">.</w:t>
      </w:r>
    </w:p>
    <w:bookmarkEnd w:id="183"/>
    <w:bookmarkStart w:id="185" w:name="ref-Zheng2024"/>
    <w:p>
      <w:pPr>
        <w:pStyle w:val="Bibliography"/>
      </w:pPr>
      <w:r>
        <w:t xml:space="preserve">Zheng, Zibin, Kaiwen Ning, Yanlin Wang, et al. 2024. A Survey of Large Language Models for Code: Evolution, Benchmarking, and Future Trends.</w:t>
      </w:r>
      <w:r>
        <w:t xml:space="preserve"> </w:t>
      </w:r>
      <w:hyperlink r:id="rId184">
        <w:r>
          <w:rPr>
            <w:rStyle w:val="Hyperlink"/>
          </w:rPr>
          <w:t xml:space="preserve">https://doi.org/10.48550/arXiv.2311.10372</w:t>
        </w:r>
      </w:hyperlink>
      <w:r>
        <w:t xml:space="preserve">.</w:t>
      </w:r>
    </w:p>
    <w:bookmarkEnd w:id="185"/>
    <w:bookmarkStart w:id="187"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86">
        <w:r>
          <w:rPr>
            <w:rStyle w:val="Hyperlink"/>
          </w:rPr>
          <w:t xml:space="preserve">https://doi.org/10.1162/coli_a_00502</w:t>
        </w:r>
      </w:hyperlink>
      <w:r>
        <w:t xml:space="preserve">.</w:t>
      </w:r>
    </w:p>
    <w:bookmarkEnd w:id="187"/>
    <w:bookmarkStart w:id="189"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88">
        <w:r>
          <w:rPr>
            <w:rStyle w:val="Hyperlink"/>
          </w:rPr>
          <w:t xml:space="preserve">https://doi.org/10.48550/arXiv.2603.15914</w:t>
        </w:r>
      </w:hyperlink>
      <w:r>
        <w:t xml:space="preserve">.</w:t>
      </w:r>
    </w:p>
    <w:bookmarkEnd w:id="189"/>
    <w:bookmarkEnd w:id="190"/>
    <w:bookmarkEnd w:id="1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0" Target="https://doi.org/10.1002/smr.2723" TargetMode="External" /><Relationship Type="http://schemas.openxmlformats.org/officeDocument/2006/relationships/hyperlink" Id="rId106"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38" Target="https://doi.org/10.1007/s10816-015-9272-9" TargetMode="External" /><Relationship Type="http://schemas.openxmlformats.org/officeDocument/2006/relationships/hyperlink" Id="rId172" Target="https://doi.org/10.1007/s11704-024-40231-1" TargetMode="External" /><Relationship Type="http://schemas.openxmlformats.org/officeDocument/2006/relationships/hyperlink" Id="rId88" Target="https://doi.org/10.1007/s12599-023-00834-7" TargetMode="External" /><Relationship Type="http://schemas.openxmlformats.org/officeDocument/2006/relationships/hyperlink" Id="rId90" Target="https://doi.org/10.1016/j.culher.2024.11.020" TargetMode="External" /><Relationship Type="http://schemas.openxmlformats.org/officeDocument/2006/relationships/hyperlink" Id="rId104" Target="https://doi.org/10.1016/j.sftr.2025.101152" TargetMode="External" /><Relationship Type="http://schemas.openxmlformats.org/officeDocument/2006/relationships/hyperlink" Id="rId82" Target="https://doi.org/10.1017/aap.2026.10173" TargetMode="External" /><Relationship Type="http://schemas.openxmlformats.org/officeDocument/2006/relationships/hyperlink" Id="rId152" Target="https://doi.org/10.1017/chr.2026.10039" TargetMode="External" /><Relationship Type="http://schemas.openxmlformats.org/officeDocument/2006/relationships/hyperlink" Id="rId56" Target="https://doi.org/10.1038/s41586-023-06792-0" TargetMode="External" /><Relationship Type="http://schemas.openxmlformats.org/officeDocument/2006/relationships/hyperlink" Id="rId140" Target="https://doi.org/10.1038/s41586-024-07146-0" TargetMode="External" /><Relationship Type="http://schemas.openxmlformats.org/officeDocument/2006/relationships/hyperlink" Id="rId134" Target="https://doi.org/10.1038/s41586-026-10265-5" TargetMode="External" /><Relationship Type="http://schemas.openxmlformats.org/officeDocument/2006/relationships/hyperlink" Id="rId170" Target="https://doi.org/10.1038/s41598-023-41032-5" TargetMode="External" /><Relationship Type="http://schemas.openxmlformats.org/officeDocument/2006/relationships/hyperlink" Id="rId176" Target="https://doi.org/10.1038/s41746-024-01233-2" TargetMode="External" /><Relationship Type="http://schemas.openxmlformats.org/officeDocument/2006/relationships/hyperlink" Id="rId58" Target="https://doi.org/10.1038/s42256-024-00832-8" TargetMode="External" /><Relationship Type="http://schemas.openxmlformats.org/officeDocument/2006/relationships/hyperlink" Id="rId98" Target="https://doi.org/10.1038/s43586-022-00184-w" TargetMode="External" /><Relationship Type="http://schemas.openxmlformats.org/officeDocument/2006/relationships/hyperlink" Id="rId94" Target="https://doi.org/10.1038/s44185-024-00043-9" TargetMode="External" /><Relationship Type="http://schemas.openxmlformats.org/officeDocument/2006/relationships/hyperlink" Id="rId102" Target="https://doi.org/10.1057/s41599-026-08832-2" TargetMode="External" /><Relationship Type="http://schemas.openxmlformats.org/officeDocument/2006/relationships/hyperlink" Id="rId50" Target="https://doi.org/10.1073/pnas.2606495123" TargetMode="External" /><Relationship Type="http://schemas.openxmlformats.org/officeDocument/2006/relationships/hyperlink" Id="rId112" Target="https://doi.org/10.1080/00187259.2026.2714301" TargetMode="External" /><Relationship Type="http://schemas.openxmlformats.org/officeDocument/2006/relationships/hyperlink" Id="rId92" Target="https://doi.org/10.1080/10584609.2023.2290497" TargetMode="External" /><Relationship Type="http://schemas.openxmlformats.org/officeDocument/2006/relationships/hyperlink" Id="rId160" Target="https://doi.org/10.1080/20548923.2025.2564519" TargetMode="External" /><Relationship Type="http://schemas.openxmlformats.org/officeDocument/2006/relationships/hyperlink" Id="rId182" Target="https://doi.org/10.1080/21620555.2026.2707167" TargetMode="External" /><Relationship Type="http://schemas.openxmlformats.org/officeDocument/2006/relationships/hyperlink" Id="rId86" Target="https://doi.org/10.1093/jmammal/gyaf082" TargetMode="External" /><Relationship Type="http://schemas.openxmlformats.org/officeDocument/2006/relationships/hyperlink" Id="rId168" Target="https://doi.org/10.1098/rs-policy.2026-31" TargetMode="External" /><Relationship Type="http://schemas.openxmlformats.org/officeDocument/2006/relationships/hyperlink" Id="rId80" Target="https://doi.org/10.1111/2041-210X.14325" TargetMode="External" /><Relationship Type="http://schemas.openxmlformats.org/officeDocument/2006/relationships/hyperlink" Id="rId156" Target="https://doi.org/10.1111/2041-210X.14341" TargetMode="External" /><Relationship Type="http://schemas.openxmlformats.org/officeDocument/2006/relationships/hyperlink" Id="rId70" Target="https://doi.org/10.1111/2041-210X.14396" TargetMode="External" /><Relationship Type="http://schemas.openxmlformats.org/officeDocument/2006/relationships/hyperlink" Id="rId66" Target="https://doi.org/10.1111/2041-210x.70267" TargetMode="External" /><Relationship Type="http://schemas.openxmlformats.org/officeDocument/2006/relationships/hyperlink" Id="rId146" Target="https://doi.org/10.1111/2041-210x.70403" TargetMode="External" /><Relationship Type="http://schemas.openxmlformats.org/officeDocument/2006/relationships/hyperlink" Id="rId64" Target="https://doi.org/10.1111/faf.70079" TargetMode="External" /><Relationship Type="http://schemas.openxmlformats.org/officeDocument/2006/relationships/hyperlink" Id="rId166" Target="https://doi.org/10.11141/ia.67.8" TargetMode="External" /><Relationship Type="http://schemas.openxmlformats.org/officeDocument/2006/relationships/hyperlink" Id="rId116" Target="https://doi.org/10.11141/ia.71.15" TargetMode="External" /><Relationship Type="http://schemas.openxmlformats.org/officeDocument/2006/relationships/hyperlink" Id="rId100" Target="https://doi.org/10.1126/science.adi1778" TargetMode="External" /><Relationship Type="http://schemas.openxmlformats.org/officeDocument/2006/relationships/hyperlink" Id="rId180" Target="https://doi.org/10.1145/3544548.3581388" TargetMode="External" /><Relationship Type="http://schemas.openxmlformats.org/officeDocument/2006/relationships/hyperlink" Id="rId108"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4" Target="https://doi.org/10.1162/coli.a.652" TargetMode="External" /><Relationship Type="http://schemas.openxmlformats.org/officeDocument/2006/relationships/hyperlink" Id="rId186" Target="https://doi.org/10.1162/coli_a_00502" TargetMode="External" /><Relationship Type="http://schemas.openxmlformats.org/officeDocument/2006/relationships/hyperlink" Id="rId120" Target="https://doi.org/10.1257/jel.20231736" TargetMode="External" /><Relationship Type="http://schemas.openxmlformats.org/officeDocument/2006/relationships/hyperlink" Id="rId84" Target="https://doi.org/10.1287/orsc.2025.21838" TargetMode="External" /><Relationship Type="http://schemas.openxmlformats.org/officeDocument/2006/relationships/hyperlink" Id="rId54" Target="https://doi.org/10.1371/journal.pcbi.1004668" TargetMode="External" /><Relationship Type="http://schemas.openxmlformats.org/officeDocument/2006/relationships/hyperlink" Id="rId60" Target="https://doi.org/10.1371/journal.pcbi.1014428" TargetMode="External" /><Relationship Type="http://schemas.openxmlformats.org/officeDocument/2006/relationships/hyperlink" Id="rId110" Target="https://doi.org/10.1371/journal.pone.0317084" TargetMode="External" /><Relationship Type="http://schemas.openxmlformats.org/officeDocument/2006/relationships/hyperlink" Id="rId148" Target="https://doi.org/10.17226/29488" TargetMode="External" /><Relationship Type="http://schemas.openxmlformats.org/officeDocument/2006/relationships/hyperlink" Id="rId174" Target="https://doi.org/10.21105/joss.01686" TargetMode="External" /><Relationship Type="http://schemas.openxmlformats.org/officeDocument/2006/relationships/hyperlink" Id="rId144" Target="https://doi.org/10.2139/ssrn.7011058" TargetMode="External" /><Relationship Type="http://schemas.openxmlformats.org/officeDocument/2006/relationships/hyperlink" Id="rId78" Target="https://doi.org/10.2139/ssrn.7465898" TargetMode="External" /><Relationship Type="http://schemas.openxmlformats.org/officeDocument/2006/relationships/hyperlink" Id="rId126" Target="https://doi.org/10.2196/51584" TargetMode="External" /><Relationship Type="http://schemas.openxmlformats.org/officeDocument/2006/relationships/hyperlink" Id="rId132"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64" Target="https://doi.org/10.3233/faia230098" TargetMode="External" /><Relationship Type="http://schemas.openxmlformats.org/officeDocument/2006/relationships/hyperlink" Id="rId118" Target="https://doi.org/10.35566/jbds/jikim" TargetMode="External" /><Relationship Type="http://schemas.openxmlformats.org/officeDocument/2006/relationships/hyperlink" Id="rId154" Target="https://doi.org/10.36227/techrxiv.176703982.24212722/v1" TargetMode="External" /><Relationship Type="http://schemas.openxmlformats.org/officeDocument/2006/relationships/hyperlink" Id="rId48" Target="https://doi.org/10.4337/9781802204131.00014" TargetMode="External" /><Relationship Type="http://schemas.openxmlformats.org/officeDocument/2006/relationships/hyperlink" Id="rId114" Target="https://doi.org/10.4337/9781802204131.00019" TargetMode="External" /><Relationship Type="http://schemas.openxmlformats.org/officeDocument/2006/relationships/hyperlink" Id="rId76" Target="https://doi.org/10.48550/arXiv.2304.05128" TargetMode="External" /><Relationship Type="http://schemas.openxmlformats.org/officeDocument/2006/relationships/hyperlink" Id="rId184" Target="https://doi.org/10.48550/arXiv.2311.10372" TargetMode="External" /><Relationship Type="http://schemas.openxmlformats.org/officeDocument/2006/relationships/hyperlink" Id="rId124" Target="https://doi.org/10.48550/arXiv.2505.06120" TargetMode="External" /><Relationship Type="http://schemas.openxmlformats.org/officeDocument/2006/relationships/hyperlink" Id="rId162" Target="https://doi.org/10.48550/arXiv.2509.09677" TargetMode="External" /><Relationship Type="http://schemas.openxmlformats.org/officeDocument/2006/relationships/hyperlink" Id="rId96" Target="https://doi.org/10.48550/arXiv.2601.22638" TargetMode="External" /><Relationship Type="http://schemas.openxmlformats.org/officeDocument/2006/relationships/hyperlink" Id="rId178" Target="https://doi.org/10.48550/arXiv.2602.12430" TargetMode="External" /><Relationship Type="http://schemas.openxmlformats.org/officeDocument/2006/relationships/hyperlink" Id="rId188" Target="https://doi.org/10.48550/arXiv.2603.15914" TargetMode="External" /><Relationship Type="http://schemas.openxmlformats.org/officeDocument/2006/relationships/hyperlink" Id="rId130" Target="https://doi.org/10.48550/arXiv.2604.14228" TargetMode="External" /><Relationship Type="http://schemas.openxmlformats.org/officeDocument/2006/relationships/hyperlink" Id="rId142" Target="https://doi.org/10.48550/arXiv.2607.01507" TargetMode="External" /><Relationship Type="http://schemas.openxmlformats.org/officeDocument/2006/relationships/hyperlink" Id="rId46" Target="https://doi.org/10.48550/arXiv.2609.00006" TargetMode="External" /><Relationship Type="http://schemas.openxmlformats.org/officeDocument/2006/relationships/hyperlink" Id="rId72" Target="https://doi.org/10.48550/arXiv.2609.11198" TargetMode="External" /><Relationship Type="http://schemas.openxmlformats.org/officeDocument/2006/relationships/hyperlink" Id="rId128" Target="https://doi.org/10.48550/arXiv.2609.16995" TargetMode="External" /><Relationship Type="http://schemas.openxmlformats.org/officeDocument/2006/relationships/hyperlink" Id="rId158" Target="https://doi.org/10.5281/zenodo.19332911" TargetMode="External" /><Relationship Type="http://schemas.openxmlformats.org/officeDocument/2006/relationships/hyperlink" Id="rId68" Target="https://vitaexmachina.substack.com/p/running-local-large-language-models" TargetMode="External" /><Relationship Type="http://schemas.openxmlformats.org/officeDocument/2006/relationships/hyperlink" Id="rId136" Target="https://www.anthropic.com/research/coding-agents-social-sciences" TargetMode="External" /><Relationship Type="http://schemas.openxmlformats.org/officeDocument/2006/relationships/hyperlink" Id="rId122" Target="https://www.nber.org/papers/w34202" TargetMode="External" /><Relationship Type="http://schemas.openxmlformats.org/officeDocument/2006/relationships/hyperlink" Id="rId62"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2026-10-02T22:12:08Z</dcterms:created>
  <dcterms:modified xsi:type="dcterms:W3CDTF">2026-10-02T22:12:08Z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customize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