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32.png" ContentType="image/png"/>
  <Override PartName="/word/media/rId3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14</w:t>
      </w:r>
      <w:r>
        <w:t xml:space="preserve"> </w:t>
      </w:r>
      <w:r>
        <w:t xml:space="preserve">Januar,</w:t>
      </w:r>
      <w:r>
        <w:t xml:space="preserve"> </w:t>
      </w:r>
      <w:r>
        <w:t xml:space="preserve">2020</w:t>
      </w:r>
    </w:p>
    <w:p>
      <w:pPr>
        <w:pStyle w:val="Compact"/>
        <w:pStyle w:val="Abstract"/>
      </w:pPr>
      <w:r>
        <w:rPr>
          <w:i/>
        </w:rPr>
        <w:t xml:space="preserve">Abstract</w:t>
      </w:r>
      <w:r>
        <w:t xml:space="preserve"> </w:t>
      </w: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closed</w:t>
      </w:r>
      <w:r>
        <w:t xml:space="preserve"> </w:t>
      </w:r>
      <w:r>
        <w:t xml:space="preserve">source</w:t>
      </w:r>
      <w:r>
        <w:t xml:space="preserve"> </w:t>
      </w:r>
      <w:r>
        <w:t xml:space="preserve">software,</w:t>
      </w:r>
      <w:r>
        <w:t xml:space="preserve"> </w:t>
      </w:r>
      <w:r>
        <w:t xml:space="preserve">to</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and</w:t>
      </w:r>
      <w:r>
        <w:t xml:space="preserve"> </w:t>
      </w:r>
      <w:r>
        <w:t xml:space="preserve">making</w:t>
      </w:r>
      <w:r>
        <w:t xml:space="preserve"> </w:t>
      </w:r>
      <w:r>
        <w:t xml:space="preserve">them</w:t>
      </w:r>
      <w:r>
        <w:t xml:space="preserve"> </w:t>
      </w:r>
      <w:r>
        <w:t xml:space="preserve">openly</w:t>
      </w:r>
      <w:r>
        <w:t xml:space="preserve"> </w:t>
      </w:r>
      <w:r>
        <w:t xml:space="preserve">available.</w:t>
      </w:r>
      <w:r>
        <w:t xml:space="preserve"> </w:t>
      </w:r>
      <w:r>
        <w:t xml:space="preserve">We</w:t>
      </w:r>
      <w:r>
        <w:t xml:space="preserve"> </w:t>
      </w:r>
      <w:r>
        <w:t xml:space="preserve">present</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ecology</w:t>
      </w:r>
      <w:r>
        <w:t xml:space="preserve"> </w:t>
      </w:r>
      <w:r>
        <w:t xml:space="preserve">and</w:t>
      </w:r>
      <w:r>
        <w:t xml:space="preserve"> </w:t>
      </w:r>
      <w:r>
        <w:t xml:space="preserve">in</w:t>
      </w:r>
      <w:r>
        <w:t xml:space="preserve"> </w:t>
      </w:r>
      <w:r>
        <w:t xml:space="preserve">archaeology</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is</w:t>
      </w:r>
      <w:r>
        <w:t xml:space="preserve"> </w:t>
      </w:r>
      <w:r>
        <w:t xml:space="preserve">revolutionary</w:t>
      </w:r>
      <w:r>
        <w:t xml:space="preserve"> </w:t>
      </w:r>
      <w:r>
        <w:t xml:space="preserve">or</w:t>
      </w:r>
      <w:r>
        <w:t xml:space="preserve"> </w:t>
      </w:r>
      <w:r>
        <w:t xml:space="preserve">transformational.</w:t>
      </w:r>
      <w:r>
        <w:t xml:space="preserve"> </w:t>
      </w:r>
      <w:r>
        <w:t xml:space="preserve">We</w:t>
      </w:r>
      <w:r>
        <w:t xml:space="preserve"> </w:t>
      </w:r>
      <w:r>
        <w:t xml:space="preserve">identify</w:t>
      </w:r>
      <w:r>
        <w:t xml:space="preserve"> </w:t>
      </w:r>
      <w:r>
        <w:t xml:space="preserve">a</w:t>
      </w:r>
      <w:r>
        <w:t xml:space="preserve"> </w:t>
      </w:r>
      <w:r>
        <w:t xml:space="preserve">positive</w:t>
      </w:r>
      <w:r>
        <w:t xml:space="preserve"> </w:t>
      </w:r>
      <w:r>
        <w:t xml:space="preserve">citation</w:t>
      </w:r>
      <w:r>
        <w:t xml:space="preserve"> </w:t>
      </w:r>
      <w:r>
        <w:t xml:space="preserve">effect</w:t>
      </w:r>
      <w:r>
        <w:t xml:space="preserve"> </w:t>
      </w:r>
      <w:r>
        <w:t xml:space="preserve">for</w:t>
      </w:r>
      <w:r>
        <w:t xml:space="preserve"> </w:t>
      </w:r>
      <w:r>
        <w:t xml:space="preserve">papers</w:t>
      </w:r>
      <w:r>
        <w:t xml:space="preserve"> </w:t>
      </w:r>
      <w:r>
        <w:t xml:space="preserve">that</w:t>
      </w:r>
      <w:r>
        <w:t xml:space="preserve"> </w:t>
      </w:r>
      <w:r>
        <w:t xml:space="preserve">use</w:t>
      </w:r>
      <w:r>
        <w:t xml:space="preserve"> </w:t>
      </w:r>
      <w:r>
        <w:t xml:space="preserve">the</w:t>
      </w:r>
      <w:r>
        <w:t xml:space="preserve"> </w:t>
      </w:r>
      <w:r>
        <w:t xml:space="preserve">open</w:t>
      </w:r>
      <w:r>
        <w:t xml:space="preserve"> </w:t>
      </w:r>
      <w:r>
        <w:t xml:space="preserve">source</w:t>
      </w:r>
      <w:r>
        <w:t xml:space="preserve"> </w:t>
      </w:r>
      <w:r>
        <w:t xml:space="preserve">programming</w:t>
      </w:r>
      <w:r>
        <w:t xml:space="preserve"> </w:t>
      </w:r>
      <w:r>
        <w:t xml:space="preserve">language</w:t>
      </w:r>
      <w:r>
        <w:t xml:space="preserve"> </w:t>
      </w:r>
      <w:r>
        <w:t xml:space="preserve">R.</w:t>
      </w:r>
      <w:r>
        <w:t xml:space="preserve"> </w:t>
      </w:r>
      <w:r>
        <w:t xml:space="preserve">We</w:t>
      </w:r>
      <w:r>
        <w:t xml:space="preserve"> </w:t>
      </w:r>
      <w:r>
        <w:t xml:space="preserve">discuss</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the</w:t>
      </w:r>
      <w:r>
        <w:t xml:space="preserve"> </w:t>
      </w:r>
      <w:r>
        <w:t xml:space="preserve">use</w:t>
      </w:r>
      <w:r>
        <w:t xml:space="preserve"> </w:t>
      </w:r>
      <w:r>
        <w:t xml:space="preserve">of</w:t>
      </w:r>
      <w:r>
        <w:t xml:space="preserve"> </w:t>
      </w:r>
      <w:r>
        <w:t xml:space="preserve">R</w:t>
      </w:r>
      <w:r>
        <w:t xml:space="preserve"> </w:t>
      </w:r>
      <w:r>
        <w:t xml:space="preserve">code.</w:t>
      </w:r>
    </w:p>
    <w:p>
      <w:pPr>
        <w:pStyle w:val="Heading1"/>
      </w:pPr>
      <w:bookmarkStart w:id="20" w:name="introduction"/>
      <w:r>
        <w:t xml:space="preserve">1. Introduction</w:t>
      </w:r>
      <w:bookmarkEnd w:id="20"/>
    </w:p>
    <w:p>
      <w:pPr>
        <w:pStyle w:val="FirstParagraph"/>
      </w:pPr>
      <w:r>
        <w:t xml:space="preserve">In this paper we investigate recent developments which are facilitating computational archaeology’s return to fundamental principles of the scientific method. We ask whether this might be the beginning of a broader change in the field. Revolutions or paradigm-shifts in archaeology have been proposed to occur following major theoretical statements</w:t>
      </w:r>
      <w:r>
        <w:t xml:space="preserve"> </w:t>
      </w:r>
      <w:r>
        <w:t xml:space="preserve">(Clark 1993; Härke 2002)</w:t>
      </w:r>
      <w:r>
        <w:t xml:space="preserve">, but there is an argument among philosophers of science whether revolutions in science are idea-driven or tool-driven</w:t>
      </w:r>
      <w:r>
        <w:t xml:space="preserve"> </w:t>
      </w:r>
      <w:r>
        <w:t xml:space="preserve">(Galison 1997; Dyson 2000)</w:t>
      </w:r>
      <w:r>
        <w:t xml:space="preserve">. This argument motivated us to explore how the disciplines of ecology and archaeology have started to embrace tools that improve the reproducibility of research. We focus on one set of tools for this change, based on writing data analysis scripts in free and open source programming languages, exemplified by R, and the practice of sharing of these scripts. We focus on R because our prior observations indicate it is by far the most common scripting language used by ecologists and archaeologists. Bibliometric evidence shows a strong increase in the use of R among ecologists and the beginning of a similar development in archaeology. We evaluate how approaches to improving reproducibility and transparency in archaeology are mediated and transformed by digital approaches and propose these might reflect a tool-driven change in archaeology. Acknowledging that this is not a simple process, we offer an R-based tool to ease the task of creating a compendium which enables other researchers to reproduce the published results.</w:t>
      </w:r>
    </w:p>
    <w:p>
      <w:pPr>
        <w:pStyle w:val="Heading1"/>
      </w:pPr>
      <w:bookmarkStart w:id="21" w:name="revolutions-in-science-idea-driven-or-tool-driven"/>
      <w:r>
        <w:t xml:space="preserve">2. Revolutions in Science: Idea-driven or Tool-driven?</w:t>
      </w:r>
      <w:bookmarkEnd w:id="21"/>
    </w:p>
    <w:p>
      <w:pPr>
        <w:pStyle w:val="FirstParagraph"/>
      </w:pPr>
      <w:r>
        <w:t xml:space="preserve">Philosophers of science disagree whether revolutions in science are idea-driven or tool-driven. One of the most widely-known models of idea-driven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w:t>
      </w:r>
      <w:r>
        <w:t xml:space="preserve"> </w:t>
      </w:r>
      <w:r>
        <w:t xml:space="preserve">‘</w:t>
      </w:r>
      <w:r>
        <w:t xml:space="preserve">revolution</w:t>
      </w:r>
      <w:r>
        <w:t xml:space="preserve">’</w:t>
      </w:r>
      <w:r>
        <w:t xml:space="preserve">.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replacing one paradigm with another. In this conversion or speciation process the community adopts a new way of doing science. There has been much debate about how to draw a distinction between so-called normal and revolutionary science.</w:t>
      </w:r>
      <w:r>
        <w:t xml:space="preserve"> </w:t>
      </w:r>
      <w:r>
        <w:t xml:space="preserve">(Watkins 1970; Toulmin 1970; Casadevall et al. 2016)</w:t>
      </w:r>
      <w:r>
        <w:t xml:space="preserve">. A notable criticism is that Kuhn’s normal science is unscientific, as it describes a situation where critical science had contracted into defensive metaphysics resulting from the domination of a ruling dogma</w:t>
      </w:r>
      <w:r>
        <w:t xml:space="preserve"> </w:t>
      </w:r>
      <w:r>
        <w:t xml:space="preserve">(Popper 1970)</w:t>
      </w:r>
      <w:r>
        <w:t xml:space="preserve">. This is at odds with a view of science as a continuous state of evolution, with researchers simultaneously employing many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1970s-1990s. His analysis describes a multi-paradigm situation where many research communities (i.e. North American and European) simultaneously operate in different paradigms (which Kuhn noted as a sign of a developing or immature discipline). Clark’s account is not a complete Kuhnian analysis because it lacks a revolutionary change event where one paradigm is replaced by another, although he hints that processual archaeology may be considered a radical discontinuity relative to the culture-historical approaches that preceded it</w:t>
      </w:r>
      <w:r>
        <w:t xml:space="preserve"> </w:t>
      </w:r>
      <w:r>
        <w:t xml:space="preserve">(Clark 1993: 206)</w:t>
      </w:r>
      <w:r>
        <w:t xml:space="preserve">.</w:t>
      </w:r>
    </w:p>
    <w:p>
      <w:pPr>
        <w:pStyle w:val="BodyText"/>
      </w:pPr>
      <w:r>
        <w:t xml:space="preserve">A more thorough treatment of the claim that the appearance of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occuring in Anglophone archaeology after the 1960s were incremental, mostly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also see mentions of paradigm shifts in archaeology in reference to the shift from processual to post-processual archaeology</w:t>
      </w:r>
      <w:r>
        <w:t xml:space="preserve"> </w:t>
      </w:r>
      <w:r>
        <w:t xml:space="preserve">(Härke 2002; Koerner 2018)</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of antiquity, such as the Greek Early Iron Age, constitutes a paradigm shift.</w:t>
      </w:r>
      <w:r>
        <w:t xml:space="preserve"> </w:t>
      </w:r>
      <w:r>
        <w:t xml:space="preserve">McAnany et al. (2015)</w:t>
      </w:r>
      <w:r>
        <w:t xml:space="preserve"> </w:t>
      </w:r>
      <w:r>
        <w:t xml:space="preserve">propose that the appearance of community-based participatory models of research among some communities of archaeologists is a paradigm shift, though they concede that it is transformational rather than revolutionary.</w:t>
      </w:r>
      <w:r>
        <w:t xml:space="preserve"> </w:t>
      </w:r>
      <w:r>
        <w:t xml:space="preserve">Harris (2012)</w:t>
      </w:r>
      <w:r>
        <w:t xml:space="preserve"> </w:t>
      </w:r>
      <w:r>
        <w:t xml:space="preserve">similarly argues that community crowdsourced geographic knowledge (or volunteered geographic information) could be paradigm shift for archaeological communities. Archaeologists using LIDAR (light detection and ranging) for remote geospatial imaging of cultural landscapes have claimed the application of this technology to archaeology is a paradigm shift</w:t>
      </w:r>
      <w:r>
        <w:t xml:space="preserve"> </w:t>
      </w:r>
      <w:r>
        <w:t xml:space="preserve">(Chase et al. 2012; Howey et al. 2016)</w:t>
      </w:r>
      <w:r>
        <w:t xml:space="preserve">.</w:t>
      </w:r>
      <w:r>
        <w:t xml:space="preserve"> </w:t>
      </w:r>
      <w:r>
        <w:t xml:space="preserve">Fuller (2010)</w:t>
      </w:r>
      <w:r>
        <w:t xml:space="preserve"> </w:t>
      </w:r>
      <w:r>
        <w:t xml:space="preserve">has used the term to describe a shift in thinking from the emergence of agriculture as a</w:t>
      </w:r>
      <w:r>
        <w:t xml:space="preserve"> </w:t>
      </w:r>
      <w:r>
        <w:t xml:space="preserve">‘</w:t>
      </w:r>
      <w:r>
        <w:t xml:space="preserve">Neolithic Revolution</w:t>
      </w:r>
      <w:r>
        <w:t xml:space="preserve">’</w:t>
      </w:r>
      <w:r>
        <w:t xml:space="preserve"> </w:t>
      </w:r>
      <w:r>
        <w:t xml:space="preserve">to a protracted and entangled process, happening several times independently. Most of these claims for Kuhnian paradigm shifts differ in meaning, which highlights an important complication with using Kuhn’s concept of a paradigm-shift, namely the multiple definitions of a paradigm in his writings.</w:t>
      </w:r>
    </w:p>
    <w:p>
      <w:pPr>
        <w:pStyle w:val="BodyText"/>
      </w:pPr>
      <w:r>
        <w:t xml:space="preserve">Masterman</w:t>
      </w:r>
      <w:r>
        <w:t xml:space="preserve"> </w:t>
      </w:r>
      <w:r>
        <w:t xml:space="preserve">(1970)</w:t>
      </w:r>
      <w:r>
        <w:t xml:space="preserve"> </w:t>
      </w:r>
      <w:r>
        <w:t xml:space="preserve">has documented 21 different uses of</w:t>
      </w:r>
      <w:r>
        <w:t xml:space="preserve"> </w:t>
      </w:r>
      <w:r>
        <w:t xml:space="preserve">‘</w:t>
      </w:r>
      <w:r>
        <w:t xml:space="preserve">paradigm</w:t>
      </w:r>
      <w:r>
        <w:t xml:space="preserve">’</w:t>
      </w:r>
      <w:r>
        <w:t xml:space="preserve"> </w:t>
      </w:r>
      <w:r>
        <w:t xml:space="preserve">by Kuhn, which she organises into three groups. First is the metaphysical notion of a set of beliefs, and this is the sense dominating most of the commentary on Kuhn’s model. Second is the sociological sense of scientific habits, the universally recognized scientific achievements that are the foundations of day-to-day normal science. These include specific attention-grabbing successes that give a touchstone for the coordination of future research. Third is the concrete sense of an actual textbook, instrumentation or toolkit in wide use.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 tools – of doing science, such as the technology for collecting and analysing data, and for communication and collaboration among researchers.</w:t>
      </w:r>
    </w:p>
    <w:p>
      <w:pPr>
        <w:pStyle w:val="BodyText"/>
      </w:pPr>
      <w:r>
        <w:t xml:space="preserve">We see a compelling exploration of this third concrete sense of a paradigm in the work of</w:t>
      </w:r>
      <w:r>
        <w:t xml:space="preserve"> </w:t>
      </w:r>
      <w:r>
        <w:t xml:space="preserve">Galison (1997)</w:t>
      </w:r>
      <w:r>
        <w:t xml:space="preserve">, who has offered a tool-driven view of change in research communities. Galison analysed the role of tools in twentieth century particle physics, starting with hand-crafted cloud chambers and bubble chambers and ending with digital counters, particle accelerators,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entirely experimenters and not entirely theorists. Dyson</w:t>
      </w:r>
      <w:r>
        <w:t xml:space="preserve"> </w:t>
      </w:r>
      <w:r>
        <w:t xml:space="preserve">(2000; 2012)</w:t>
      </w:r>
      <w:r>
        <w:t xml:space="preserve"> </w:t>
      </w:r>
      <w:r>
        <w:t xml:space="preserve">has further explored this tool-driven approach, tracing the origin of the Galilean revolution to appearance of the telescope in astronomy, and the origin of the Crick-Watson revolution to the use of X-ray diffraction.</w:t>
      </w:r>
    </w:p>
    <w:p>
      <w:pPr>
        <w:pStyle w:val="BodyText"/>
      </w:pPr>
      <w:r>
        <w:t xml:space="preserve">We propose that Galison’s emphasis on tool-driven change, as a complement to Kuhnian concept-driven change, has potential to enhance archaeology’s social and scientific relevance and contributions. The centrality of material culture in Galison’s view raises the question about whether there is scope for archaeologists to make productive contributions to understanding change in the history of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w:t>
      </w:r>
      <w:r>
        <w:t xml:space="preserve"> </w:t>
      </w:r>
      <w:r>
        <w:t xml:space="preserve">(Marwick 2019)</w:t>
      </w:r>
      <w:r>
        <w:t xml:space="preserve">? One candidate for this might be the shift from building relative chronologies based on seriation using typologies of visually distinctive artefacts to absolute chronologies based on radiometric dating using computer-controlled instruments. Three revolutions in archaeology have been attributed to radiocarbon dating and associated technologies</w:t>
      </w:r>
      <w:r>
        <w:t xml:space="preserve"> </w:t>
      </w:r>
      <w:r>
        <w:t xml:space="preserve">(Bayliss 2009)</w:t>
      </w:r>
      <w:r>
        <w:t xml:space="preserve">.</w:t>
      </w:r>
      <w:r>
        <w:t xml:space="preserve"> </w:t>
      </w:r>
      <w:r>
        <w:t xml:space="preserve">Chase et al. (2012)</w:t>
      </w:r>
      <w:r>
        <w:t xml:space="preserve"> </w:t>
      </w:r>
      <w:r>
        <w:t xml:space="preserve">have claimed the introduction of radiocarbon dating was a paradigm shift in archaeology, but we are not aware of a Galisonian analysis of this change. A third issue is how we can use a tool-driven approach not just as a framework for understanding change in science, but as a method to predict or generate change in the practice of archaeology?</w:t>
      </w:r>
    </w:p>
    <w:p>
      <w:pPr>
        <w:pStyle w:val="Heading1"/>
      </w:pPr>
      <w:bookmarkStart w:id="22" w:name="bibliometric-analysis-of-a-tool-driven-change"/>
      <w:r>
        <w:t xml:space="preserve">3. Bibliometric Analysis of a Tool-driven Change</w:t>
      </w:r>
      <w:bookmarkEnd w:id="22"/>
    </w:p>
    <w:p>
      <w:pPr>
        <w:pStyle w:val="FirstParagraph"/>
      </w:pPr>
      <w:r>
        <w:t xml:space="preserve">In this section we explore how a change observed in ecology might be relevant for understanding or even directing the future of archaeology. Biological disciplines have a long tradition of influencing archaeological thought, starting with Oscar Montelius, whose typological method was inspired by Darwin’s theory of evolution</w:t>
      </w:r>
      <w:r>
        <w:t xml:space="preserve"> </w:t>
      </w:r>
      <w:r>
        <w:t xml:space="preserve">(Montelius 1899: 237)</w:t>
      </w:r>
      <w:r>
        <w:t xml:space="preserve">. This tradition continues, for example, many spatial statistics currently used by archaeologists are derived from ecology</w:t>
      </w:r>
      <w:r>
        <w:t xml:space="preserve"> </w:t>
      </w:r>
      <w:r>
        <w:t xml:space="preserve">(Keron 2015: 7)</w:t>
      </w:r>
      <w:r>
        <w:t xml:space="preserve">.</w:t>
      </w:r>
    </w:p>
    <w:p>
      <w:pPr>
        <w:pStyle w:val="Heading2"/>
      </w:pPr>
      <w:bookmarkStart w:id="23" w:name="looking-back-on-a-tool-driven-change-in-ecology"/>
      <w:r>
        <w:t xml:space="preserve">3.1 Looking back on a tool-driven change in Ecology</w:t>
      </w:r>
      <w:bookmarkEnd w:id="23"/>
    </w:p>
    <w:p>
      <w:pPr>
        <w:pStyle w:val="FirstParagraph"/>
      </w:pPr>
      <w:r>
        <w:t xml:space="preserve">Touchon et al. (2016)</w:t>
      </w:r>
      <w:r>
        <w:t xml:space="preserve"> </w:t>
      </w:r>
      <w:r>
        <w:t xml:space="preserve">investigated evaluated changes in statistical methods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et al.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the rate at which ecologists collect data. Second, increases in desktop and cluster computing power have made complex analytical processes faster and more convenient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 Burnham and Anderson’s</w:t>
      </w:r>
      <w:r>
        <w:t xml:space="preserve"> </w:t>
      </w:r>
      <w:r>
        <w:t xml:space="preserve">(2003)</w:t>
      </w:r>
      <w:r>
        <w:t xml:space="preserve"> </w:t>
      </w:r>
      <w:r>
        <w:t xml:space="preserve">book on model selection and inference.</w:t>
      </w:r>
    </w:p>
    <w:p>
      <w:pPr>
        <w:pStyle w:val="BodyText"/>
      </w:pPr>
      <w:r>
        <w:t xml:space="preserve">We focus here on the third factor, free and open source software, because it is the most generic factor and so the most relevant beyond ecology. Archaeology and ecology each have a high diversity of data collection methods, and types of data analyses they conduct. An important similarity for the two disciplines is working with the field-collected data on a computer to prepare it for publication. R is a widely used free and open source data analysis tool in many research communities</w:t>
      </w:r>
      <w:r>
        <w:t xml:space="preserve"> </w:t>
      </w:r>
      <w:r>
        <w:t xml:space="preserve">(Tippmann 2015; Baker 2017; Thieme 2018)</w:t>
      </w:r>
      <w:r>
        <w:t xml:space="preserve">. Our observations suggest it is the dominant programming language in archaeology and ecology, so it is a good proxy for the adoption of open source scientific programming languages in these disciplines. To investigate changes in the use of R in archaeology and ecology, we obtained reference lists from a sample of scholarly articles in the Web of Science database and examined patterns in the citation of the R program over time.</w:t>
      </w:r>
    </w:p>
    <w:p>
      <w:pPr>
        <w:pStyle w:val="Heading1"/>
      </w:pPr>
      <w:bookmarkStart w:id="24" w:name="methods"/>
      <w:r>
        <w:t xml:space="preserve">4. Methods</w:t>
      </w:r>
      <w:bookmarkEnd w:id="24"/>
    </w:p>
    <w:p>
      <w:pPr>
        <w:pStyle w:val="FirstParagraph"/>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find journal articles citing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of the Web of Science database. We sorted the results by frequency of citations, and selected the first 1000 items (the maximum allowed by the Web of Science service). These 1000 items represent variations on the recommended format for citing R. We found citations of R in the reference lists of 42,659 English-language articles indexed by the Web of Science in the research area of</w:t>
      </w:r>
      <w:r>
        <w:t xml:space="preserve"> </w:t>
      </w:r>
      <w:r>
        <w:t xml:space="preserve">‘</w:t>
      </w:r>
      <w:r>
        <w:t xml:space="preserve">Environmental Sciences Ecology</w:t>
      </w:r>
      <w:r>
        <w:t xml:space="preserve">’</w:t>
      </w:r>
      <w:r>
        <w:t xml:space="preserve">. We then downloaded the bibliographic data and reference lists for each of these articles.</w:t>
      </w:r>
    </w:p>
    <w:p>
      <w:pPr>
        <w:pStyle w:val="Heading2"/>
      </w:pPr>
      <w:bookmarkStart w:id="25" w:name="reproducibility-and-open-source-materials"/>
      <w:r>
        <w:t xml:space="preserve">4.1 Reproducibility and open source materials</w:t>
      </w:r>
      <w:bookmarkEnd w:id="25"/>
    </w:p>
    <w:p>
      <w:pPr>
        <w:pStyle w:val="FirstParagraph"/>
      </w:pPr>
      <w:r>
        <w:t xml:space="preserve">To enable re-use of our materials and improve reproducibility and transparency according to the principles outlined in</w:t>
      </w:r>
      <w:r>
        <w:t xml:space="preserve"> </w:t>
      </w:r>
      <w:r>
        <w:t xml:space="preserve">Marwick (2017)</w:t>
      </w:r>
      <w:r>
        <w:t xml:space="preserve">, we include the entire R code used for all the analysis and visualizations contained in this paper at</w:t>
      </w:r>
      <w:r>
        <w:t xml:space="preserve"> </w:t>
      </w:r>
      <w:hyperlink r:id="rId26">
        <w:r>
          <w:rPr>
            <w:rStyle w:val="Hyperlink"/>
          </w:rPr>
          <w:t xml:space="preserve">http://doi.org/10.17605/OSF.IO/RHVN5</w:t>
        </w:r>
      </w:hyperlink>
      <w:r>
        <w:t xml:space="preserve">. Also in this version-controlled research compendium are the raw data for all the results reported here. All of the figures, tables and statistical test results presented here can be independently reproduced with the code and data in this repository. In our online materials our code is released under the MIT licence, our data as CC-0, and our figures as CC-BY, to enable maximum re-use</w:t>
      </w:r>
      <w:r>
        <w:t xml:space="preserve"> </w:t>
      </w:r>
      <w:r>
        <w:t xml:space="preserve">(for more details, see Marwick 2017)</w:t>
      </w:r>
      <w:r>
        <w:t xml:space="preserve">.</w:t>
      </w:r>
    </w:p>
    <w:p>
      <w:pPr>
        <w:pStyle w:val="Heading1"/>
      </w:pPr>
      <w:bookmarkStart w:id="27" w:name="results"/>
      <w:r>
        <w:t xml:space="preserve">5. Results</w:t>
      </w:r>
      <w:bookmarkEnd w:id="27"/>
    </w:p>
    <w:p>
      <w:pPr>
        <w:pStyle w:val="FirstParagraph"/>
      </w:pPr>
      <w:r>
        <w:t xml:space="preserve">Figure</w:t>
      </w:r>
      <w:r>
        <w:t xml:space="preserve"> </w:t>
      </w:r>
      <w:r>
        <w:t xml:space="preserve">1</w:t>
      </w:r>
      <w:r>
        <w:t xml:space="preserve"> </w:t>
      </w:r>
      <w:r>
        <w:t xml:space="preserve">shows the percentage of articles citing R in each of several of the top ecology journals (as defined by how often their articles are cited). We restrict the start of the observation period to 2008 for convenience so we have a ten year study period.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might not call this a Kuhnian paradigm shift, but it does show a substantial change in the tools of the discipline, supporting claims for a Galisonian tool-driven change in ecology similar to the changes described by</w:t>
      </w:r>
      <w:r>
        <w:t xml:space="preserve"> </w:t>
      </w:r>
      <w:r>
        <w:t xml:space="preserve">Touchon et al. (2016)</w:t>
      </w:r>
      <w:r>
        <w:t xml:space="preserve">.</w:t>
      </w:r>
    </w:p>
    <w:p>
      <w:pPr>
        <w:pStyle w:val="CaptionedFigure"/>
      </w:pPr>
      <w:r>
        <w:drawing>
          <wp:inline>
            <wp:extent cx="5943600" cy="4245428"/>
            <wp:effectExtent b="0" l="0" r="0" t="0"/>
            <wp:docPr descr="Figure 1: Percentage of articles per year citing R in top Ecology journals (5,800 articles out of 42,659). Data from Web of Science for 2008-2018" title="" id="1" name="Picture"/>
            <a:graphic>
              <a:graphicData uri="http://schemas.openxmlformats.org/drawingml/2006/picture">
                <pic:pic>
                  <pic:nvPicPr>
                    <pic:cNvPr descr="E:/R/caa2018-Tubingen/analysis/figures/eco_citing_R_over_time.pn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Percentage of articles per year citing R in top Ecology journals (5,800 articles out of 42,659). Data from Web of Science for 2008-2018</w:t>
      </w:r>
    </w:p>
    <w:p>
      <w:pPr>
        <w:pStyle w:val="Heading2"/>
      </w:pPr>
      <w:bookmarkStart w:id="29" w:name="looking-forward-to-a-tool-driven-change-in-archaeology"/>
      <w:r>
        <w:t xml:space="preserve">5.1 Looking forward to a tool-driven change in Archaeology</w:t>
      </w:r>
      <w:bookmarkEnd w:id="29"/>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2008-2018 that are included in the Web of Science category</w:t>
      </w:r>
      <w:r>
        <w:t xml:space="preserve"> </w:t>
      </w:r>
      <w:r>
        <w:t xml:space="preserve">‘</w:t>
      </w:r>
      <w:r>
        <w:t xml:space="preserve">Archaeology</w:t>
      </w:r>
      <w:r>
        <w:t xml:space="preserve">’</w:t>
      </w:r>
      <w:r>
        <w:t xml:space="preserve">. This resulted in 42,991 articles, of which 154 cite R.Figure</w:t>
      </w:r>
      <w:r>
        <w:t xml:space="preserve"> </w:t>
      </w:r>
      <w:r>
        <w:t xml:space="preserve">2</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roportion of Archaeology articles per year citing R (a total of 154 out of 42,991 articles in our sample for 2008-2018). Labels to the right show the top five journals in our sample. Sub-plot shows articles published in the Journal of Archaeological Science during 2008-2017. Data from Web of Science"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3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Proportion of Archaeology articles per year citing R (a total of 154 out of 42,991 articles in our sample for 2008-2018). Labels to the right show the top five journals in our sample. Sub-plot shows articles published in the</w:t>
      </w:r>
      <w:r>
        <w:t xml:space="preserve"> </w:t>
      </w:r>
      <w:r>
        <w:rPr>
          <w:i/>
        </w:rPr>
        <w:t xml:space="preserve">Journal of Archaeological Science</w:t>
      </w:r>
      <w:r>
        <w:t xml:space="preserve"> </w:t>
      </w:r>
      <w:r>
        <w:t xml:space="preserve">during 2008-2017. Data from Web of Science</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1</w:t>
      </w:r>
      <w:r>
        <w:t xml:space="preserve">. Only the</w:t>
      </w:r>
      <w:r>
        <w:t xml:space="preserve"> </w:t>
      </w:r>
      <w:r>
        <w:rPr>
          <w:i/>
        </w:rPr>
        <w:t xml:space="preserve">Journal of Archaeological Science</w:t>
      </w:r>
      <w:r>
        <w:t xml:space="preserve"> </w:t>
      </w:r>
      <w:r>
        <w:t xml:space="preserve">has more than 50 articles in our sample. We conclude from this observation that archaeologists have yet to adopt programming for data analysis and visualisation in the same way ecologists have.</w:t>
      </w:r>
    </w:p>
    <w:p>
      <w:pPr>
        <w:pStyle w:val="BodyText"/>
      </w:pPr>
      <w:r>
        <w:t xml:space="preserve">The second detail is that most archaeology journals do not show any strong increase in the percentage of article citing R over time. The ecology journals shown in Figure</w:t>
      </w:r>
      <w:r>
        <w:t xml:space="preserve"> </w:t>
      </w:r>
      <w:r>
        <w:t xml:space="preserve">1</w:t>
      </w:r>
      <w:r>
        <w:t xml:space="preserve"> </w:t>
      </w:r>
      <w:r>
        <w:t xml:space="preserve">show strong upward trends of increasing proportions of articles citing R over time, but we do not see any unambiguous trends in the archaeology articles when considered together. Indeed, in several of the other archaeological journals in our sample, the first citations of R only occurred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61 articles. Figure</w:t>
      </w:r>
      <w:r>
        <w:t xml:space="preserve"> </w:t>
      </w:r>
      <w:r>
        <w:t xml:space="preserve">2</w:t>
      </w:r>
      <w:r>
        <w:t xml:space="preserve"> </w:t>
      </w:r>
      <w:r>
        <w:t xml:space="preserve">shows a statistical test of change over time for articles citing R in the</w:t>
      </w:r>
      <w:r>
        <w:t xml:space="preserve"> </w:t>
      </w:r>
      <w:r>
        <w:rPr>
          <w:i/>
        </w:rPr>
        <w:t xml:space="preserve">Journal of Archaeological Science</w:t>
      </w:r>
      <w:r>
        <w:t xml:space="preserve">. With a moderate r-squared value and low p-value for the linear model, we conclude there is some evidence for a non-random increase in citations of R over time in this journal. This may show an increasing use of R among archaeologists, especially those working at the intersection of archaeology and the natural sciences. This may hint at the start of a trend like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focus on journals publishing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For more fine-grained insights into the topics that archaeologists are using R to study, we conducted a statistical analysis of the words in the titles of all the articles in our sample.</w:t>
      </w:r>
    </w:p>
    <w:p>
      <w:pPr>
        <w:pStyle w:val="Heading2"/>
      </w:pPr>
      <w:bookmarkStart w:id="31" w:name="what-are-r-using-archaeologists-writing-about"/>
      <w:r>
        <w:t xml:space="preserve">5.2 What are R-using archaeologists writing about?</w:t>
      </w:r>
      <w:bookmarkEnd w:id="31"/>
    </w:p>
    <w:p>
      <w:pPr>
        <w:pStyle w:val="FirstParagraph"/>
      </w:pPr>
      <w:r>
        <w:t xml:space="preserve">We computed a comparison of word frequencies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very common and uninformative words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etc.). This resulted in 41,645 words in 43,044 articles. Third, for each word found in all the titles of the journal articles in each group, we computed its proportion of the total number of words in all the titles in each group. Figure</w:t>
      </w:r>
      <w:r>
        <w:t xml:space="preserve"> </w:t>
      </w:r>
      <w:r>
        <w:t xml:space="preserve">3</w:t>
      </w:r>
      <w:r>
        <w:t xml:space="preserve"> </w:t>
      </w:r>
      <w:r>
        <w:t xml:space="preserve">shows the results of this analysis. Words near the red line are used with about equal frequencies by papers citing R and by papers not citing R. Words far away from the red line are used much more by one group of articles compared to the other.</w:t>
      </w:r>
    </w:p>
    <w:p>
      <w:pPr>
        <w:pStyle w:val="CaptionedFigure"/>
      </w:pPr>
      <w:r>
        <w:drawing>
          <wp:inline>
            <wp:extent cx="5943600" cy="5943600"/>
            <wp:effectExtent b="0" l="0" r="0" t="0"/>
            <wp:docPr descr="Figure 3: Comparing the frequency of words used in titles of archaeology articles (41,645 words in 43,044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Comparing the frequency of words used in titles of archaeology articles (41,645 words in 43,044 articles)</w:t>
      </w:r>
    </w:p>
    <w:p>
      <w:pPr>
        <w:pStyle w:val="BodyText"/>
      </w:pPr>
      <w:r>
        <w:t xml:space="preserve">Figure</w:t>
      </w:r>
      <w:r>
        <w:t xml:space="preserve"> </w:t>
      </w:r>
      <w:r>
        <w:t xml:space="preserve">3</w:t>
      </w:r>
      <w:r>
        <w:t xml:space="preserve"> </w:t>
      </w:r>
      <w:r>
        <w:t xml:space="preserve">supports our observation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technical specialisation that is characteristic of articles that do not cite R, it seems to be in ceramics.</w:t>
      </w:r>
    </w:p>
    <w:p>
      <w:pPr>
        <w:pStyle w:val="Heading2"/>
      </w:pPr>
      <w:bookmarkStart w:id="33" w:name="from-using-code-in-research-to-sharing-code-with-publications"/>
      <w:r>
        <w:t xml:space="preserve">5.3 From using code in research to sharing code with publications</w:t>
      </w:r>
      <w:bookmarkEnd w:id="33"/>
    </w:p>
    <w:p>
      <w:pPr>
        <w:pStyle w:val="FirstParagraph"/>
      </w:pPr>
      <w:r>
        <w:t xml:space="preserve">Touchon et al. (2016)</w:t>
      </w:r>
      <w:r>
        <w:t xml:space="preserve"> </w:t>
      </w:r>
      <w:r>
        <w:t xml:space="preserve">identified the use of scripting languages as being a factor for easily sharing methods and code, thereby increasing the rate of development of statistical methods. One notable practice we observed during our bibliometric analysis is that among authors of articles citing R, a subset of these authors publicly share the code and data that they used to generate the results presented in their article. We identified 85 articles that include R script and data files, either in the supplementary materials or in a trustworthy data repository such as Zenodo, Open Science Framework, Figshare, etc.</w:t>
      </w:r>
      <w:r>
        <w:t xml:space="preserve"> </w:t>
      </w:r>
      <w:r>
        <w:t xml:space="preserve">‘</w:t>
      </w:r>
      <w:r>
        <w:t xml:space="preserve">Trustworthy</w:t>
      </w:r>
      <w:r>
        <w:t xml:space="preserve">’</w:t>
      </w:r>
      <w:r>
        <w:t xml:space="preserve"> </w:t>
      </w:r>
      <w:r>
        <w:t xml:space="preserve">data repositories are those hosted by a non-commercial organisation, offering persistent identifiers, and have transparent commmitments to long term data management and backup strategies (see</w:t>
      </w:r>
      <w:r>
        <w:t xml:space="preserve"> </w:t>
      </w:r>
      <w:r>
        <w:t xml:space="preserve">Marwick &amp; Birch (2018)</w:t>
      </w:r>
      <w:r>
        <w:t xml:space="preserve"> </w:t>
      </w:r>
      <w:r>
        <w:t xml:space="preserve">for more details). Our continuously updated list of articles in this sample is available online here:</w:t>
      </w:r>
      <w:r>
        <w:t xml:space="preserve"> </w:t>
      </w:r>
      <w:hyperlink r:id="rId34">
        <w:r>
          <w:rPr>
            <w:rStyle w:val="Hyperlink"/>
          </w:rPr>
          <w:t xml:space="preserve">https://github.com/benmarwick/ctv-archaeology</w:t>
        </w:r>
      </w:hyperlink>
      <w:r>
        <w:t xml:space="preserve">. Figure</w:t>
      </w:r>
      <w:r>
        <w:t xml:space="preserve"> </w:t>
      </w:r>
      <w:r>
        <w:t xml:space="preserve">4</w:t>
      </w:r>
      <w:r>
        <w:t xml:space="preserve"> </w:t>
      </w:r>
      <w:r>
        <w:t xml:space="preserve">shows that although this number is small, it is increasing, hinting at the emergence of a new approach to how archaeologists share their research. The author guidelines of this journal support this trend:</w:t>
      </w:r>
      <w:r>
        <w:t xml:space="preserve"> </w:t>
      </w:r>
      <w:r>
        <w:t xml:space="preserve">“</w:t>
      </w:r>
      <w:r>
        <w:t xml:space="preserve">In the interests of open scholarship and the reproducibility of results, JCAA strongly encourages all authors to deposit material relating to their publication in a preservation repository</w:t>
      </w:r>
      <w:r>
        <w:t xml:space="preserve">”</w:t>
      </w:r>
      <w:r>
        <w:t xml:space="preserve"> </w:t>
      </w:r>
      <w:r>
        <w:t xml:space="preserve">(Editors n.d.)</w:t>
      </w:r>
      <w:r>
        <w:t xml:space="preserve">.</w:t>
      </w:r>
    </w:p>
    <w:p>
      <w:pPr>
        <w:pStyle w:val="BodyText"/>
      </w:pPr>
      <w:r>
        <w:t xml:space="preserve">These archaeology articles that include publicly available R code and data are part of a shift in scientific communication that is also underway in other fields. For example, the journal</w:t>
      </w:r>
      <w:r>
        <w:t xml:space="preserve"> </w:t>
      </w:r>
      <w:r>
        <w:rPr>
          <w:i/>
        </w:rPr>
        <w:t xml:space="preserve">Nature Neuroscience</w:t>
      </w:r>
      <w:r>
        <w:t xml:space="preserve"> </w:t>
      </w:r>
      <w:r>
        <w:t xml:space="preserve">requires authors</w:t>
      </w:r>
      <w:r>
        <w:t xml:space="preserve"> </w:t>
      </w:r>
      <w:r>
        <w:t xml:space="preserve">‘</w:t>
      </w:r>
      <w:r>
        <w:t xml:space="preserve">to make the code that supports the generation of key figures in their manuscript available for review</w:t>
      </w:r>
      <w:r>
        <w:t xml:space="preserve">’</w:t>
      </w:r>
      <w:r>
        <w:t xml:space="preserve"> </w:t>
      </w:r>
      <w:r>
        <w:t xml:space="preserve">(Editors 2017)</w:t>
      </w:r>
      <w:r>
        <w:t xml:space="preserve">.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hydrology</w:t>
      </w:r>
      <w:r>
        <w:t xml:space="preserve"> </w:t>
      </w:r>
      <w:r>
        <w:t xml:space="preserve">(Slater et al. 2019)</w:t>
      </w:r>
      <w:r>
        <w:t xml:space="preserve">, biostatistics</w:t>
      </w:r>
      <w:r>
        <w:t xml:space="preserve"> </w:t>
      </w:r>
      <w:r>
        <w:t xml:space="preserve">(Peng 2009)</w:t>
      </w:r>
      <w:r>
        <w:t xml:space="preserve">, computer science</w:t>
      </w:r>
      <w:r>
        <w:t xml:space="preserve"> </w:t>
      </w:r>
      <w:r>
        <w:t xml:space="preserve">(Peng 2011; Mitchell et al. 2012)</w:t>
      </w:r>
      <w:r>
        <w:t xml:space="preserve">, applied mathematics</w:t>
      </w:r>
      <w:r>
        <w:t xml:space="preserve"> </w:t>
      </w:r>
      <w:r>
        <w:t xml:space="preserve">(LeVeque et al. 2012)</w:t>
      </w:r>
      <w:r>
        <w:t xml:space="preserve">, speech science</w:t>
      </w:r>
      <w:r>
        <w:t xml:space="preserve"> </w:t>
      </w:r>
      <w:r>
        <w:t xml:space="preserve">(Abari 2012)</w:t>
      </w:r>
      <w:r>
        <w:t xml:space="preserve">, political science</w:t>
      </w:r>
      <w:r>
        <w:t xml:space="preserve"> </w:t>
      </w:r>
      <w:r>
        <w:t xml:space="preserve">(King 1995; Dafoe 2014)</w:t>
      </w:r>
      <w:r>
        <w:t xml:space="preserve">,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(B. Nosek et al. 2015; Ince et al. 2012; Barnes 2010)</w:t>
      </w:r>
      <w:r>
        <w:t xml:space="preserve"> </w:t>
      </w:r>
      <w:r>
        <w:t xml:space="preserve">and articles recommending using R in undergraduate education</w:t>
      </w:r>
      <w:r>
        <w:t xml:space="preserve"> </w:t>
      </w:r>
      <w:r>
        <w:t xml:space="preserve">(Bray et al. 2014; Eglen 2009)</w:t>
      </w:r>
      <w:r>
        <w:t xml:space="preserve">. Much of this literature is concerned with identifying and solving problems of irreproducibility in research. These actions come from a renewed interest in basic principles of the scientific method: that once-off results should not be trusted, instead they should be reproducible by other members of the research community</w:t>
      </w:r>
      <w:r>
        <w:t xml:space="preserve"> </w:t>
      </w:r>
      <w:r>
        <w:t xml:space="preserve">(Stark 2018)</w:t>
      </w:r>
      <w:r>
        <w:t xml:space="preserve">. Furthermore, that an article should sufficiently describe the presented research results such that a colleague can fully understand the results and how they were obtained. Many of these authors trace problems of irreproducibility to the increased complexity of computer-based analyses, combined with the limited space to describe them in a journal article, and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would not constitute a tool-driven revolution by itself, but publicly sharing the code used for research, as a solution to problems of irreproducibility, is more likely to lead to revolutionary change. We expect that openly shared code will speed the widespread adoption of reproducibility as a core tenet of the scientific process, since it frees researchers from the black box that most mouse-driven programs are, and enables researchers to not only rerun the shared analysis, but to gain access to all parameter settings, empowering them to change these and so properly evaluate, extend and reuse the published results. As open source languages such as R (and Python) are free to use, and many trustworthy repositories are also free (such as Zenodo, Open Science Framework, Figshare, etc.), then even researchers with limited resources anywhere in the world can contribute equally to the research community by using and sharing code. Using and sharing open source code is thus an important action for reducing inequality in the archaeological research community. It enables participation by researchers who are unable to buy software licenses.</w:t>
      </w:r>
    </w:p>
    <w:p>
      <w:pPr>
        <w:pStyle w:val="CaptionedFigure"/>
      </w:pPr>
      <w:r>
        <w:drawing>
          <wp:inline>
            <wp:extent cx="5943600" cy="3343274"/>
            <wp:effectExtent b="0" l="0" r="0" t="0"/>
            <wp:docPr descr="Figure 4: Articles in archaeology journals using R for reproducible research, and making code files openly available to accompany the published article (n = 8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5"/>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Figure 4: Articles in archaeology journals using R for reproducible research, and making code files openly available to accompany the published article (n = 85)</w:t>
      </w:r>
    </w:p>
    <w:p>
      <w:pPr>
        <w:pStyle w:val="Heading2"/>
      </w:pPr>
      <w:bookmarkStart w:id="36" w:name="citation-effects-of-sharing-code"/>
      <w:r>
        <w:t xml:space="preserve">5.4 Citation effects of sharing code</w:t>
      </w:r>
      <w:bookmarkEnd w:id="36"/>
    </w:p>
    <w:p>
      <w:pPr>
        <w:pStyle w:val="FirstParagraph"/>
      </w:pPr>
      <w:r>
        <w:t xml:space="preserve">A pragmatic issue for understanding widespread changes in scientific practice is to identify incentives for members of a research community to change. If code sharing has concrete career advantages, for example, if is known to result in increased citations, then we might expect it to be more likely to be part of a tool-driven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non-random differences between the median number of citations for papers that have code available and papers that do not. In considering causal relationships, Vandewalle raises the possibility of self-selection bias, where authors include code more often with their best papers. He also notes that for some papers, the code was made available by researchers other than the authors, after the publication has become popular.</w:t>
      </w:r>
    </w:p>
    <w:p>
      <w:pPr>
        <w:pStyle w:val="BodyText"/>
      </w:pPr>
      <w:r>
        <w:t xml:space="preserve">We conducted a similar analysis for archaeology articles using the Web of Science Core Collection</w:t>
      </w:r>
      <w:r>
        <w:t xml:space="preserve"> </w:t>
      </w:r>
      <w:r>
        <w:t xml:space="preserve">‘</w:t>
      </w:r>
      <w:r>
        <w:t xml:space="preserve">Times Cited</w:t>
      </w:r>
      <w:r>
        <w:t xml:space="preserve">’</w:t>
      </w:r>
      <w:r>
        <w:t xml:space="preserve"> </w:t>
      </w:r>
      <w:r>
        <w:t xml:space="preserve">(</w:t>
      </w:r>
      <w:r>
        <w:t xml:space="preserve">‘</w:t>
      </w:r>
      <w:r>
        <w:t xml:space="preserve">TC</w:t>
      </w:r>
      <w:r>
        <w:t xml:space="preserve">’</w:t>
      </w:r>
      <w:r>
        <w:t xml:space="preserve">) count (Figure</w:t>
      </w:r>
      <w:r>
        <w:t xml:space="preserve"> </w:t>
      </w:r>
      <w:r>
        <w:t xml:space="preserve">5</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BodyText"/>
      </w:pPr>
      <w:r>
        <w:t xml:space="preserve">The mechanisms underlying the citation effects of using R remain to be elucidated. The articles in our data are mostly not open access (only 20% are open access), so we cannot attribute the citation effect to open access effects, such as easier availability, and additional time in press of the articles</w:t>
      </w:r>
      <w:r>
        <w:t xml:space="preserve"> </w:t>
      </w:r>
      <w:r>
        <w:t xml:space="preserve">(Kurtz et al. 2005)</w:t>
      </w:r>
      <w:r>
        <w:t xml:space="preserve">. In our data all the article authors are also the code authors, so there is no popularity effect noted by Vandewalle. One possibility is that authors preferentially tend to promote their articles containing code, because they want a greater return for the greater effort they have put into including the code with the article, this may be equivalent to the self-selection bias postulated by Vandewalle. Another possibility is that papers with code are perceived by readers to be more robust because of their transparency, and thus a more reliable and credible item to cite in support of knowledge claims. Another possible cause is that when a paper is accompanied by code (for example on a trustworthy repository) it is more visible than a paper without code, and appears higher in search result rankings. All other factors equal, higher visibility leads to more citations because the researcher will stop searching when they have found the first paper that serves their purpose. Further work is necessary to understand the mechanisms of this citation effect. Additional insights might come from comparisons of papers that use another open source language such as Python, or a closed source language like MATLAB.</w:t>
      </w:r>
    </w:p>
    <w:p>
      <w:pPr>
        <w:pStyle w:val="CaptionedFigure"/>
      </w:pPr>
      <w:r>
        <w:drawing>
          <wp:inline>
            <wp:extent cx="5943600" cy="3343274"/>
            <wp:effectExtent b="0" l="0" r="0" t="0"/>
            <wp:docPr descr="Figure 5: Median citation rates per year for archaeology articles 2010-2017 that cite R (n = 216) and articles that do not cite R (n = 42,828). On average, articles citing R have higher numbers of citations (m = 10.1) than articles that do not (m = 6.5) t(158) = 3.38, p = 0.00092." title="" id="1" name="Picture"/>
            <a:graphic>
              <a:graphicData uri="http://schemas.openxmlformats.org/drawingml/2006/picture">
                <pic:pic>
                  <pic:nvPicPr>
                    <pic:cNvPr descr="E:/R/caa2018-Tubingen/analysis/figures/archy_journal_articles_citations_plot.png" id="0" name="Picture"/>
                    <pic:cNvPicPr>
                      <a:picLocks noChangeArrowheads="1" noChangeAspect="1"/>
                    </pic:cNvPicPr>
                  </pic:nvPicPr>
                  <pic:blipFill>
                    <a:blip r:embed="rId37"/>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Figure 5: Median citation rates per year for archaeology articles 2010-2017 that cite R (n = 216) and articles that do not cite R (n = 42,828). On average, articles citing R have higher numbers of citations (m = 10.1) than articles that do not (m = 6.5) t(158) = 3.38, p = 0.00092.</w:t>
      </w:r>
    </w:p>
    <w:p>
      <w:pPr>
        <w:pStyle w:val="Heading1"/>
      </w:pPr>
      <w:bookmarkStart w:id="38" w:name="discussion"/>
      <w:r>
        <w:t xml:space="preserve">6. Discussion</w:t>
      </w:r>
      <w:bookmarkEnd w:id="38"/>
    </w:p>
    <w:p>
      <w:pPr>
        <w:pStyle w:val="FirstParagraph"/>
      </w:pPr>
      <w:r>
        <w:t xml:space="preserve">Our hypothesis is that a tool-driven change is underway in the biological sciences, and is emerging in archaeology. The tool which drives this change is the use of scripting languages in computational work in these disciplines. We have shown that the use of R is on the rise among archaeologists, especially those using natural science methods, and has concrete advantages for authors that publish papers that cite R. The advantage is that papers using and citing R tend to be referenced more often in other papers, giving the authors more visibility and influence (cf. Huggett in this volume for critical discussion of open scholarship).</w:t>
      </w:r>
    </w:p>
    <w:p>
      <w:pPr>
        <w:pStyle w:val="BodyText"/>
      </w:pPr>
      <w:r>
        <w:t xml:space="preserve">The use of R or similar scripting languages enables a major shift in the technical and social dynamics of the research community, as it offers the possibility to communicate one’s workflow in a highly detailed and efficient way, and easily share this workflow with others. The sharing of code has been identified in other disciplines as an amplifier of change in methods</w:t>
      </w:r>
      <w:r>
        <w:t xml:space="preserve"> </w:t>
      </w:r>
      <w:r>
        <w:t xml:space="preserve">(Touchon et al. 2016)</w:t>
      </w:r>
      <w:r>
        <w:t xml:space="preserve">. It also enables researchers to not just reproduce the work of others, but to also thoroughly evaluate them. Thus, the sharing of code may be at the root of an upcoming tool-driven change for archaeology, consistent with the patterns described by</w:t>
      </w:r>
      <w:r>
        <w:t xml:space="preserve"> </w:t>
      </w:r>
      <w:r>
        <w:t xml:space="preserve">Galison (1997; 1997)</w:t>
      </w:r>
      <w:r>
        <w:t xml:space="preserve">. This change is transformational rather than revolutionary, enabling archaeologists to more faithfully adhere to a fundamental tenet of the scientific process which demands the reproducibility of results. We do not claim archaeologists did not want to produce reproducible research before the advance of scientific scripting languages. Indeed, there is a longstanding tradition in archaeology of publishing catalogues, lists and maps showing the data used for analyses. Empirical reproducibility has always been prominent in archaeological research as we can see from the value placed on re-examining museum collections, re-excavating old sites, and reusing previously published data</w:t>
      </w:r>
      <w:r>
        <w:t xml:space="preserve"> </w:t>
      </w:r>
      <w:r>
        <w:t xml:space="preserve">(Strupler et al. 2017)</w:t>
      </w:r>
      <w:r>
        <w:t xml:space="preserve">.</w:t>
      </w:r>
    </w:p>
    <w:p>
      <w:pPr>
        <w:pStyle w:val="BodyText"/>
      </w:pPr>
      <w:r>
        <w:t xml:space="preserve">Nonetheless, with the introduction of computers there has been a gradual and unintended drift away from reproducibility</w:t>
      </w:r>
      <w:r>
        <w:t xml:space="preserve"> </w:t>
      </w:r>
      <w:r>
        <w:t xml:space="preserve">(Brinckman et al. 2019; Bailey et al. 2016)</w:t>
      </w:r>
      <w:r>
        <w:t xml:space="preserve">, and so from the fundamental tenets of scientific practice.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much research is undertaken using point-and-click software, which obscures and complicates the reproducibility of analyses. By using and sharing code we can undo this drift, and return to a robust scientific practice for archaeology. As we show, the most frequent use of scripting languages takes place mostly in the part of archaeology that is in close contact with natural sciences. These sciences also show a trend of increased emphasis on reproducibility, with journals changing their data and code availability policies to require code and data to be peer reviewed and available alongside articles</w:t>
      </w:r>
      <w:r>
        <w:t xml:space="preserve"> </w:t>
      </w:r>
      <w:r>
        <w:t xml:space="preserve">(Stodden et al. 2013)</w:t>
      </w:r>
      <w:r>
        <w:t xml:space="preserve">. Also in archaeology, funding agencies are increasingly showing interest in open science methods and transparency</w:t>
      </w:r>
      <w:r>
        <w:t xml:space="preserve"> </w:t>
      </w:r>
      <w:r>
        <w:t xml:space="preserve">(Strupler et al. 2017)</w:t>
      </w:r>
      <w:r>
        <w:t xml:space="preserve">.</w:t>
      </w:r>
    </w:p>
    <w:p>
      <w:pPr>
        <w:pStyle w:val="BodyText"/>
      </w:pPr>
      <w:r>
        <w:t xml:space="preserve">As</w:t>
      </w:r>
      <w:r>
        <w:t xml:space="preserve"> </w:t>
      </w:r>
      <w:r>
        <w:t xml:space="preserve">Galison (1997)</w:t>
      </w:r>
      <w:r>
        <w:t xml:space="preserve"> </w:t>
      </w:r>
      <w:r>
        <w:t xml:space="preserve">describes a shift in the practices of physicists, we believe archaeological practice is similarly changing.</w:t>
      </w:r>
      <w:r>
        <w:t xml:space="preserve"> </w:t>
      </w:r>
      <w:r>
        <w:t xml:space="preserve">Huvila et al. (2018)</w:t>
      </w:r>
      <w:r>
        <w:t xml:space="preserve"> </w:t>
      </w:r>
      <w:r>
        <w:t xml:space="preserve">have explored the use of digital tools on archaeological practices to understand the boundaries of what counts as archaeological, what is merely related to archaeology and what should be excluded from archaeology. Reflecting on</w:t>
      </w:r>
      <w:r>
        <w:t xml:space="preserve"> </w:t>
      </w:r>
      <w:r>
        <w:t xml:space="preserve">Huvila et al. (2018)</w:t>
      </w:r>
      <w:r>
        <w:t xml:space="preserve">, the use of code is unquestionably archaeological, since it is one of many tools that archaeologists are using for converting raw data into summaries, visualisations, and insights. These concerns about how digital tools affect what we consider is and is not archaeology intersect with the work of</w:t>
      </w:r>
      <w:r>
        <w:t xml:space="preserve"> </w:t>
      </w:r>
      <w:r>
        <w:t xml:space="preserve">Gieryn (1999)</w:t>
      </w:r>
      <w:r>
        <w:t xml:space="preserve"> </w:t>
      </w:r>
      <w:r>
        <w:t xml:space="preserve">on boundary construction. In his cultural cartography of science, Gieryn examines boundaries between science generally and varieties of less authoritative non-science. He argues that the boundaries are drawn and redrawn continuously in flexible and sometimes ambiguous ways. Gieryn claims that the cultural authority of science flows from boundary work in professional and political settings where scientists construct a public image for science as a source of credible knowledge, validate their work, and marginalize claims made by their competitors in the scientific community. Boundary work involves attributions of select characteristics to science in order to distinguish it from non-scientific competitors. The increasing voluntary use and sharing of code by researchers, and demands for it by readers and peer reviewers is a form of active boundary work that is shifting the boundary between scientific and non- or less-scientific archaeology. We, as members of this group, argue that the use of code as a research tool, and the sharing of code as a public research product, are increasingly attributes that are being used to distinguish science from less- and un-scientific work. The reason for this is that using code, and making it available for others to inspect, enhances the credibility of knowledge claims and the visibility of those claims.</w:t>
      </w:r>
    </w:p>
    <w:p>
      <w:pPr>
        <w:pStyle w:val="BodyText"/>
      </w:pPr>
      <w:r>
        <w:t xml:space="preserve">A related issue here is the</w:t>
      </w:r>
      <w:r>
        <w:t xml:space="preserve"> </w:t>
      </w:r>
      <w:r>
        <w:rPr>
          <w:i/>
        </w:rPr>
        <w:t xml:space="preserve">technicity</w:t>
      </w:r>
      <w:r>
        <w:t xml:space="preserve"> </w:t>
      </w:r>
      <w:r>
        <w:t xml:space="preserve">of tools, in our case programming languages.</w:t>
      </w:r>
      <w:r>
        <w:t xml:space="preserve"> </w:t>
      </w:r>
      <w:r>
        <w:t xml:space="preserve">Cassirer (2004)</w:t>
      </w:r>
      <w:r>
        <w:t xml:space="preserve"> </w:t>
      </w:r>
      <w:r>
        <w:t xml:space="preserve">and</w:t>
      </w:r>
      <w:r>
        <w:t xml:space="preserve"> </w:t>
      </w:r>
      <w:r>
        <w:t xml:space="preserve">Simondon (2011)</w:t>
      </w:r>
      <w:r>
        <w:t xml:space="preserve"> </w:t>
      </w:r>
      <w:r>
        <w:t xml:space="preserve">to define technicity as a term to describe the technology, i.e. tools and machines respectively, that interact with humans and with nature</w:t>
      </w:r>
      <w:r>
        <w:t xml:space="preserve"> </w:t>
      </w:r>
      <w:r>
        <w:t xml:space="preserve">(Hoel et al. 2013: 188)</w:t>
      </w:r>
      <w:r>
        <w:t xml:space="preserve">. Technology is said to own an instrumental kind of logos (Cassierer, see</w:t>
      </w:r>
      <w:r>
        <w:t xml:space="preserve"> </w:t>
      </w:r>
      <w:r>
        <w:t xml:space="preserve">Hoel et al. (2013)</w:t>
      </w:r>
      <w:r>
        <w:t xml:space="preserve">, 194) and, in analogy to language, it exercises a certain measure of agency in mediating between humans, nature and technology. The use of a scripting language might exemplify this, as it is not just a technological tool, but a proper</w:t>
      </w:r>
      <w:r>
        <w:t xml:space="preserve"> </w:t>
      </w:r>
      <w:r>
        <w:t xml:space="preserve">“</w:t>
      </w:r>
      <w:r>
        <w:t xml:space="preserve">language</w:t>
      </w:r>
      <w:r>
        <w:t xml:space="preserve">”</w:t>
      </w:r>
      <w:r>
        <w:t xml:space="preserve"> </w:t>
      </w:r>
      <w:r>
        <w:t xml:space="preserve">as well. Scripts of code are texts that translate data into visualisations and statements about the world, transversing and revitalizing conceptions of the relationship between people and nature, and between people as members of a research community.</w:t>
      </w:r>
    </w:p>
    <w:p>
      <w:pPr>
        <w:pStyle w:val="BodyText"/>
      </w:pPr>
      <w:r>
        <w:t xml:space="preserve">In contrast to the concept of technological determinism, which puts technology as a force against the human experience, technicity enfolds technology into</w:t>
      </w:r>
      <w:r>
        <w:t xml:space="preserve"> </w:t>
      </w:r>
      <w:r>
        <w:t xml:space="preserve">‘</w:t>
      </w:r>
      <w:r>
        <w:t xml:space="preserve">the human</w:t>
      </w:r>
      <w:r>
        <w:t xml:space="preserve">’</w:t>
      </w:r>
      <w:r>
        <w:t xml:space="preserve"> </w:t>
      </w:r>
      <w:r>
        <w:t xml:space="preserve">without letting it lose its</w:t>
      </w:r>
      <w:r>
        <w:t xml:space="preserve"> </w:t>
      </w:r>
      <w:r>
        <w:t xml:space="preserve">‘</w:t>
      </w:r>
      <w:r>
        <w:t xml:space="preserve">foreignness</w:t>
      </w:r>
      <w:r>
        <w:t xml:space="preserve">’</w:t>
      </w:r>
      <w:r>
        <w:t xml:space="preserve"> </w:t>
      </w:r>
      <w:r>
        <w:t xml:space="preserve">(Hoel et al. 2013: 190)</w:t>
      </w:r>
      <w:r>
        <w:t xml:space="preserve">. Changes in tools will influence how human researchers interact with their objects of interest and other people in their research community. There are three ways is which this can be anticipated for archaeology. First, tools that make the research process more transparent and open might be expected to make the research community more open and inclusive to diverse participants and ideas. Second, using code to</w:t>
      </w:r>
      <w:r>
        <w:t xml:space="preserve"> </w:t>
      </w:r>
      <w:r>
        <w:t xml:space="preserve">‘</w:t>
      </w:r>
      <w:r>
        <w:t xml:space="preserve">stand for</w:t>
      </w:r>
      <w:r>
        <w:t xml:space="preserve">’</w:t>
      </w:r>
      <w:r>
        <w:t xml:space="preserve"> </w:t>
      </w:r>
      <w:r>
        <w:t xml:space="preserve">or represent the research process will likely increase our awareness of how archaeology itself</w:t>
      </w:r>
      <w:r>
        <w:t xml:space="preserve"> </w:t>
      </w:r>
      <w:r>
        <w:t xml:space="preserve">‘</w:t>
      </w:r>
      <w:r>
        <w:t xml:space="preserve">stands for</w:t>
      </w:r>
      <w:r>
        <w:t xml:space="preserve">’</w:t>
      </w:r>
      <w:r>
        <w:t xml:space="preserve"> </w:t>
      </w:r>
      <w:r>
        <w:t xml:space="preserve">the human experience in the past, and how it is a representation of the past</w:t>
      </w:r>
      <w:r>
        <w:t xml:space="preserve"> </w:t>
      </w:r>
      <w:r>
        <w:t xml:space="preserve">(cf. Pearson 1998)</w:t>
      </w:r>
      <w:r>
        <w:t xml:space="preserve">. Third, the code has to be successfully executed to generate a useful result, just as claims about the past have to be successfully engaged with archaeological evidence to count as plausible.</w:t>
      </w:r>
    </w:p>
    <w:p>
      <w:pPr>
        <w:pStyle w:val="BodyText"/>
      </w:pPr>
      <w:r>
        <w:t xml:space="preserve">We do not claim that a Kuhnian paradigm-change is happening in ecology or archaeology: Data- and method-sharing behaviours have been around in archaeology before now</w:t>
      </w:r>
      <w:r>
        <w:t xml:space="preserve"> </w:t>
      </w:r>
      <w:r>
        <w:t xml:space="preserve">(Lodwick 2019)</w:t>
      </w:r>
      <w:r>
        <w:t xml:space="preserve"> </w:t>
      </w:r>
      <w:r>
        <w:t xml:space="preserve">and do not present newly incommensurate ways of thinking about the subject, in the way that a typical reading of Kuhn’s paradigm change concept should. Indeed, social science disciplines such as archaeology may not even be easily susceptible to classical Kuhnian paradigm shifts. This is because high-power tests (i.e. statistical tests with high probabilities of rejecting false null hypotheses) capable of distinguishing between superior and inferior paradigms are rare in the social sciences, such as economics</w:t>
      </w:r>
      <w:r>
        <w:t xml:space="preserve"> </w:t>
      </w:r>
      <w:r>
        <w:t xml:space="preserve">(Ioannidis et al. 2017)</w:t>
      </w:r>
      <w:r>
        <w:t xml:space="preserve">, compared to the physical sciences. Modelling and case studies described by</w:t>
      </w:r>
      <w:r>
        <w:t xml:space="preserve"> </w:t>
      </w:r>
      <w:r>
        <w:t xml:space="preserve">Akerlof et al. (2018)</w:t>
      </w:r>
      <w:r>
        <w:t xml:space="preserve"> </w:t>
      </w:r>
      <w:r>
        <w:t xml:space="preserve">indicate that among disciplines lacking evidence to routinely strongly discriminate between theories, the chances of getting trapped in an inferior paradigm are high. In this situation, true theories may not be adopted at all and the field is at risk of being captured by false paradigms.</w:t>
      </w:r>
    </w:p>
    <w:p>
      <w:pPr>
        <w:pStyle w:val="BodyText"/>
      </w:pPr>
      <w:r>
        <w:t xml:space="preserve">Although a discipline-wide paradigm shift might be off the table for archaeology, there is a need for methods to share research in a way that is reproducible for others, and that archaeologists are actively exploring tools to make this possible. Our results show that scripting languages and data repositories to share the scripts is a solution that enjoys increasing popularity in the archaeological research community</w:t>
      </w:r>
      <w:r>
        <w:t xml:space="preserve"> </w:t>
      </w:r>
      <w:r>
        <w:t xml:space="preserve">(cf. Marwick &amp; Birch 2018)</w:t>
      </w:r>
      <w:r>
        <w:t xml:space="preserve">. It has also expanded the</w:t>
      </w:r>
      <w:r>
        <w:t xml:space="preserve"> </w:t>
      </w:r>
      <w:r>
        <w:t xml:space="preserve">‘</w:t>
      </w:r>
      <w:r>
        <w:t xml:space="preserve">trading zone</w:t>
      </w:r>
      <w:r>
        <w:t xml:space="preserve">’</w:t>
      </w:r>
      <w:r>
        <w:t xml:space="preserve"> </w:t>
      </w:r>
      <w:r>
        <w:t xml:space="preserve">(Galison 1997)</w:t>
      </w:r>
      <w:r>
        <w:t xml:space="preserve"> </w:t>
      </w:r>
      <w:r>
        <w:t xml:space="preserve">where archaeologists collaborate with specialists in other fields to develop a shared language to get things done. In using scripting languages, archaeologists are working at a trading zone with computer scientists and computational researchers in other fields to coordinate how tools from one domain can be useful in another. Other examples of archaeologists in trading zones include the use of GIS, network methods, agent-based models, isotope analysis, remote sensing, and DNA analysis to answer archaeological questions. Archaeologists’ embrace of these methods may also count as tool-driven revolutions. However, what makes the use of code unique as a tool-driven revolution is that coding is transcendental, it is an universal method with which we can do all, or which can be central to any, of those previously-mentioned approaches. That is why we believe archaeologists should adopt scripted workflows regardless of their usual toolkit and methodological interests.</w:t>
      </w:r>
    </w:p>
    <w:p>
      <w:pPr>
        <w:pStyle w:val="Heading2"/>
      </w:pPr>
      <w:bookmarkStart w:id="39" w:name="making-it-easier"/>
      <w:r>
        <w:t xml:space="preserve">6.1 Making it easier</w:t>
      </w:r>
      <w:bookmarkEnd w:id="39"/>
    </w:p>
    <w:p>
      <w:pPr>
        <w:pStyle w:val="FirstParagraph"/>
      </w:pPr>
      <w:r>
        <w:t xml:space="preserve">We acknowledge that learning to use code, if one has not received formal instruction, is not an easy task. A certain familiarity with the computational tools is required to be able to use them not just on a technological basis, but creatively and in full knowledge of their restrictions and ambiguities</w:t>
      </w:r>
      <w:r>
        <w:t xml:space="preserve"> </w:t>
      </w:r>
      <w:r>
        <w:t xml:space="preserve">(Papadopoulos et al. 2012)</w:t>
      </w:r>
      <w:r>
        <w:t xml:space="preserve">. The awareness and the appropriate handling of shortcomings and contexts of the data used in an analysis is also a time- and thought-consuming effort. This effort is required at the beginning of each archaeological research project, and which may be exacerbated by using multiple data sets from varying sources</w:t>
      </w:r>
      <w:r>
        <w:t xml:space="preserve"> </w:t>
      </w:r>
      <w:r>
        <w:t xml:space="preserve">(cf. Huggett 2015)</w:t>
      </w:r>
      <w:r>
        <w:t xml:space="preserve">.</w:t>
      </w:r>
    </w:p>
    <w:p>
      <w:pPr>
        <w:pStyle w:val="BodyText"/>
      </w:pPr>
      <w:r>
        <w:t xml:space="preserve">As with data, preparing code to make it publicly available takes time to ensure that it is fit for others to read and use. Our casual observations of the ways in which archaeologists are using and sharing code show a high degree of variability in code style and organisation, indicating that currently most archaeologists are independently solving problems of how to write and share code through trial and error. We can use concepts from cultural evolution to understand this situation: learning by trial and error is known as guided variation in a cultural evolutionary framework. The dominance of guided variation suggests that using code is not yet widespread enough among archaeologists to propagate due to frequency-dependent biases. Frequency-dependent biases occur when people copy the most abundant variant, in this case the most commonly used tool for analysing data, in the population</w:t>
      </w:r>
      <w:r>
        <w:t xml:space="preserve"> </w:t>
      </w:r>
      <w:r>
        <w:t xml:space="preserve">(cf. Boyd et al. 1988)</w:t>
      </w:r>
      <w:r>
        <w:t xml:space="preserve">. It also suggests that the professional benefits (i.e. the citation effects we describe above) are not yet widely known for code use to propagate due to content biases. Content biases result when some aspect of a variant’s content, such as positive citation effects, makes it more likely to be adopted. Finally there may not yet enough highly-visible, prestigous researchers using code for this behaviour due to propagate due to model-based biases</w:t>
      </w:r>
      <w:r>
        <w:t xml:space="preserve"> </w:t>
      </w:r>
      <w:r>
        <w:t xml:space="preserve">(Rendell et al. 2011; Boyd et al. 1988; Henrich et al. 2007)</w:t>
      </w:r>
      <w:r>
        <w:t xml:space="preserve">. This bias is based on imitation of highly prestigous, skilled or successful individuals. Considering the high variability of code using cultural evolutionary concepts, we conclude that there is unrealised potential to improve the efficiency of using and code in archaeology, firstly by converging on some widely-agreed upon conventions that will save researcher’s time, and secondly by investing effort in communicating the professional benefits of using code.</w:t>
      </w:r>
    </w:p>
    <w:p>
      <w:pPr>
        <w:pStyle w:val="BodyText"/>
      </w:pPr>
      <w:r>
        <w:t xml:space="preserve">Our contribution to improving the efficiency of using and sharing code is the R package rrtools (</w:t>
      </w:r>
      <w:r>
        <w:t xml:space="preserve">‘</w:t>
      </w:r>
      <w:r>
        <w:t xml:space="preserve">reproducible research tools</w:t>
      </w:r>
      <w:r>
        <w:t xml:space="preserve">’</w:t>
      </w:r>
      <w:r>
        <w:t xml:space="preserve">,</w:t>
      </w:r>
      <w:r>
        <w:t xml:space="preserve"> </w:t>
      </w:r>
      <w:hyperlink r:id="rId40">
        <w:r>
          <w:rPr>
            <w:rStyle w:val="Hyperlink"/>
          </w:rPr>
          <w:t xml:space="preserve">https://github.com/benmarwick/rrtools</w:t>
        </w:r>
      </w:hyperlink>
      <w:r>
        <w:t xml:space="preserve">). This package is the result of our analysis of existing practices among archaeologists and other researchers, and our study of best practices and current conventions in scientific computing, described in more detail in</w:t>
      </w:r>
      <w:r>
        <w:t xml:space="preserve"> </w:t>
      </w:r>
      <w:r>
        <w:t xml:space="preserve">Marwick, Boettiger, et al. (2018)</w:t>
      </w:r>
      <w:r>
        <w:t xml:space="preserve">. The goal of rrtools is to make it easier for archaeologists and other researchers to use R for research and publication. This package aims to simplify many of the steps needed to write reproducible research papers, and to guide users to best practices with minimal effort. The rrtools package contains functions that create a file structure according to fundamental principles of organising files for research. For example, we keep the data separate from the methods. This means keep the code in a separate directory to the data. We keep the raw data (i.e. field-collected and instrument output) separate from data that is created or derived during the analysis. These two basic principles make it easy to stay organised during a complicated project, and make it easier for a reader to navigate their way through the compendium of files that are shared with the publication. At the heart of the project template provided by rrtools is an RMarkdown document. This is where the report or journal manuscript is written. RMarkdown is a document format that allows the author to combine plain text, R code, and automation of all the usual details of scholarly writing such as citations, captions, and cross-references to tables and figures</w:t>
      </w:r>
      <w:r>
        <w:t xml:space="preserve"> </w:t>
      </w:r>
      <w:r>
        <w:t xml:space="preserve">(Xie et al. 2018)</w:t>
      </w:r>
      <w:r>
        <w:t xml:space="preserve">. The unique concept of RMarkdown is that the R code contained in the document will generate the statistical figures and tables when the document is executed (or rendered) into output such as PDF, MS Word or an HTML file.</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fields</w:t>
      </w:r>
      <w:r>
        <w:t xml:space="preserve"> </w:t>
      </w:r>
      <w:r>
        <w:t xml:space="preserve">(e.g. Wilson et al. 2017)</w:t>
      </w:r>
      <w:r>
        <w:t xml:space="preserve">. We will focus here on the first five, as these are most relevant to most researchers:</w:t>
      </w:r>
    </w:p>
    <w:p>
      <w:pPr>
        <w:pStyle w:val="Compact"/>
        <w:numPr>
          <w:numId w:val="1001"/>
          <w:ilvl w:val="0"/>
        </w:numPr>
      </w:pPr>
      <w:r>
        <w:rPr>
          <w:b/>
        </w:rPr>
        <w:t xml:space="preserve">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w:t>
      </w:r>
      <w:r>
        <w:t xml:space="preserve"> </w:t>
      </w:r>
      <w:r>
        <w:t xml:space="preserve">(Wickham 2015)</w:t>
      </w:r>
      <w:r>
        <w:t xml:space="preserve">. This means that people know where to look for code, where to look for data, and where to look for dependencies and other information.</w:t>
      </w:r>
      <w:r>
        <w:br w:type="textWrapping"/>
      </w:r>
    </w:p>
    <w:p>
      <w:pPr>
        <w:pStyle w:val="Compact"/>
        <w:numPr>
          <w:numId w:val="1001"/>
          <w:ilvl w:val="0"/>
        </w:numPr>
      </w:pPr>
      <w:r>
        <w:rPr>
          <w:b/>
        </w:rPr>
        <w:t xml:space="preserve">use_mit_license:</w:t>
      </w:r>
      <w:r>
        <w:t xml:space="preserve"> </w:t>
      </w:r>
      <w:r>
        <w:t xml:space="preserve">This function creates a copy of the MIT software license to the compendium. Other licenses are also possible, such as GPL, but the MIT license is preferred because it is widely used for research software because of its two important qualities. First, it tells the reader that the author is happy for their code to be reused by others, both in academic and commercial contexts.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use_github:</w:t>
      </w:r>
      <w:r>
        <w:t xml:space="preserve"> </w:t>
      </w:r>
      <w:r>
        <w:t xml:space="preserve">This will initiate the use of the Git version control system. This is the current state-of-the-art for version control of any kind of plain text file, including text, code, data, and images</w:t>
      </w:r>
      <w:r>
        <w:t xml:space="preserve"> </w:t>
      </w:r>
      <w:r>
        <w:t xml:space="preserve">(Jones 2013)</w:t>
      </w:r>
      <w:r>
        <w:t xml:space="preserve">. This will also create a repository on the GitHub website. Using version control is important because it allows the author to time-travel back to earlier states of their analysis, if they take a dead-end path</w:t>
      </w:r>
      <w:r>
        <w:t xml:space="preserve"> </w:t>
      </w:r>
      <w:r>
        <w:t xml:space="preserve">(Ram 2013)</w:t>
      </w:r>
      <w:r>
        <w:t xml:space="preserve">. It is also makes collaboration smooth because many people can work on one set of files without losing track of the most recent version. Plus it serves as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 and engage with it if they want to make changes (e.g. if a reader finds a mistake that needs to be fixed).</w:t>
      </w:r>
    </w:p>
    <w:p>
      <w:pPr>
        <w:pStyle w:val="Compact"/>
        <w:numPr>
          <w:numId w:val="1001"/>
          <w:ilvl w:val="0"/>
        </w:numPr>
      </w:pPr>
      <w:r>
        <w:rPr>
          <w:b/>
        </w:rPr>
        <w:t xml:space="preserve">use_analysis:</w:t>
      </w:r>
      <w:r>
        <w:t xml:space="preserve"> </w:t>
      </w:r>
      <w:r>
        <w:t xml:space="preserve">This function creates a set of folders according to the best practices for organising a typical research project</w:t>
      </w:r>
      <w:r>
        <w:t xml:space="preserve"> </w:t>
      </w:r>
      <w:r>
        <w:t xml:space="preserve">(Wilson et al. 2017; Noble 2009)</w:t>
      </w:r>
      <w:r>
        <w:t xml:space="preserve">. We recognise that this file structure wont be perfect for every project. But our observations show that it is in wide use, and will suit most projects well. It will at least make the user think about how to organise their project logically, and to make it easier for others to navigate.</w:t>
      </w:r>
    </w:p>
    <w:p>
      <w:pPr>
        <w:pStyle w:val="Heading1"/>
      </w:pPr>
      <w:bookmarkStart w:id="41" w:name="conclusion"/>
      <w:r>
        <w:t xml:space="preserve">7. Conclusion</w:t>
      </w:r>
      <w:bookmarkEnd w:id="41"/>
    </w:p>
    <w:p>
      <w:pPr>
        <w:pStyle w:val="FirstParagraph"/>
      </w:pPr>
      <w:r>
        <w:t xml:space="preserve">Starting with the discussion of Kuhn’s influential work on paradigm shifts in science</w:t>
      </w:r>
      <w:r>
        <w:t xml:space="preserve"> </w:t>
      </w:r>
      <w:r>
        <w:t xml:space="preserve">(Kuhn 1962)</w:t>
      </w:r>
      <w:r>
        <w:t xml:space="preserve">, we took inspiration from</w:t>
      </w:r>
      <w:r>
        <w:t xml:space="preserve"> </w:t>
      </w:r>
      <w:r>
        <w:t xml:space="preserve">Galison (1997)</w:t>
      </w:r>
      <w:r>
        <w:t xml:space="preserve"> </w:t>
      </w:r>
      <w:r>
        <w:t xml:space="preserve">to propose a another explanation of how changes occurs in research communities, emphasising the transformative role of tools. The change we focus on is the use of scripts to document and communicate data analysis. This change will increase the computational reproducibility of archaeology, helping the discipline adhere more closely to the core values of science. The tool with the highest potential to achieve this currently is the R programming language. However, we realise that this will change in time, and in the future newer technologies may replace R. The key point here is that this transformative tool is any open source scripting language.</w:t>
      </w:r>
    </w:p>
    <w:p>
      <w:pPr>
        <w:pStyle w:val="BodyText"/>
      </w:pPr>
      <w:r>
        <w:t xml:space="preserve">We have presented a bibliometric analysis that reveals substantial change in the use of the R programming languages in ecology. Citations patterns show that ecological and evolutionary sciences have strongly embraced R in their publications. Archaeologists have more recently taken up R, but to a much lesser degree, so far, than what we see in the other fields, and most commonly in more scientific aspects of archaeology. We identified an advantage of citing R for researchers as it leads to being referenced more often. We also identified a small, but increasing, set of archaeology papers that use R to make their work fully transparent and reproducible by others. In reflecting on these results, we have noted the technicity of coding in how it mediates between humans, nature and technology. We’ve proposed that the increasing adoption of coding among archaeologists is a form of active boundary work, shifting the boundary between scientific and unscientific archaeology, and is developing a trading zone between archaeologists and programming specialists such as computer scientists and software engineers as they search for useful tools. Many useful tools have already emerged from this trading zone, including our R package, rrtools, designed to make it easy for researchers to make their research reproducible. We hope this will help to realise some of the potential to make archaeological research more open and reproducible, both within the research community and to the public, as well as speeding the transfer of new results and methods throughout the research community without barriers due to access to resources. Tools emerging from the trading zone are important because they support practices of archaeology that are more faithful to the core values of science.</w:t>
      </w:r>
    </w:p>
    <w:p>
      <w:pPr>
        <w:pStyle w:val="BodyText"/>
      </w:pPr>
      <w:r>
        <w:t xml:space="preserve">We have outlined a positive future for archaeology where research publications are accompanied by code and data, enabling a</w:t>
      </w:r>
      <w:r>
        <w:t xml:space="preserve"> </w:t>
      </w:r>
      <w:r>
        <w:t xml:space="preserve">‘</w:t>
      </w:r>
      <w:r>
        <w:t xml:space="preserve">critical self-consciousness</w:t>
      </w:r>
      <w:r>
        <w:t xml:space="preserve">’</w:t>
      </w:r>
      <w:r>
        <w:t xml:space="preserve"> </w:t>
      </w:r>
      <w:r>
        <w:t xml:space="preserve">at a community-wide scale, similar to that imagined by</w:t>
      </w:r>
      <w:r>
        <w:t xml:space="preserve"> </w:t>
      </w:r>
      <w:r>
        <w:t xml:space="preserve">Clarke (1973)</w:t>
      </w:r>
      <w:r>
        <w:t xml:space="preserve"> </w:t>
      </w:r>
      <w:r>
        <w:t xml:space="preserve">as part of the discipline’s</w:t>
      </w:r>
      <w:r>
        <w:t xml:space="preserve"> </w:t>
      </w:r>
      <w:r>
        <w:t xml:space="preserve">‘</w:t>
      </w:r>
      <w:r>
        <w:t xml:space="preserve">loss of innocence</w:t>
      </w:r>
      <w:r>
        <w:t xml:space="preserve">’</w:t>
      </w:r>
      <w:r>
        <w:t xml:space="preserve">. A characteristic of this stage of disciplinary maturity is</w:t>
      </w:r>
      <w:r>
        <w:t xml:space="preserve"> </w:t>
      </w:r>
      <w:r>
        <w:t xml:space="preserve">‘</w:t>
      </w:r>
      <w:r>
        <w:t xml:space="preserve">a closer understanding of its internal structure</w:t>
      </w:r>
      <w:r>
        <w:t xml:space="preserve">’</w:t>
      </w:r>
      <w:r>
        <w:t xml:space="preserve"> </w:t>
      </w:r>
      <w:r>
        <w:t xml:space="preserve">(Clarke 1973: 7)</w:t>
      </w:r>
      <w:r>
        <w:t xml:space="preserve">, and we can think of no more efficient and intelligible way to communicate the internals of archaeological analyses to other members of the discipline than by encoding the assumptions, logic, and calculations in scripts of an open source programming language. If we accept that that is necessary for the future of the discipline, we must confront two implications. First is the shortage of incentives to motivate the use and sharing of code. Our observation is that many researchers will not change unless required to by gate-keepers at prestigious journals and funding sources. In other research communities we see people in these gate-keeping roles (e.g. in over 5,000 journals and professional organizations) effecting change by adopting the Transparency and Openness Promotion Guidelines that establish community standards of code and data availability that help to align scientific ideals with disciplinary practices</w:t>
      </w:r>
      <w:r>
        <w:t xml:space="preserve"> </w:t>
      </w:r>
      <w:r>
        <w:t xml:space="preserve">(B. A. Nosek et al. 2015)</w:t>
      </w:r>
      <w:r>
        <w:t xml:space="preserve">. Simple forms of signalling, such as badges on papers to indicate that the authors have made code and data available, may also help to shift norms and raise awareness of these desirable behaviours</w:t>
      </w:r>
      <w:r>
        <w:t xml:space="preserve"> </w:t>
      </w:r>
      <w:r>
        <w:t xml:space="preserve">(Kidwell et al. 2016)</w:t>
      </w:r>
      <w:r>
        <w:t xml:space="preserve">.</w:t>
      </w:r>
    </w:p>
    <w:p>
      <w:pPr>
        <w:pStyle w:val="BodyText"/>
      </w:pPr>
      <w:r>
        <w:t xml:space="preserve">However, cultural change on a community-wide scale, such as a shift to the wide-spread use of code among archaeologists, is most likely to happen via the slow enculturation of professionals as they internalize norms during their formative years, and not via contemporaneous exposure to external cultural influences</w:t>
      </w:r>
      <w:r>
        <w:t xml:space="preserve"> </w:t>
      </w:r>
      <w:r>
        <w:t xml:space="preserve">(Vaisey et al. 2016)</w:t>
      </w:r>
      <w:r>
        <w:t xml:space="preserve">. This means it is unlikely that an established professional archaeologist reading this paper, or ones like it, will be motivated to use code if they were not trained to work with code at the start of their career. The implication here is that the most effective way to stimulate this change is during the first few years of professional training. This means updating our professional training curricula by shifting from a model of creating T-shaped researchers (where the vertical bar on the T represents the depth of specialist skills and expertise in archaeology, and the horizontal bar is the breadth of skills and knowledge of related and intersecting fields) to gamma-shaped researchers</w:t>
      </w:r>
      <w:r>
        <w:t xml:space="preserve"> </w:t>
      </w:r>
      <w:r>
        <w:t xml:space="preserve">(Fiore-Gartland 2017)</w:t>
      </w:r>
      <w:r>
        <w:t xml:space="preserve">. A gamma-shaped researcher has expert-level depth in archaeology, and proficient in other domains that provide skills such as analysing data with a programming language. A gamma-shaped researcher with their MA or PhD in archaeology may also be conversant enough in the language and culture of computer science to have conversations and collaborate in the trading zones described above, but does not need to be an expert in computer science.</w:t>
      </w:r>
    </w:p>
    <w:p>
      <w:pPr>
        <w:pStyle w:val="Heading2"/>
      </w:pPr>
      <w:bookmarkStart w:id="42" w:name="acknowledgements"/>
      <w:r>
        <w:t xml:space="preserve">Acknowledgements</w:t>
      </w:r>
      <w:bookmarkEnd w:id="42"/>
    </w:p>
    <w:p>
      <w:pPr>
        <w:pStyle w:val="FirstParagraph"/>
      </w:pPr>
      <w:r>
        <w:t xml:space="preserve">The rrtools package was developed by the 2017 Summer School on Reproducible Research in Landscape Archaeology group at the Freie Universität Berlin (17-21 July). This was funded and jointly organized by Excellence Cluster 264 Topoi, the Collaborative Research Center 1266, and ISAAKiel. A version of this paper was previously presented at the 2018 Computer Applications and Quantitative Methods in Archaeology (CAA) international conference at Tubingen, Germany. Early drafts were improved at the Cologne writing workshop in September 2018, which was supported by the COST Action Arkwork: Archaeological Practices and Knowledge Work in the Digital Environment.</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193" w:name="refs"/>
    <w:bookmarkStart w:id="45" w:name="ref-Abari2012"/>
    <w:p>
      <w:pPr>
        <w:pStyle w:val="FirstParagraph"/>
      </w:pPr>
      <w:r>
        <w:t xml:space="preserve">Abari, K. 2012. Reproducible research in speech sciences.</w:t>
      </w:r>
      <w:r>
        <w:t xml:space="preserve"> </w:t>
      </w:r>
      <w:r>
        <w:rPr>
          <w:i/>
        </w:rPr>
        <w:t xml:space="preserve">International Journal of Computer Science Issues</w:t>
      </w:r>
      <w:r>
        <w:t xml:space="preserve"> </w:t>
      </w:r>
      <w:r>
        <w:t xml:space="preserve">9(6): 43–52.</w:t>
      </w:r>
    </w:p>
    <w:bookmarkEnd w:id="45"/>
    <w:bookmarkStart w:id="47" w:name="ref-Akerlof_Michaillat_2018"/>
    <w:p>
      <w:pPr>
        <w:pStyle w:val="BodyText"/>
      </w:pPr>
      <w:r>
        <w:t xml:space="preserve">Akerlof, G.A., &amp; Michaillat, P. 2018. Persistence of false paradigms in low-power sciences.</w:t>
      </w:r>
      <w:r>
        <w:t xml:space="preserve"> </w:t>
      </w:r>
      <w:r>
        <w:rPr>
          <w:i/>
        </w:rPr>
        <w:t xml:space="preserve">Proceedings of the National Academy of Sciences</w:t>
      </w:r>
      <w:r>
        <w:t xml:space="preserve"> </w:t>
      </w:r>
      <w:r>
        <w:t xml:space="preserve">115(52): 13228–13233. DOI:</w:t>
      </w:r>
      <w:r>
        <w:t xml:space="preserve"> </w:t>
      </w:r>
      <w:hyperlink r:id="rId46">
        <w:r>
          <w:rPr>
            <w:rStyle w:val="Hyperlink"/>
          </w:rPr>
          <w:t xml:space="preserve">10.1073/pnas.1816454115</w:t>
        </w:r>
      </w:hyperlink>
      <w:r>
        <w:t xml:space="preserve">.</w:t>
      </w:r>
    </w:p>
    <w:bookmarkEnd w:id="47"/>
    <w:bookmarkStart w:id="49" w:name="ref-andersen2013second"/>
    <w:p>
      <w:pPr>
        <w:pStyle w:val="BodyText"/>
      </w:pPr>
      <w:r>
        <w:t xml:space="preserve">Andersen, H. 2013. The second essential tension: On tradition and innovation in interdisciplinary research.</w:t>
      </w:r>
      <w:r>
        <w:t xml:space="preserve"> </w:t>
      </w:r>
      <w:r>
        <w:rPr>
          <w:i/>
        </w:rPr>
        <w:t xml:space="preserve">Topoi</w:t>
      </w:r>
      <w:r>
        <w:t xml:space="preserve"> </w:t>
      </w:r>
      <w:r>
        <w:t xml:space="preserve">32(1): 3–8. DOI:</w:t>
      </w:r>
      <w:r>
        <w:t xml:space="preserve"> </w:t>
      </w:r>
      <w:hyperlink r:id="rId48">
        <w:r>
          <w:rPr>
            <w:rStyle w:val="Hyperlink"/>
          </w:rPr>
          <w:t xml:space="preserve">10.1007/s11245-012-9133-z</w:t>
        </w:r>
      </w:hyperlink>
      <w:r>
        <w:t xml:space="preserve">.</w:t>
      </w:r>
    </w:p>
    <w:bookmarkEnd w:id="49"/>
    <w:bookmarkStart w:id="51" w:name="ref-bailey2016facilitating"/>
    <w:p>
      <w:pPr>
        <w:pStyle w:val="BodyText"/>
      </w:pPr>
      <w:r>
        <w:t xml:space="preserve">Bailey, D.H., Borwein, J.M., &amp; Stodden, V. 2016. Facilitating reproducibility in scientific computing: Principles and practice. In: H. Atmanspacher &amp; S. Maasen (eds)</w:t>
      </w:r>
      <w:r>
        <w:t xml:space="preserve"> </w:t>
      </w:r>
      <w:r>
        <w:rPr>
          <w:i/>
        </w:rPr>
        <w:t xml:space="preserve">Reproducibility: Principles, Problems, Practices</w:t>
      </w:r>
      <w:r>
        <w:t xml:space="preserve">, Wiley Online Library DOI:</w:t>
      </w:r>
      <w:r>
        <w:t xml:space="preserve"> </w:t>
      </w:r>
      <w:hyperlink r:id="rId50">
        <w:r>
          <w:rPr>
            <w:rStyle w:val="Hyperlink"/>
          </w:rPr>
          <w:t xml:space="preserve">10.1002/9781118865064.ch9</w:t>
        </w:r>
      </w:hyperlink>
      <w:r>
        <w:t xml:space="preserve">.</w:t>
      </w:r>
    </w:p>
    <w:bookmarkEnd w:id="51"/>
    <w:bookmarkStart w:id="53" w:name="ref-Baker_2017"/>
    <w:p>
      <w:pPr>
        <w:pStyle w:val="BodyText"/>
      </w:pPr>
      <w:r>
        <w:t xml:space="preserve">Baker, M. 2017. Scientific computing: Code alert.</w:t>
      </w:r>
      <w:r>
        <w:t xml:space="preserve"> </w:t>
      </w:r>
      <w:r>
        <w:rPr>
          <w:i/>
        </w:rPr>
        <w:t xml:space="preserve">Nature</w:t>
      </w:r>
      <w:r>
        <w:t xml:space="preserve"> </w:t>
      </w:r>
      <w:r>
        <w:t xml:space="preserve">541(7638): 563–565. DOI:</w:t>
      </w:r>
      <w:r>
        <w:t xml:space="preserve"> </w:t>
      </w:r>
      <w:hyperlink r:id="rId52">
        <w:r>
          <w:rPr>
            <w:rStyle w:val="Hyperlink"/>
          </w:rPr>
          <w:t xml:space="preserve">10.1038/nj7638-563a</w:t>
        </w:r>
      </w:hyperlink>
      <w:r>
        <w:t xml:space="preserve">.</w:t>
      </w:r>
    </w:p>
    <w:bookmarkEnd w:id="53"/>
    <w:bookmarkStart w:id="55" w:name="ref-Barnes2010"/>
    <w:p>
      <w:pPr>
        <w:pStyle w:val="BodyText"/>
      </w:pPr>
      <w:r>
        <w:t xml:space="preserve">Barnes, N. 2010. Publish your computer code: It is good enough.</w:t>
      </w:r>
      <w:r>
        <w:t xml:space="preserve"> </w:t>
      </w:r>
      <w:r>
        <w:rPr>
          <w:i/>
        </w:rPr>
        <w:t xml:space="preserve">Nature News</w:t>
      </w:r>
      <w:r>
        <w:t xml:space="preserve"> </w:t>
      </w:r>
      <w:r>
        <w:t xml:space="preserve">467(7317): 753–753. DOI:</w:t>
      </w:r>
      <w:r>
        <w:t xml:space="preserve"> </w:t>
      </w:r>
      <w:hyperlink r:id="rId54">
        <w:r>
          <w:rPr>
            <w:rStyle w:val="Hyperlink"/>
          </w:rPr>
          <w:t xml:space="preserve">10.1038/467753a</w:t>
        </w:r>
      </w:hyperlink>
      <w:r>
        <w:t xml:space="preserve"> </w:t>
      </w:r>
      <w:r>
        <w:t xml:space="preserve">[Accessed May 17, 2015].</w:t>
      </w:r>
    </w:p>
    <w:bookmarkEnd w:id="55"/>
    <w:bookmarkStart w:id="56" w:name="ref-Baumer2014"/>
    <w:p>
      <w:pPr>
        <w:pStyle w:val="BodyText"/>
      </w:pPr>
      <w:r>
        <w:t xml:space="preserve">Baumer, B., Cetinkaya-Rundel, M., Bray, A., Loi, L., &amp; Horton, N.J. 2014. R markdown: Integrating a reproducible analysis tool into introductory statistics.</w:t>
      </w:r>
      <w:r>
        <w:t xml:space="preserve"> </w:t>
      </w:r>
      <w:r>
        <w:rPr>
          <w:i/>
        </w:rPr>
        <w:t xml:space="preserve">Technology Innovations in Statistics Education</w:t>
      </w:r>
      <w:r>
        <w:t xml:space="preserve"> </w:t>
      </w:r>
      <w:r>
        <w:t xml:space="preserve">8(1).</w:t>
      </w:r>
    </w:p>
    <w:bookmarkEnd w:id="56"/>
    <w:bookmarkStart w:id="58" w:name="ref-bayliss2009rolling"/>
    <w:p>
      <w:pPr>
        <w:pStyle w:val="BodyText"/>
      </w:pPr>
      <w:r>
        <w:t xml:space="preserve">Bayliss, A. 2009. Rolling out revolution: Using radiocarbon dating in archaeology.</w:t>
      </w:r>
      <w:r>
        <w:t xml:space="preserve"> </w:t>
      </w:r>
      <w:r>
        <w:rPr>
          <w:i/>
        </w:rPr>
        <w:t xml:space="preserve">Radiocarbon</w:t>
      </w:r>
      <w:r>
        <w:t xml:space="preserve"> </w:t>
      </w:r>
      <w:r>
        <w:t xml:space="preserve">51(1): 123–147. DOI:</w:t>
      </w:r>
      <w:r>
        <w:t xml:space="preserve"> </w:t>
      </w:r>
      <w:hyperlink r:id="rId57">
        <w:r>
          <w:rPr>
            <w:rStyle w:val="Hyperlink"/>
          </w:rPr>
          <w:t xml:space="preserve">10.1017/S0033822200033750</w:t>
        </w:r>
      </w:hyperlink>
      <w:r>
        <w:t xml:space="preserve">.</w:t>
      </w:r>
    </w:p>
    <w:bookmarkEnd w:id="58"/>
    <w:bookmarkStart w:id="59" w:name="ref-boyd1988culture"/>
    <w:p>
      <w:pPr>
        <w:pStyle w:val="BodyText"/>
      </w:pPr>
      <w:r>
        <w:t xml:space="preserve">Boyd, R., &amp; Richerson, P.J. 1988.</w:t>
      </w:r>
      <w:r>
        <w:t xml:space="preserve"> </w:t>
      </w:r>
      <w:r>
        <w:rPr>
          <w:i/>
        </w:rPr>
        <w:t xml:space="preserve">Culture and the evolutionary process</w:t>
      </w:r>
      <w:r>
        <w:t xml:space="preserve">. University of Chicago Press.</w:t>
      </w:r>
    </w:p>
    <w:bookmarkEnd w:id="59"/>
    <w:bookmarkStart w:id="61" w:name="ref-Bray2014"/>
    <w:p>
      <w:pPr>
        <w:pStyle w:val="BodyText"/>
      </w:pPr>
      <w:r>
        <w:t xml:space="preserve">Bray, A., Çetinkaya-Rundel, M., &amp; Stangl, D. 2014. Taking a chance in the classroom: Five concrete reasons your students should be learning to analyze data in the reproducible paradigm.</w:t>
      </w:r>
      <w:r>
        <w:t xml:space="preserve"> </w:t>
      </w:r>
      <w:r>
        <w:rPr>
          <w:i/>
        </w:rPr>
        <w:t xml:space="preserve">chance</w:t>
      </w:r>
      <w:r>
        <w:t xml:space="preserve"> </w:t>
      </w:r>
      <w:r>
        <w:t xml:space="preserve">27(3): 53–56. DOI:</w:t>
      </w:r>
      <w:r>
        <w:t xml:space="preserve"> </w:t>
      </w:r>
      <w:hyperlink r:id="rId60">
        <w:r>
          <w:rPr>
            <w:rStyle w:val="Hyperlink"/>
          </w:rPr>
          <w:t xml:space="preserve">10.1080/09332480.2014.965635</w:t>
        </w:r>
      </w:hyperlink>
      <w:r>
        <w:t xml:space="preserve"> </w:t>
      </w:r>
      <w:r>
        <w:t xml:space="preserve">[Accessed November 24, 2014].</w:t>
      </w:r>
    </w:p>
    <w:bookmarkEnd w:id="61"/>
    <w:bookmarkStart w:id="63" w:name="ref-brinckman2019computing"/>
    <w:p>
      <w:pPr>
        <w:pStyle w:val="BodyText"/>
      </w:pPr>
      <w:r>
        <w:t xml:space="preserve">Brinckman, A. et al. 2019. Computing environments for reproducibility: Capturing the ‘whole tale’.</w:t>
      </w:r>
      <w:r>
        <w:t xml:space="preserve"> </w:t>
      </w:r>
      <w:r>
        <w:rPr>
          <w:i/>
        </w:rPr>
        <w:t xml:space="preserve">Future Generation Computer Systems</w:t>
      </w:r>
      <w:r>
        <w:t xml:space="preserve"> </w:t>
      </w:r>
      <w:r>
        <w:t xml:space="preserve">94: 854–867. DOI:</w:t>
      </w:r>
      <w:r>
        <w:t xml:space="preserve"> </w:t>
      </w:r>
      <w:hyperlink r:id="rId62">
        <w:r>
          <w:rPr>
            <w:rStyle w:val="Hyperlink"/>
          </w:rPr>
          <w:t xml:space="preserve">10.1016/j.future.2017.12.029</w:t>
        </w:r>
      </w:hyperlink>
      <w:r>
        <w:t xml:space="preserve">.</w:t>
      </w:r>
    </w:p>
    <w:bookmarkEnd w:id="63"/>
    <w:bookmarkStart w:id="64" w:name="ref-burnham2003model"/>
    <w:p>
      <w:pPr>
        <w:pStyle w:val="BodyText"/>
      </w:pPr>
      <w:r>
        <w:t xml:space="preserve">Burnham, K.P., &amp; Anderson, D.R. 2003.</w:t>
      </w:r>
      <w:r>
        <w:t xml:space="preserve"> </w:t>
      </w:r>
      <w:r>
        <w:rPr>
          <w:i/>
        </w:rPr>
        <w:t xml:space="preserve">Model selection and multimodel inference: A practical information-theoretic approach</w:t>
      </w:r>
      <w:r>
        <w:t xml:space="preserve">. Springer Science &amp; Business Media.</w:t>
      </w:r>
    </w:p>
    <w:bookmarkEnd w:id="64"/>
    <w:bookmarkStart w:id="66" w:name="ref-Casadevalle00158_16"/>
    <w:p>
      <w:pPr>
        <w:pStyle w:val="BodyText"/>
      </w:pPr>
      <w:r>
        <w:t xml:space="preserve">Casadevall, A., &amp; Fang, F.C. 2016. Revolutionary science.</w:t>
      </w:r>
      <w:r>
        <w:t xml:space="preserve"> </w:t>
      </w:r>
      <w:r>
        <w:rPr>
          <w:i/>
        </w:rPr>
        <w:t xml:space="preserve">mBio</w:t>
      </w:r>
      <w:r>
        <w:t xml:space="preserve"> </w:t>
      </w:r>
      <w:r>
        <w:t xml:space="preserve">7(2). DOI:</w:t>
      </w:r>
      <w:r>
        <w:t xml:space="preserve"> </w:t>
      </w:r>
      <w:hyperlink r:id="rId65">
        <w:r>
          <w:rPr>
            <w:rStyle w:val="Hyperlink"/>
          </w:rPr>
          <w:t xml:space="preserve">10.1128/mBio.00158-16</w:t>
        </w:r>
      </w:hyperlink>
      <w:r>
        <w:t xml:space="preserve">.</w:t>
      </w:r>
    </w:p>
    <w:bookmarkEnd w:id="66"/>
    <w:bookmarkStart w:id="67" w:name="ref-cassirer_form_1930"/>
    <w:p>
      <w:pPr>
        <w:pStyle w:val="BodyText"/>
      </w:pPr>
      <w:r>
        <w:t xml:space="preserve">Cassirer, E. 2004. Form und technik. In:</w:t>
      </w:r>
      <w:r>
        <w:t xml:space="preserve"> </w:t>
      </w:r>
      <w:r>
        <w:rPr>
          <w:i/>
        </w:rPr>
        <w:t xml:space="preserve">Gesammelte werke. Hamburger ausgabe, band 17: Aufsätze und kleine schriften (1927–1931)</w:t>
      </w:r>
      <w:r>
        <w:t xml:space="preserve">, Hamburg: Felix Meiner Verlag</w:t>
      </w:r>
    </w:p>
    <w:bookmarkEnd w:id="67"/>
    <w:bookmarkStart w:id="69" w:name="ref-chase2012geospatial"/>
    <w:p>
      <w:pPr>
        <w:pStyle w:val="BodyText"/>
      </w:pPr>
      <w:r>
        <w:t xml:space="preserve">Chase, A.F., Chase, D.Z., Fisher, C.T., Leisz, S.J., &amp; Weishampel, J.F. 2012. Geospatial revolution and remote sensing LiDAR in Mesoamerican archaeology.</w:t>
      </w:r>
      <w:r>
        <w:t xml:space="preserve"> </w:t>
      </w:r>
      <w:r>
        <w:rPr>
          <w:i/>
        </w:rPr>
        <w:t xml:space="preserve">Proceedings of the National Academy of Sciences</w:t>
      </w:r>
      <w:r>
        <w:t xml:space="preserve"> </w:t>
      </w:r>
      <w:r>
        <w:t xml:space="preserve">109(32): 12916–12921. DOI:</w:t>
      </w:r>
      <w:r>
        <w:t xml:space="preserve"> </w:t>
      </w:r>
      <w:hyperlink r:id="rId68">
        <w:r>
          <w:rPr>
            <w:rStyle w:val="Hyperlink"/>
          </w:rPr>
          <w:t xml:space="preserve">10.1073/pnas.1205198109</w:t>
        </w:r>
      </w:hyperlink>
      <w:r>
        <w:t xml:space="preserve">.</w:t>
      </w:r>
    </w:p>
    <w:bookmarkEnd w:id="69"/>
    <w:bookmarkStart w:id="71" w:name="ref-Clark_1993"/>
    <w:p>
      <w:pPr>
        <w:pStyle w:val="BodyText"/>
      </w:pPr>
      <w:r>
        <w:t xml:space="preserve">Clark, G.A. 1993. Paradigms in science and archaeology.</w:t>
      </w:r>
      <w:r>
        <w:t xml:space="preserve"> </w:t>
      </w:r>
      <w:r>
        <w:rPr>
          <w:i/>
        </w:rPr>
        <w:t xml:space="preserve">Journal of Archaeological Research</w:t>
      </w:r>
      <w:r>
        <w:t xml:space="preserve"> </w:t>
      </w:r>
      <w:r>
        <w:t xml:space="preserve">1(3): 203–234. DOI:</w:t>
      </w:r>
      <w:r>
        <w:t xml:space="preserve"> </w:t>
      </w:r>
      <w:hyperlink r:id="rId70">
        <w:r>
          <w:rPr>
            <w:rStyle w:val="Hyperlink"/>
          </w:rPr>
          <w:t xml:space="preserve">10.1007/BF01326535</w:t>
        </w:r>
      </w:hyperlink>
      <w:r>
        <w:t xml:space="preserve">.</w:t>
      </w:r>
    </w:p>
    <w:bookmarkEnd w:id="71"/>
    <w:bookmarkStart w:id="73" w:name="ref-clarke1973archaeology"/>
    <w:p>
      <w:pPr>
        <w:pStyle w:val="BodyText"/>
      </w:pPr>
      <w:r>
        <w:t xml:space="preserve">Clarke, D. 1973. Archaeology: The loss of innocence.</w:t>
      </w:r>
      <w:r>
        <w:t xml:space="preserve"> </w:t>
      </w:r>
      <w:r>
        <w:rPr>
          <w:i/>
        </w:rPr>
        <w:t xml:space="preserve">Antiquity</w:t>
      </w:r>
      <w:r>
        <w:t xml:space="preserve"> </w:t>
      </w:r>
      <w:r>
        <w:t xml:space="preserve">47(185): 6–18. DOI:</w:t>
      </w:r>
      <w:r>
        <w:t xml:space="preserve"> </w:t>
      </w:r>
      <w:hyperlink r:id="rId72">
        <w:r>
          <w:rPr>
            <w:rStyle w:val="Hyperlink"/>
          </w:rPr>
          <w:t xml:space="preserve">10.1017/S0003598X0003461X</w:t>
        </w:r>
      </w:hyperlink>
      <w:r>
        <w:t xml:space="preserve">.</w:t>
      </w:r>
    </w:p>
    <w:bookmarkEnd w:id="73"/>
    <w:bookmarkStart w:id="75" w:name="ref-Dafoe2014"/>
    <w:p>
      <w:pPr>
        <w:pStyle w:val="BodyText"/>
      </w:pPr>
      <w:r>
        <w:t xml:space="preserve">Dafoe, A. 2014. Science deserves better: The imperative to share complete replication files.</w:t>
      </w:r>
      <w:r>
        <w:t xml:space="preserve"> </w:t>
      </w:r>
      <w:r>
        <w:rPr>
          <w:i/>
        </w:rPr>
        <w:t xml:space="preserve">PS: Political Science &amp; Politics</w:t>
      </w:r>
      <w:r>
        <w:t xml:space="preserve"> </w:t>
      </w:r>
      <w:r>
        <w:t xml:space="preserve">47(01): 60–66. DOI:</w:t>
      </w:r>
      <w:r>
        <w:t xml:space="preserve"> </w:t>
      </w:r>
      <w:hyperlink r:id="rId74">
        <w:r>
          <w:rPr>
            <w:rStyle w:val="Hyperlink"/>
          </w:rPr>
          <w:t xml:space="preserve">10.1017/S104909651300173X</w:t>
        </w:r>
      </w:hyperlink>
      <w:r>
        <w:t xml:space="preserve"> </w:t>
      </w:r>
      <w:r>
        <w:t xml:space="preserve">[Accessed May 18, 2015].</w:t>
      </w:r>
    </w:p>
    <w:bookmarkEnd w:id="75"/>
    <w:bookmarkStart w:id="76" w:name="ref-Dyson_2000"/>
    <w:p>
      <w:pPr>
        <w:pStyle w:val="BodyText"/>
      </w:pPr>
      <w:r>
        <w:t xml:space="preserve">Dyson, F. 2000.</w:t>
      </w:r>
      <w:r>
        <w:t xml:space="preserve"> </w:t>
      </w:r>
      <w:r>
        <w:rPr>
          <w:i/>
        </w:rPr>
        <w:t xml:space="preserve">The sun, the genome, and the internet</w:t>
      </w:r>
      <w:r>
        <w:t xml:space="preserve">. Oxford University Press.</w:t>
      </w:r>
    </w:p>
    <w:bookmarkEnd w:id="76"/>
    <w:bookmarkStart w:id="78" w:name="ref-dyson2012science"/>
    <w:p>
      <w:pPr>
        <w:pStyle w:val="BodyText"/>
      </w:pPr>
      <w:r>
        <w:t xml:space="preserve">Dyson, F.J. 2012. Is science mostly driven by ideas or by tools?</w:t>
      </w:r>
      <w:r>
        <w:t xml:space="preserve"> </w:t>
      </w:r>
      <w:r>
        <w:rPr>
          <w:i/>
        </w:rPr>
        <w:t xml:space="preserve">Science</w:t>
      </w:r>
      <w:r>
        <w:t xml:space="preserve"> </w:t>
      </w:r>
      <w:r>
        <w:t xml:space="preserve">338(6113): 1426–1427. DOI:</w:t>
      </w:r>
      <w:r>
        <w:t xml:space="preserve"> </w:t>
      </w:r>
      <w:hyperlink r:id="rId77">
        <w:r>
          <w:rPr>
            <w:rStyle w:val="Hyperlink"/>
          </w:rPr>
          <w:t xml:space="preserve">10.1126/science.1232773</w:t>
        </w:r>
      </w:hyperlink>
      <w:r>
        <w:t xml:space="preserve">.</w:t>
      </w:r>
    </w:p>
    <w:bookmarkEnd w:id="78"/>
    <w:bookmarkStart w:id="80" w:name="ref-Editors_2017"/>
    <w:p>
      <w:pPr>
        <w:pStyle w:val="BodyText"/>
      </w:pPr>
      <w:r>
        <w:t xml:space="preserve">Editors. 2017. Extending transparency to code.</w:t>
      </w:r>
      <w:r>
        <w:t xml:space="preserve"> </w:t>
      </w:r>
      <w:r>
        <w:rPr>
          <w:i/>
        </w:rPr>
        <w:t xml:space="preserve">Nature Neuroscience</w:t>
      </w:r>
      <w:r>
        <w:t xml:space="preserve"> </w:t>
      </w:r>
      <w:r>
        <w:t xml:space="preserve">20(6): 761. DOI:</w:t>
      </w:r>
      <w:r>
        <w:t xml:space="preserve"> </w:t>
      </w:r>
      <w:hyperlink r:id="rId79">
        <w:r>
          <w:rPr>
            <w:rStyle w:val="Hyperlink"/>
          </w:rPr>
          <w:t xml:space="preserve">10.1038/nn.4579</w:t>
        </w:r>
      </w:hyperlink>
      <w:r>
        <w:t xml:space="preserve">.</w:t>
      </w:r>
    </w:p>
    <w:bookmarkEnd w:id="80"/>
    <w:bookmarkStart w:id="81" w:name="ref-authorguidelines_JCAA"/>
    <w:p>
      <w:pPr>
        <w:pStyle w:val="BodyText"/>
      </w:pPr>
      <w:r>
        <w:t xml:space="preserve">Editors, J. Authour guidelines journal of computer applications in archaeology.</w:t>
      </w:r>
    </w:p>
    <w:bookmarkEnd w:id="81"/>
    <w:bookmarkStart w:id="83" w:name="ref-Eglen2009"/>
    <w:p>
      <w:pPr>
        <w:pStyle w:val="BodyText"/>
      </w:pPr>
      <w:r>
        <w:t xml:space="preserve">Eglen, S.J. 2009. A quick guide to teaching R programming to computational biology students.</w:t>
      </w:r>
      <w:r>
        <w:t xml:space="preserve"> </w:t>
      </w:r>
      <w:r>
        <w:rPr>
          <w:i/>
        </w:rPr>
        <w:t xml:space="preserve">PLoS Comput Biol</w:t>
      </w:r>
      <w:r>
        <w:t xml:space="preserve"> </w:t>
      </w:r>
      <w:r>
        <w:t xml:space="preserve">5(8): e1000482. DOI:</w:t>
      </w:r>
      <w:r>
        <w:t xml:space="preserve"> </w:t>
      </w:r>
      <w:hyperlink r:id="rId82">
        <w:r>
          <w:rPr>
            <w:rStyle w:val="Hyperlink"/>
          </w:rPr>
          <w:t xml:space="preserve">10.1371/journal.pcbi.1000482</w:t>
        </w:r>
      </w:hyperlink>
      <w:r>
        <w:t xml:space="preserve"> </w:t>
      </w:r>
      <w:r>
        <w:t xml:space="preserve">[Accessed May 18, 2015].</w:t>
      </w:r>
    </w:p>
    <w:bookmarkEnd w:id="83"/>
    <w:bookmarkStart w:id="84" w:name="ref-Fiore_Gartland_2017"/>
    <w:p>
      <w:pPr>
        <w:pStyle w:val="BodyText"/>
      </w:pPr>
      <w:r>
        <w:t xml:space="preserve">Fiore-Gartland, B. 2017. Hacked ethnographic fieldnotes.</w:t>
      </w:r>
    </w:p>
    <w:bookmarkEnd w:id="84"/>
    <w:bookmarkStart w:id="86" w:name="ref-Fuller_2010"/>
    <w:p>
      <w:pPr>
        <w:pStyle w:val="BodyText"/>
      </w:pPr>
      <w:r>
        <w:t xml:space="preserve">Fuller, D.Q. 2010. An emerging paradigm shift in the origins of agriculture.</w:t>
      </w:r>
      <w:r>
        <w:t xml:space="preserve"> </w:t>
      </w:r>
      <w:r>
        <w:rPr>
          <w:i/>
        </w:rPr>
        <w:t xml:space="preserve">General Anthropology</w:t>
      </w:r>
      <w:r>
        <w:t xml:space="preserve"> </w:t>
      </w:r>
      <w:r>
        <w:t xml:space="preserve">17(2): 1–12. DOI:</w:t>
      </w:r>
      <w:r>
        <w:t xml:space="preserve"> </w:t>
      </w:r>
      <w:hyperlink r:id="rId85">
        <w:r>
          <w:rPr>
            <w:rStyle w:val="Hyperlink"/>
          </w:rPr>
          <w:t xml:space="preserve">10.1111/j.1939-3466.2010.00010.x</w:t>
        </w:r>
      </w:hyperlink>
      <w:r>
        <w:t xml:space="preserve">.</w:t>
      </w:r>
    </w:p>
    <w:bookmarkEnd w:id="86"/>
    <w:bookmarkStart w:id="87" w:name="ref-Galison_1997"/>
    <w:p>
      <w:pPr>
        <w:pStyle w:val="BodyText"/>
      </w:pPr>
      <w:r>
        <w:t xml:space="preserve">Galison, P. 1997.</w:t>
      </w:r>
      <w:r>
        <w:t xml:space="preserve"> </w:t>
      </w:r>
      <w:r>
        <w:rPr>
          <w:i/>
        </w:rPr>
        <w:t xml:space="preserve">Image and logic: A material culture of microphysics</w:t>
      </w:r>
      <w:r>
        <w:t xml:space="preserve">. University of Chicago Press.</w:t>
      </w:r>
    </w:p>
    <w:bookmarkEnd w:id="87"/>
    <w:bookmarkStart w:id="88" w:name="ref-gieryn1999cultural"/>
    <w:p>
      <w:pPr>
        <w:pStyle w:val="BodyText"/>
      </w:pPr>
      <w:r>
        <w:t xml:space="preserve">Gieryn, T.F. 1999.</w:t>
      </w:r>
      <w:r>
        <w:t xml:space="preserve"> </w:t>
      </w:r>
      <w:r>
        <w:rPr>
          <w:i/>
        </w:rPr>
        <w:t xml:space="preserve">Cultural boundaries of science: Credibility on the line</w:t>
      </w:r>
      <w:r>
        <w:t xml:space="preserve">. University of Chicago Press.</w:t>
      </w:r>
    </w:p>
    <w:bookmarkEnd w:id="88"/>
    <w:bookmarkStart w:id="90" w:name="ref-harris2012interfacing"/>
    <w:p>
      <w:pPr>
        <w:pStyle w:val="BodyText"/>
      </w:pPr>
      <w:r>
        <w:t xml:space="preserve">Harris, T.M. 2012. Interfacing archaeology and the world of citizen sensors: Exploring the impact of neogeography and volunteered geographic information on an authenticated archaeology.</w:t>
      </w:r>
      <w:r>
        <w:t xml:space="preserve"> </w:t>
      </w:r>
      <w:r>
        <w:rPr>
          <w:i/>
        </w:rPr>
        <w:t xml:space="preserve">World Archaeology</w:t>
      </w:r>
      <w:r>
        <w:t xml:space="preserve"> </w:t>
      </w:r>
      <w:r>
        <w:t xml:space="preserve">44(4): 580–591. DOI:</w:t>
      </w:r>
      <w:r>
        <w:t xml:space="preserve"> </w:t>
      </w:r>
      <w:hyperlink r:id="rId89">
        <w:r>
          <w:rPr>
            <w:rStyle w:val="Hyperlink"/>
          </w:rPr>
          <w:t xml:space="preserve">10.1080/00438243.2012.736273</w:t>
        </w:r>
      </w:hyperlink>
      <w:r>
        <w:t xml:space="preserve">.</w:t>
      </w:r>
    </w:p>
    <w:bookmarkEnd w:id="90"/>
    <w:bookmarkStart w:id="92" w:name="ref-Härke_2002"/>
    <w:p>
      <w:pPr>
        <w:pStyle w:val="BodyText"/>
      </w:pPr>
      <w:r>
        <w:t xml:space="preserve">Härke, H. 2002. Interdisciplinarity and the archaeological study of death.</w:t>
      </w:r>
      <w:r>
        <w:t xml:space="preserve"> </w:t>
      </w:r>
      <w:r>
        <w:rPr>
          <w:i/>
        </w:rPr>
        <w:t xml:space="preserve">Mortality</w:t>
      </w:r>
      <w:r>
        <w:t xml:space="preserve"> </w:t>
      </w:r>
      <w:r>
        <w:t xml:space="preserve">7(3): 340–341. DOI:</w:t>
      </w:r>
      <w:r>
        <w:t xml:space="preserve"> </w:t>
      </w:r>
      <w:hyperlink r:id="rId91">
        <w:r>
          <w:rPr>
            <w:rStyle w:val="Hyperlink"/>
          </w:rPr>
          <w:t xml:space="preserve">10.1080/1357627021000025487</w:t>
        </w:r>
      </w:hyperlink>
      <w:r>
        <w:t xml:space="preserve">.</w:t>
      </w:r>
    </w:p>
    <w:bookmarkEnd w:id="92"/>
    <w:bookmarkStart w:id="94" w:name="ref-henrich2007dual"/>
    <w:p>
      <w:pPr>
        <w:pStyle w:val="BodyText"/>
      </w:pPr>
      <w:r>
        <w:t xml:space="preserve">Henrich, J., &amp; McElreath, R. 2007. Dual-inheritance theory: The evolution of human cultural capacities and cultural evolution. In: L. Barrett &amp; R. Dunbar (eds)</w:t>
      </w:r>
      <w:r>
        <w:t xml:space="preserve"> </w:t>
      </w:r>
      <w:r>
        <w:rPr>
          <w:i/>
        </w:rPr>
        <w:t xml:space="preserve">Oxford handbook of evolutionary psychology</w:t>
      </w:r>
      <w:r>
        <w:t xml:space="preserve">, DOI:</w:t>
      </w:r>
      <w:r>
        <w:t xml:space="preserve"> </w:t>
      </w:r>
      <w:hyperlink r:id="rId93">
        <w:r>
          <w:rPr>
            <w:rStyle w:val="Hyperlink"/>
          </w:rPr>
          <w:t xml:space="preserve">10.1093/oxfordhb/9780198568308.013.0038</w:t>
        </w:r>
      </w:hyperlink>
      <w:r>
        <w:t xml:space="preserve">.</w:t>
      </w:r>
    </w:p>
    <w:bookmarkEnd w:id="94"/>
    <w:bookmarkStart w:id="96" w:name="ref-hoel_ontological_2013"/>
    <w:p>
      <w:pPr>
        <w:pStyle w:val="BodyText"/>
      </w:pPr>
      <w:r>
        <w:t xml:space="preserve">Hoel, A.S., &amp; Tuin, I. van der. 2013. The ontological force of technicity: Reading cassirer and simondon diffractively.</w:t>
      </w:r>
      <w:r>
        <w:t xml:space="preserve"> </w:t>
      </w:r>
      <w:r>
        <w:rPr>
          <w:i/>
        </w:rPr>
        <w:t xml:space="preserve">Philos. Technol.</w:t>
      </w:r>
      <w:r>
        <w:t xml:space="preserve"> </w:t>
      </w:r>
      <w:r>
        <w:t xml:space="preserve">26(2): 187–202. DOI:</w:t>
      </w:r>
      <w:r>
        <w:t xml:space="preserve"> </w:t>
      </w:r>
      <w:hyperlink r:id="rId95">
        <w:r>
          <w:rPr>
            <w:rStyle w:val="Hyperlink"/>
          </w:rPr>
          <w:t xml:space="preserve">10.1007/s13347-012-0092-5</w:t>
        </w:r>
      </w:hyperlink>
      <w:r>
        <w:t xml:space="preserve"> </w:t>
      </w:r>
      <w:r>
        <w:t xml:space="preserve">[Accessed November 19, 2018].</w:t>
      </w:r>
    </w:p>
    <w:bookmarkEnd w:id="96"/>
    <w:bookmarkStart w:id="98" w:name="ref-howey2016detecting"/>
    <w:p>
      <w:pPr>
        <w:pStyle w:val="BodyText"/>
      </w:pPr>
      <w:r>
        <w:t xml:space="preserve">Howey, M.C., Sullivan, F.B., Tallant, J., Kopple, R.V., &amp; Palace, M.W. 2016. Detecting precontact anthropogenic microtopographic features in a forested landscape with lidar: A case study from the upper great lakes region, ad 1000-1600.</w:t>
      </w:r>
      <w:r>
        <w:t xml:space="preserve"> </w:t>
      </w:r>
      <w:r>
        <w:rPr>
          <w:i/>
        </w:rPr>
        <w:t xml:space="preserve">PloS one</w:t>
      </w:r>
      <w:r>
        <w:t xml:space="preserve"> </w:t>
      </w:r>
      <w:r>
        <w:t xml:space="preserve">11(9): e0162062. DOI:</w:t>
      </w:r>
      <w:r>
        <w:t xml:space="preserve"> </w:t>
      </w:r>
      <w:hyperlink r:id="rId97">
        <w:r>
          <w:rPr>
            <w:rStyle w:val="Hyperlink"/>
          </w:rPr>
          <w:t xml:space="preserve">10.1371/journal.pone.0162062</w:t>
        </w:r>
      </w:hyperlink>
      <w:r>
        <w:t xml:space="preserve">.</w:t>
      </w:r>
    </w:p>
    <w:bookmarkEnd w:id="98"/>
    <w:bookmarkStart w:id="100" w:name="ref-Hugget_2015"/>
    <w:p>
      <w:pPr>
        <w:pStyle w:val="BodyText"/>
      </w:pPr>
      <w:r>
        <w:t xml:space="preserve">Huggett, J. 2015. Digital haystacks: Open data and the transformation of archaeological knowledge. In: A. T. Wilson &amp; B. Edwards (eds)</w:t>
      </w:r>
      <w:r>
        <w:t xml:space="preserve"> </w:t>
      </w:r>
      <w:r>
        <w:rPr>
          <w:i/>
        </w:rPr>
        <w:t xml:space="preserve">Open source archaeology: Ethics and practice</w:t>
      </w:r>
      <w:r>
        <w:t xml:space="preserve">, Warsaw, Poland: De Gruyter Open DOI:</w:t>
      </w:r>
      <w:r>
        <w:t xml:space="preserve"> </w:t>
      </w:r>
      <w:hyperlink r:id="rId99">
        <w:r>
          <w:rPr>
            <w:rStyle w:val="Hyperlink"/>
          </w:rPr>
          <w:t xml:space="preserve">10.1515/9783110440171</w:t>
        </w:r>
      </w:hyperlink>
      <w:r>
        <w:t xml:space="preserve"> </w:t>
      </w:r>
      <w:r>
        <w:t xml:space="preserve">[Accessed September 10, 2018].</w:t>
      </w:r>
    </w:p>
    <w:bookmarkEnd w:id="100"/>
    <w:bookmarkStart w:id="102" w:name="ref-Huvila_2018"/>
    <w:p>
      <w:pPr>
        <w:pStyle w:val="BodyText"/>
      </w:pPr>
      <w:r>
        <w:t xml:space="preserve">Huvila, I., &amp; Huggett, J. 2018. Archaeological practices, knowledge work and digitalisation.</w:t>
      </w:r>
      <w:r>
        <w:t xml:space="preserve"> </w:t>
      </w:r>
      <w:r>
        <w:rPr>
          <w:i/>
        </w:rPr>
        <w:t xml:space="preserve">Journal of Computer Applications in Archaeology</w:t>
      </w:r>
      <w:r>
        <w:t xml:space="preserve"> </w:t>
      </w:r>
      <w:r>
        <w:t xml:space="preserve">1(1): 88–100. DOI:</w:t>
      </w:r>
      <w:r>
        <w:t xml:space="preserve"> </w:t>
      </w:r>
      <w:hyperlink r:id="rId101">
        <w:r>
          <w:rPr>
            <w:rStyle w:val="Hyperlink"/>
          </w:rPr>
          <w:t xml:space="preserve">10.5334/jcaa.6</w:t>
        </w:r>
      </w:hyperlink>
      <w:r>
        <w:t xml:space="preserve"> </w:t>
      </w:r>
      <w:r>
        <w:t xml:space="preserve">[Accessed September 10, 2018].</w:t>
      </w:r>
    </w:p>
    <w:bookmarkEnd w:id="102"/>
    <w:bookmarkStart w:id="104" w:name="ref-Ince2012"/>
    <w:p>
      <w:pPr>
        <w:pStyle w:val="BodyText"/>
      </w:pPr>
      <w:r>
        <w:t xml:space="preserve">Ince, D.C., Hatton, L., &amp; Graham-Cumming, J. 2012. The case for open computer programs.</w:t>
      </w:r>
      <w:r>
        <w:t xml:space="preserve"> </w:t>
      </w:r>
      <w:r>
        <w:rPr>
          <w:i/>
        </w:rPr>
        <w:t xml:space="preserve">nature</w:t>
      </w:r>
      <w:r>
        <w:t xml:space="preserve"> </w:t>
      </w:r>
      <w:r>
        <w:t xml:space="preserve">482(7386): 485–488. DOI:</w:t>
      </w:r>
      <w:r>
        <w:t xml:space="preserve"> </w:t>
      </w:r>
      <w:hyperlink r:id="rId103">
        <w:r>
          <w:rPr>
            <w:rStyle w:val="Hyperlink"/>
          </w:rPr>
          <w:t xml:space="preserve">10.1038/nature10836</w:t>
        </w:r>
      </w:hyperlink>
      <w:r>
        <w:t xml:space="preserve">.</w:t>
      </w:r>
    </w:p>
    <w:bookmarkEnd w:id="104"/>
    <w:bookmarkStart w:id="106" w:name="ref-Ioannidis_Stanley_Doucouliagos_2017"/>
    <w:p>
      <w:pPr>
        <w:pStyle w:val="BodyText"/>
      </w:pPr>
      <w:r>
        <w:t xml:space="preserve">Ioannidis, J.P.A., Stanley, T.D., &amp; Doucouliagos, H. 2017. The power of bias in economics research.</w:t>
      </w:r>
      <w:r>
        <w:t xml:space="preserve"> </w:t>
      </w:r>
      <w:r>
        <w:rPr>
          <w:i/>
        </w:rPr>
        <w:t xml:space="preserve">The Economic Journal</w:t>
      </w:r>
      <w:r>
        <w:t xml:space="preserve"> </w:t>
      </w:r>
      <w:r>
        <w:t xml:space="preserve">127(605): F236–F265. DOI:</w:t>
      </w:r>
      <w:r>
        <w:t xml:space="preserve"> </w:t>
      </w:r>
      <w:hyperlink r:id="rId105">
        <w:r>
          <w:rPr>
            <w:rStyle w:val="Hyperlink"/>
          </w:rPr>
          <w:t xml:space="preserve">10.1111/ecoj.12461</w:t>
        </w:r>
      </w:hyperlink>
      <w:r>
        <w:t xml:space="preserve">.</w:t>
      </w:r>
    </w:p>
    <w:bookmarkEnd w:id="106"/>
    <w:bookmarkStart w:id="107" w:name="ref-jones2013git"/>
    <w:p>
      <w:pPr>
        <w:pStyle w:val="BodyText"/>
      </w:pPr>
      <w:r>
        <w:t xml:space="preserve">Jones, Z.M. 2013. Git/github, transparency, and legitimacy in quantitative research.</w:t>
      </w:r>
      <w:r>
        <w:t xml:space="preserve"> </w:t>
      </w:r>
      <w:r>
        <w:rPr>
          <w:i/>
        </w:rPr>
        <w:t xml:space="preserve">The Political Methodologist</w:t>
      </w:r>
      <w:r>
        <w:t xml:space="preserve"> </w:t>
      </w:r>
      <w:r>
        <w:t xml:space="preserve">21(1): 6–7.</w:t>
      </w:r>
    </w:p>
    <w:bookmarkEnd w:id="107"/>
    <w:bookmarkStart w:id="108" w:name="ref-keron_use_2015"/>
    <w:p>
      <w:pPr>
        <w:pStyle w:val="BodyText"/>
      </w:pPr>
      <w:r>
        <w:t xml:space="preserve">Keron, J.R. 2015.</w:t>
      </w:r>
      <w:r>
        <w:t xml:space="preserve"> </w:t>
      </w:r>
      <w:r>
        <w:rPr>
          <w:i/>
        </w:rPr>
        <w:t xml:space="preserve">The use of point pattern analysis in archaeology: Some methods and applications.</w:t>
      </w:r>
      <w:r>
        <w:t xml:space="preserve"> </w:t>
      </w:r>
      <w:r>
        <w:t xml:space="preserve">PhD thesis. University of Western Ontario.</w:t>
      </w:r>
    </w:p>
    <w:bookmarkEnd w:id="108"/>
    <w:bookmarkStart w:id="110" w:name="ref-Kidwell_et_al_2016"/>
    <w:p>
      <w:pPr>
        <w:pStyle w:val="BodyText"/>
      </w:pPr>
      <w:r>
        <w:t xml:space="preserve">Kidwell, M.C. et al. 2016. Badges to acknowledge open practices: A simple, low-cost, effective method for increasing transparency.</w:t>
      </w:r>
      <w:r>
        <w:t xml:space="preserve"> </w:t>
      </w:r>
      <w:r>
        <w:rPr>
          <w:i/>
        </w:rPr>
        <w:t xml:space="preserve">PLOS Biology</w:t>
      </w:r>
      <w:r>
        <w:t xml:space="preserve"> </w:t>
      </w:r>
      <w:r>
        <w:t xml:space="preserve">14(5): e1002456. DOI:</w:t>
      </w:r>
      <w:r>
        <w:t xml:space="preserve"> </w:t>
      </w:r>
      <w:hyperlink r:id="rId109">
        <w:r>
          <w:rPr>
            <w:rStyle w:val="Hyperlink"/>
          </w:rPr>
          <w:t xml:space="preserve">10.1371/journal.pbio.1002456</w:t>
        </w:r>
      </w:hyperlink>
      <w:r>
        <w:t xml:space="preserve">.</w:t>
      </w:r>
    </w:p>
    <w:bookmarkEnd w:id="110"/>
    <w:bookmarkStart w:id="112" w:name="ref-king1995replication"/>
    <w:p>
      <w:pPr>
        <w:pStyle w:val="BodyText"/>
      </w:pPr>
      <w:r>
        <w:t xml:space="preserve">King, G. 1995. Replication, replication.</w:t>
      </w:r>
      <w:r>
        <w:t xml:space="preserve"> </w:t>
      </w:r>
      <w:r>
        <w:rPr>
          <w:i/>
        </w:rPr>
        <w:t xml:space="preserve">PS: Political Science &amp; Politics</w:t>
      </w:r>
      <w:r>
        <w:t xml:space="preserve"> </w:t>
      </w:r>
      <w:r>
        <w:t xml:space="preserve">28(03): 444–452. DOI:</w:t>
      </w:r>
      <w:r>
        <w:t xml:space="preserve"> </w:t>
      </w:r>
      <w:hyperlink r:id="rId111">
        <w:r>
          <w:rPr>
            <w:rStyle w:val="Hyperlink"/>
          </w:rPr>
          <w:t xml:space="preserve">10.2307/420301</w:t>
        </w:r>
      </w:hyperlink>
      <w:r>
        <w:t xml:space="preserve">.</w:t>
      </w:r>
    </w:p>
    <w:bookmarkEnd w:id="112"/>
    <w:bookmarkStart w:id="114" w:name="ref-Koerner_2018"/>
    <w:p>
      <w:pPr>
        <w:pStyle w:val="BodyText"/>
      </w:pPr>
      <w:r>
        <w:t xml:space="preserve">Koerner, S. 2018. Scientific revolutions. In:</w:t>
      </w:r>
      <w:r>
        <w:t xml:space="preserve"> </w:t>
      </w:r>
      <w:r>
        <w:rPr>
          <w:i/>
        </w:rPr>
        <w:t xml:space="preserve">The encyclopedia of archaeological sciences</w:t>
      </w:r>
      <w:r>
        <w:t xml:space="preserve">, 1–5. Wiley Online Library DOI:</w:t>
      </w:r>
      <w:r>
        <w:t xml:space="preserve"> </w:t>
      </w:r>
      <w:hyperlink r:id="rId113">
        <w:r>
          <w:rPr>
            <w:rStyle w:val="Hyperlink"/>
          </w:rPr>
          <w:t xml:space="preserve">10.1002/9781119188230.saseas0525</w:t>
        </w:r>
      </w:hyperlink>
      <w:r>
        <w:t xml:space="preserve">.</w:t>
      </w:r>
    </w:p>
    <w:bookmarkEnd w:id="114"/>
    <w:bookmarkStart w:id="115" w:name="ref-Kuhn_1962"/>
    <w:p>
      <w:pPr>
        <w:pStyle w:val="BodyText"/>
      </w:pPr>
      <w:r>
        <w:t xml:space="preserve">Kuhn, T. 1962.</w:t>
      </w:r>
      <w:r>
        <w:t xml:space="preserve"> </w:t>
      </w:r>
      <w:r>
        <w:rPr>
          <w:i/>
        </w:rPr>
        <w:t xml:space="preserve">The structure of scientific revolutions</w:t>
      </w:r>
      <w:r>
        <w:t xml:space="preserve">. University of Chicago Press.</w:t>
      </w:r>
    </w:p>
    <w:bookmarkEnd w:id="115"/>
    <w:bookmarkStart w:id="117" w:name="ref-Kurtz_Eichhorn_Accomazzi_Grant_Demleitner_Henneken_Murray_2005"/>
    <w:p>
      <w:pPr>
        <w:pStyle w:val="BodyText"/>
      </w:pPr>
      <w:r>
        <w:t xml:space="preserve">Kurtz, M.J. et al. 2005. The effect of use and access on citations.</w:t>
      </w:r>
      <w:r>
        <w:t xml:space="preserve"> </w:t>
      </w:r>
      <w:r>
        <w:rPr>
          <w:i/>
        </w:rPr>
        <w:t xml:space="preserve">Information Processing &amp; Management</w:t>
      </w:r>
      <w:r>
        <w:t xml:space="preserve"> </w:t>
      </w:r>
      <w:r>
        <w:t xml:space="preserve">41(6): 1395–1402. DOI:</w:t>
      </w:r>
      <w:r>
        <w:t xml:space="preserve"> </w:t>
      </w:r>
      <w:hyperlink r:id="rId116">
        <w:r>
          <w:rPr>
            <w:rStyle w:val="Hyperlink"/>
          </w:rPr>
          <w:t xml:space="preserve">10.1016/j.ipm.2005.03.010</w:t>
        </w:r>
      </w:hyperlink>
      <w:r>
        <w:t xml:space="preserve">.</w:t>
      </w:r>
    </w:p>
    <w:bookmarkEnd w:id="117"/>
    <w:bookmarkStart w:id="119" w:name="ref-LeVeque2012"/>
    <w:p>
      <w:pPr>
        <w:pStyle w:val="BodyText"/>
      </w:pPr>
      <w:r>
        <w:t xml:space="preserve">LeVeque, R.J., Mitchell, I.M., &amp; Stodden, V. 2012. Reproducible research for scientific computing: Tools and strategies for changing the culture.</w:t>
      </w:r>
      <w:r>
        <w:t xml:space="preserve"> </w:t>
      </w:r>
      <w:r>
        <w:rPr>
          <w:i/>
        </w:rPr>
        <w:t xml:space="preserve">Computing in Science &amp; Engineering</w:t>
      </w:r>
      <w:r>
        <w:t xml:space="preserve"> </w:t>
      </w:r>
      <w:r>
        <w:t xml:space="preserve">14(4): 13–17. DOI:</w:t>
      </w:r>
      <w:r>
        <w:t xml:space="preserve"> </w:t>
      </w:r>
      <w:hyperlink r:id="rId118">
        <w:r>
          <w:rPr>
            <w:rStyle w:val="Hyperlink"/>
          </w:rPr>
          <w:t xml:space="preserve">10.1109/MCSE.2012.38</w:t>
        </w:r>
      </w:hyperlink>
      <w:r>
        <w:t xml:space="preserve"> </w:t>
      </w:r>
      <w:r>
        <w:t xml:space="preserve">[Accessed May 17, 2015].</w:t>
      </w:r>
    </w:p>
    <w:bookmarkEnd w:id="119"/>
    <w:bookmarkStart w:id="121" w:name="ref-Lodwick_2019"/>
    <w:p>
      <w:pPr>
        <w:pStyle w:val="BodyText"/>
      </w:pPr>
      <w:r>
        <w:t xml:space="preserve">Lodwick, L. 2019. Sowing the seeds of future research: Data sharing, citation and reuse in archaeobotany.</w:t>
      </w:r>
      <w:r>
        <w:t xml:space="preserve"> </w:t>
      </w:r>
      <w:r>
        <w:rPr>
          <w:i/>
        </w:rPr>
        <w:t xml:space="preserve">Open Quaternary</w:t>
      </w:r>
      <w:r>
        <w:t xml:space="preserve"> </w:t>
      </w:r>
      <w:r>
        <w:t xml:space="preserve">5(1): 7. DOI:</w:t>
      </w:r>
      <w:r>
        <w:t xml:space="preserve"> </w:t>
      </w:r>
      <w:hyperlink r:id="rId120">
        <w:r>
          <w:rPr>
            <w:rStyle w:val="Hyperlink"/>
          </w:rPr>
          <w:t xml:space="preserve">10.5334/oq.62</w:t>
        </w:r>
      </w:hyperlink>
      <w:r>
        <w:t xml:space="preserve">.</w:t>
      </w:r>
    </w:p>
    <w:bookmarkEnd w:id="121"/>
    <w:bookmarkStart w:id="123" w:name="ref-markowetz2015five"/>
    <w:p>
      <w:pPr>
        <w:pStyle w:val="BodyText"/>
      </w:pPr>
      <w:r>
        <w:t xml:space="preserve">Markowetz, F. 2015. Five selfish reasons to work reproducibly.</w:t>
      </w:r>
      <w:r>
        <w:t xml:space="preserve"> </w:t>
      </w:r>
      <w:r>
        <w:rPr>
          <w:i/>
        </w:rPr>
        <w:t xml:space="preserve">Genome Biology</w:t>
      </w:r>
      <w:r>
        <w:t xml:space="preserve"> </w:t>
      </w:r>
      <w:r>
        <w:t xml:space="preserve">16. DOI:</w:t>
      </w:r>
      <w:r>
        <w:t xml:space="preserve"> </w:t>
      </w:r>
      <w:hyperlink r:id="rId122">
        <w:r>
          <w:rPr>
            <w:rStyle w:val="Hyperlink"/>
          </w:rPr>
          <w:t xml:space="preserve">10.1186/s13059-015-0850-7</w:t>
        </w:r>
      </w:hyperlink>
      <w:r>
        <w:t xml:space="preserve">.</w:t>
      </w:r>
    </w:p>
    <w:bookmarkEnd w:id="123"/>
    <w:bookmarkStart w:id="125" w:name="ref-Marwick2017"/>
    <w:p>
      <w:pPr>
        <w:pStyle w:val="BodyText"/>
      </w:pPr>
      <w:r>
        <w:t xml:space="preserve">Marwick, B.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24(2): 424–450. DOI:</w:t>
      </w:r>
      <w:r>
        <w:t xml:space="preserve"> </w:t>
      </w:r>
      <w:hyperlink r:id="rId124">
        <w:r>
          <w:rPr>
            <w:rStyle w:val="Hyperlink"/>
          </w:rPr>
          <w:t xml:space="preserve">10.1007/s10816-015-9272-9</w:t>
        </w:r>
      </w:hyperlink>
      <w:r>
        <w:t xml:space="preserve">.</w:t>
      </w:r>
    </w:p>
    <w:bookmarkEnd w:id="125"/>
    <w:bookmarkStart w:id="127" w:name="ref-marwick_2019"/>
    <w:p>
      <w:pPr>
        <w:pStyle w:val="BodyText"/>
      </w:pPr>
      <w:r>
        <w:t xml:space="preserve">Marwick, B. 2019. Galisonian logic devices and data availability: Revitalising upper palaeolithic cultural taxonomies.</w:t>
      </w:r>
      <w:r>
        <w:t xml:space="preserve"> </w:t>
      </w:r>
      <w:r>
        <w:rPr>
          <w:i/>
        </w:rPr>
        <w:t xml:space="preserve">Antiquity</w:t>
      </w:r>
      <w:r>
        <w:t xml:space="preserve"> </w:t>
      </w:r>
      <w:r>
        <w:t xml:space="preserve">93(371): 1365–1367. DOI:</w:t>
      </w:r>
      <w:r>
        <w:t xml:space="preserve"> </w:t>
      </w:r>
      <w:hyperlink r:id="rId126">
        <w:r>
          <w:rPr>
            <w:rStyle w:val="Hyperlink"/>
          </w:rPr>
          <w:t xml:space="preserve">10.15184/aqy.2019.131</w:t>
        </w:r>
      </w:hyperlink>
      <w:r>
        <w:t xml:space="preserve">.</w:t>
      </w:r>
    </w:p>
    <w:bookmarkEnd w:id="127"/>
    <w:bookmarkStart w:id="129" w:name="ref-marwick_standard_2018"/>
    <w:p>
      <w:pPr>
        <w:pStyle w:val="BodyText"/>
      </w:pPr>
      <w:r>
        <w:t xml:space="preserve">Marwick, B., &amp; Birch, S.E.P. 2018. A Standard for the Scholarly Citation of Archaeological Data as an Incentive to Data Sharing.</w:t>
      </w:r>
      <w:r>
        <w:t xml:space="preserve"> </w:t>
      </w:r>
      <w:r>
        <w:rPr>
          <w:i/>
        </w:rPr>
        <w:t xml:space="preserve">Advances in Archaeological Practice</w:t>
      </w:r>
      <w:r>
        <w:t xml:space="preserve"> </w:t>
      </w:r>
      <w:r>
        <w:t xml:space="preserve">6(2): 125–143. DOI:</w:t>
      </w:r>
      <w:r>
        <w:t xml:space="preserve"> </w:t>
      </w:r>
      <w:hyperlink r:id="rId128">
        <w:r>
          <w:rPr>
            <w:rStyle w:val="Hyperlink"/>
          </w:rPr>
          <w:t xml:space="preserve">10.1017/aap.2018.3</w:t>
        </w:r>
      </w:hyperlink>
      <w:r>
        <w:t xml:space="preserve">.</w:t>
      </w:r>
    </w:p>
    <w:bookmarkEnd w:id="129"/>
    <w:bookmarkStart w:id="131" w:name="ref-marwick2018packaging"/>
    <w:p>
      <w:pPr>
        <w:pStyle w:val="BodyText"/>
      </w:pPr>
      <w:r>
        <w:t xml:space="preserve">Marwick, B., Boettiger, C., &amp; Mullen, L. 2018. Packaging data analytical work reproducibly using R (and friends).</w:t>
      </w:r>
      <w:r>
        <w:t xml:space="preserve"> </w:t>
      </w:r>
      <w:r>
        <w:rPr>
          <w:i/>
        </w:rPr>
        <w:t xml:space="preserve">The American Statistician</w:t>
      </w:r>
      <w:r>
        <w:t xml:space="preserve"> </w:t>
      </w:r>
      <w:r>
        <w:t xml:space="preserve">72(1): 80–88. DOI:</w:t>
      </w:r>
      <w:r>
        <w:t xml:space="preserve"> </w:t>
      </w:r>
      <w:hyperlink r:id="rId130">
        <w:r>
          <w:rPr>
            <w:rStyle w:val="Hyperlink"/>
          </w:rPr>
          <w:t xml:space="preserve">10.1080/00031305.2017.1375986</w:t>
        </w:r>
      </w:hyperlink>
      <w:r>
        <w:t xml:space="preserve">.</w:t>
      </w:r>
    </w:p>
    <w:bookmarkEnd w:id="131"/>
    <w:bookmarkStart w:id="132" w:name="ref-masterman1970does"/>
    <w:p>
      <w:pPr>
        <w:pStyle w:val="BodyText"/>
      </w:pPr>
      <w:r>
        <w:t xml:space="preserve">Masterman, M. 1970. The nature of a paradigm. In: A. Musgrave &amp; others (eds)</w:t>
      </w:r>
      <w:r>
        <w:t xml:space="preserve"> </w:t>
      </w:r>
      <w:r>
        <w:rPr>
          <w:i/>
        </w:rPr>
        <w:t xml:space="preserve">Criticism and the growth of knowledge: Volume 4: Proceedings of the international colloquium in the philosophy of science, london, 1965</w:t>
      </w:r>
      <w:r>
        <w:t xml:space="preserve">, 59–89. Cambridge University Press</w:t>
      </w:r>
    </w:p>
    <w:bookmarkEnd w:id="132"/>
    <w:bookmarkStart w:id="134" w:name="ref-McAnany_Rowe_2015"/>
    <w:p>
      <w:pPr>
        <w:pStyle w:val="BodyText"/>
      </w:pPr>
      <w:r>
        <w:t xml:space="preserve">McAnany, P.A., &amp; Rowe, S.M. 2015. Re-visiting the field: Collaborative archaeology as paradigm shift.</w:t>
      </w:r>
      <w:r>
        <w:t xml:space="preserve"> </w:t>
      </w:r>
      <w:r>
        <w:rPr>
          <w:i/>
        </w:rPr>
        <w:t xml:space="preserve">Journal of Field Archaeology</w:t>
      </w:r>
      <w:r>
        <w:t xml:space="preserve"> </w:t>
      </w:r>
      <w:r>
        <w:t xml:space="preserve">40(5): 499–507. DOI:</w:t>
      </w:r>
      <w:r>
        <w:t xml:space="preserve"> </w:t>
      </w:r>
      <w:hyperlink r:id="rId133">
        <w:r>
          <w:rPr>
            <w:rStyle w:val="Hyperlink"/>
          </w:rPr>
          <w:t xml:space="preserve">10.1179/2042458215Y.0000000007</w:t>
        </w:r>
      </w:hyperlink>
      <w:r>
        <w:t xml:space="preserve">.</w:t>
      </w:r>
    </w:p>
    <w:bookmarkEnd w:id="134"/>
    <w:bookmarkStart w:id="136" w:name="ref-Meltzer_1979"/>
    <w:p>
      <w:pPr>
        <w:pStyle w:val="BodyText"/>
      </w:pPr>
      <w:r>
        <w:t xml:space="preserve">Meltzer, D.J. 1979. Paradigms and the nature of change in american archaeology.</w:t>
      </w:r>
      <w:r>
        <w:t xml:space="preserve"> </w:t>
      </w:r>
      <w:r>
        <w:rPr>
          <w:i/>
        </w:rPr>
        <w:t xml:space="preserve">American Antiquity</w:t>
      </w:r>
      <w:r>
        <w:t xml:space="preserve"> </w:t>
      </w:r>
      <w:r>
        <w:t xml:space="preserve">44(4): 644–657. DOI:</w:t>
      </w:r>
      <w:r>
        <w:t xml:space="preserve"> </w:t>
      </w:r>
      <w:hyperlink r:id="rId135">
        <w:r>
          <w:rPr>
            <w:rStyle w:val="Hyperlink"/>
          </w:rPr>
          <w:t xml:space="preserve">10.2307/279104</w:t>
        </w:r>
      </w:hyperlink>
      <w:r>
        <w:t xml:space="preserve">.</w:t>
      </w:r>
    </w:p>
    <w:bookmarkEnd w:id="136"/>
    <w:bookmarkStart w:id="138" w:name="ref-Miguel2014"/>
    <w:p>
      <w:pPr>
        <w:pStyle w:val="BodyText"/>
      </w:pPr>
      <w:r>
        <w:t xml:space="preserve">Miguel, E. et al. 2014. Promoting transparency in social science research.</w:t>
      </w:r>
      <w:r>
        <w:t xml:space="preserve"> </w:t>
      </w:r>
      <w:r>
        <w:rPr>
          <w:i/>
        </w:rPr>
        <w:t xml:space="preserve">Science (New York, N.Y.)</w:t>
      </w:r>
      <w:r>
        <w:t xml:space="preserve"> </w:t>
      </w:r>
      <w:r>
        <w:t xml:space="preserve">343(6166): 30–31. DOI:</w:t>
      </w:r>
      <w:r>
        <w:t xml:space="preserve"> </w:t>
      </w:r>
      <w:hyperlink r:id="rId137">
        <w:r>
          <w:rPr>
            <w:rStyle w:val="Hyperlink"/>
          </w:rPr>
          <w:t xml:space="preserve">10.1126/science.1245317</w:t>
        </w:r>
      </w:hyperlink>
      <w:r>
        <w:t xml:space="preserve"> </w:t>
      </w:r>
      <w:r>
        <w:t xml:space="preserve">[Accessed May 26, 2015].</w:t>
      </w:r>
    </w:p>
    <w:bookmarkEnd w:id="138"/>
    <w:bookmarkStart w:id="139" w:name="ref-Mitchell2012"/>
    <w:p>
      <w:pPr>
        <w:pStyle w:val="BodyText"/>
      </w:pPr>
      <w:r>
        <w:t xml:space="preserve">Mitchell, I.M., LeVeque, R.J., &amp; Stodden, V. 2012. Reproducible research for scientific computing: Tools and strategies for changing the culture.</w:t>
      </w:r>
      <w:r>
        <w:t xml:space="preserve"> </w:t>
      </w:r>
      <w:r>
        <w:rPr>
          <w:i/>
        </w:rPr>
        <w:t xml:space="preserve">Computing in Science and Engineering</w:t>
      </w:r>
      <w:r>
        <w:t xml:space="preserve"> </w:t>
      </w:r>
      <w:r>
        <w:t xml:space="preserve">14(4): 13–17. DOI:</w:t>
      </w:r>
      <w:r>
        <w:t xml:space="preserve"> </w:t>
      </w:r>
      <w:hyperlink r:id="rId118">
        <w:r>
          <w:rPr>
            <w:rStyle w:val="Hyperlink"/>
          </w:rPr>
          <w:t xml:space="preserve">10.1109/MCSE.2012.38</w:t>
        </w:r>
      </w:hyperlink>
      <w:r>
        <w:t xml:space="preserve">.</w:t>
      </w:r>
    </w:p>
    <w:bookmarkEnd w:id="139"/>
    <w:bookmarkStart w:id="140" w:name="ref-molyneaux2013cultural"/>
    <w:p>
      <w:pPr>
        <w:pStyle w:val="BodyText"/>
      </w:pPr>
      <w:r>
        <w:t xml:space="preserve">Molyneaux, B.L. 2013.</w:t>
      </w:r>
      <w:r>
        <w:t xml:space="preserve"> </w:t>
      </w:r>
      <w:r>
        <w:rPr>
          <w:i/>
        </w:rPr>
        <w:t xml:space="preserve">The cultural life of images: Visual representation in archaeology</w:t>
      </w:r>
      <w:r>
        <w:t xml:space="preserve">. Routledge.</w:t>
      </w:r>
    </w:p>
    <w:bookmarkEnd w:id="140"/>
    <w:bookmarkStart w:id="141" w:name="ref-Montelius_1899"/>
    <w:p>
      <w:pPr>
        <w:pStyle w:val="BodyText"/>
      </w:pPr>
      <w:r>
        <w:t xml:space="preserve">Montelius, O. 1899. Typologien eller utvecklingsläran tillämpad på det menskliga arbetet.</w:t>
      </w:r>
      <w:r>
        <w:t xml:space="preserve"> </w:t>
      </w:r>
      <w:r>
        <w:rPr>
          <w:i/>
        </w:rPr>
        <w:t xml:space="preserve">Svenska Fornminnesföreningens Tidskrift</w:t>
      </w:r>
      <w:r>
        <w:t xml:space="preserve"> </w:t>
      </w:r>
      <w:r>
        <w:t xml:space="preserve">(10): 237–268.</w:t>
      </w:r>
    </w:p>
    <w:bookmarkEnd w:id="141"/>
    <w:bookmarkStart w:id="143" w:name="ref-noble2009quick"/>
    <w:p>
      <w:pPr>
        <w:pStyle w:val="BodyText"/>
      </w:pPr>
      <w:r>
        <w:t xml:space="preserve">Noble, W.S. 2009. A quick guide to organizing computational biology projects.</w:t>
      </w:r>
      <w:r>
        <w:t xml:space="preserve"> </w:t>
      </w:r>
      <w:r>
        <w:rPr>
          <w:i/>
        </w:rPr>
        <w:t xml:space="preserve">PLoS computational biology</w:t>
      </w:r>
      <w:r>
        <w:t xml:space="preserve"> </w:t>
      </w:r>
      <w:r>
        <w:t xml:space="preserve">5(7): e1000424. DOI:</w:t>
      </w:r>
      <w:r>
        <w:t xml:space="preserve"> </w:t>
      </w:r>
      <w:hyperlink r:id="rId142">
        <w:r>
          <w:rPr>
            <w:rStyle w:val="Hyperlink"/>
          </w:rPr>
          <w:t xml:space="preserve">10.1371/journal.pcbi.1000424</w:t>
        </w:r>
      </w:hyperlink>
      <w:r>
        <w:t xml:space="preserve">.</w:t>
      </w:r>
    </w:p>
    <w:bookmarkEnd w:id="143"/>
    <w:bookmarkStart w:id="145" w:name="ref-Nosek_et_al_2015"/>
    <w:p>
      <w:pPr>
        <w:pStyle w:val="BodyText"/>
      </w:pPr>
      <w:r>
        <w:t xml:space="preserve">Nosek, B.A. et al. 2015. Promoting an open research culture: Author guidelines for journals could help to promote transparency, openness, and reproducibility.</w:t>
      </w:r>
      <w:r>
        <w:t xml:space="preserve"> </w:t>
      </w:r>
      <w:r>
        <w:rPr>
          <w:i/>
        </w:rPr>
        <w:t xml:space="preserve">Science (New York, N.Y.)</w:t>
      </w:r>
      <w:r>
        <w:t xml:space="preserve"> </w:t>
      </w:r>
      <w:r>
        <w:t xml:space="preserve">348(6242): 1422–1425. DOI:</w:t>
      </w:r>
      <w:r>
        <w:t xml:space="preserve"> </w:t>
      </w:r>
      <w:hyperlink r:id="rId144">
        <w:r>
          <w:rPr>
            <w:rStyle w:val="Hyperlink"/>
          </w:rPr>
          <w:t xml:space="preserve">10.1126/science.aab2374</w:t>
        </w:r>
      </w:hyperlink>
      <w:r>
        <w:t xml:space="preserve">.</w:t>
      </w:r>
    </w:p>
    <w:bookmarkEnd w:id="145"/>
    <w:bookmarkStart w:id="146" w:name="ref-nosek2015promoting"/>
    <w:p>
      <w:pPr>
        <w:pStyle w:val="BodyText"/>
      </w:pPr>
      <w:r>
        <w:t xml:space="preserve">Nosek, B. et al. 2015. Promoting an open research culture: Author guidelines for journals could help to promote transparency, openness, and reproducibility.</w:t>
      </w:r>
      <w:r>
        <w:t xml:space="preserve"> </w:t>
      </w:r>
      <w:r>
        <w:rPr>
          <w:i/>
        </w:rPr>
        <w:t xml:space="preserve">Science (New York, NY)</w:t>
      </w:r>
      <w:r>
        <w:t xml:space="preserve"> </w:t>
      </w:r>
      <w:r>
        <w:t xml:space="preserve">348(6242): 1422. DOI:</w:t>
      </w:r>
      <w:r>
        <w:t xml:space="preserve"> </w:t>
      </w:r>
      <w:hyperlink r:id="rId144">
        <w:r>
          <w:rPr>
            <w:rStyle w:val="Hyperlink"/>
          </w:rPr>
          <w:t xml:space="preserve">10.1126/science.aab2374</w:t>
        </w:r>
      </w:hyperlink>
      <w:r>
        <w:t xml:space="preserve">.</w:t>
      </w:r>
    </w:p>
    <w:bookmarkEnd w:id="146"/>
    <w:bookmarkStart w:id="147" w:name="ref-Chrysanthi_2012"/>
    <w:p>
      <w:pPr>
        <w:pStyle w:val="BodyText"/>
      </w:pPr>
      <w:r>
        <w:t xml:space="preserve">Papadopoulos, C., Chrysanthi, A., &amp; Murietta-Flores, P. 2012. Archaeological computing: Towards prosthesis or amputation? In: A. Chrysanthi, P. Murietta-Flores, &amp; C. Papadopoulos (eds)</w:t>
      </w:r>
      <w:r>
        <w:t xml:space="preserve"> </w:t>
      </w:r>
      <w:r>
        <w:rPr>
          <w:i/>
        </w:rPr>
        <w:t xml:space="preserve">Thinking beyond the tool. Archaeological computingand the interpretive process</w:t>
      </w:r>
      <w:r>
        <w:t xml:space="preserve">.BAR internat. Ser., Oxford: Archeopress</w:t>
      </w:r>
    </w:p>
    <w:bookmarkEnd w:id="147"/>
    <w:bookmarkStart w:id="149" w:name="ref-pearson1998beginning"/>
    <w:p>
      <w:pPr>
        <w:pStyle w:val="BodyText"/>
      </w:pPr>
      <w:r>
        <w:t xml:space="preserve">Pearson, M.P. 1998. The beginning of wisdom.</w:t>
      </w:r>
      <w:r>
        <w:t xml:space="preserve"> </w:t>
      </w:r>
      <w:r>
        <w:rPr>
          <w:i/>
        </w:rPr>
        <w:t xml:space="preserve">Antiquity</w:t>
      </w:r>
      <w:r>
        <w:t xml:space="preserve"> </w:t>
      </w:r>
      <w:r>
        <w:t xml:space="preserve">72(277): 680–686. DOI:</w:t>
      </w:r>
      <w:r>
        <w:t xml:space="preserve"> </w:t>
      </w:r>
      <w:hyperlink r:id="rId148">
        <w:r>
          <w:rPr>
            <w:rStyle w:val="Hyperlink"/>
          </w:rPr>
          <w:t xml:space="preserve">10.1017/S0003598X0008710X</w:t>
        </w:r>
      </w:hyperlink>
      <w:r>
        <w:t xml:space="preserve">.</w:t>
      </w:r>
    </w:p>
    <w:bookmarkEnd w:id="149"/>
    <w:bookmarkStart w:id="151" w:name="ref-Peng2009"/>
    <w:p>
      <w:pPr>
        <w:pStyle w:val="BodyText"/>
      </w:pPr>
      <w:r>
        <w:t xml:space="preserve">Peng, R.D. 2009. Reproducible research and biostatistics.</w:t>
      </w:r>
      <w:r>
        <w:t xml:space="preserve"> </w:t>
      </w:r>
      <w:r>
        <w:rPr>
          <w:i/>
        </w:rPr>
        <w:t xml:space="preserve">biostatistics</w:t>
      </w:r>
      <w:r>
        <w:t xml:space="preserve"> </w:t>
      </w:r>
      <w:r>
        <w:t xml:space="preserve">10(3): 405–408. DOI:</w:t>
      </w:r>
      <w:r>
        <w:t xml:space="preserve"> </w:t>
      </w:r>
      <w:hyperlink r:id="rId150">
        <w:r>
          <w:rPr>
            <w:rStyle w:val="Hyperlink"/>
          </w:rPr>
          <w:t xml:space="preserve">10.1093/biostatistics/kxp014</w:t>
        </w:r>
      </w:hyperlink>
      <w:r>
        <w:t xml:space="preserve"> </w:t>
      </w:r>
      <w:r>
        <w:t xml:space="preserve">[Accessed May 18, 2015].</w:t>
      </w:r>
    </w:p>
    <w:bookmarkEnd w:id="151"/>
    <w:bookmarkStart w:id="153" w:name="ref-peng2011reproducible"/>
    <w:p>
      <w:pPr>
        <w:pStyle w:val="BodyText"/>
      </w:pPr>
      <w:r>
        <w:t xml:space="preserve">Peng, R.D. 2011. Reproducible research in computational science.</w:t>
      </w:r>
      <w:r>
        <w:t xml:space="preserve"> </w:t>
      </w:r>
      <w:r>
        <w:rPr>
          <w:i/>
        </w:rPr>
        <w:t xml:space="preserve">Science (New York, Ny)</w:t>
      </w:r>
      <w:r>
        <w:t xml:space="preserve"> </w:t>
      </w:r>
      <w:r>
        <w:t xml:space="preserve">334(6060): 1226. DOI:</w:t>
      </w:r>
      <w:r>
        <w:t xml:space="preserve"> </w:t>
      </w:r>
      <w:hyperlink r:id="rId152">
        <w:r>
          <w:rPr>
            <w:rStyle w:val="Hyperlink"/>
          </w:rPr>
          <w:t xml:space="preserve">10.1126/science.1213847</w:t>
        </w:r>
      </w:hyperlink>
      <w:r>
        <w:t xml:space="preserve">.</w:t>
      </w:r>
    </w:p>
    <w:bookmarkEnd w:id="153"/>
    <w:bookmarkStart w:id="154" w:name="ref-popper1970"/>
    <w:p>
      <w:pPr>
        <w:pStyle w:val="BodyText"/>
      </w:pPr>
      <w:r>
        <w:t xml:space="preserve">Popper, K. 1970. Normal science and its dangers. In: A. Musgrave &amp; others (eds)</w:t>
      </w:r>
      <w:r>
        <w:t xml:space="preserve"> </w:t>
      </w:r>
      <w:r>
        <w:rPr>
          <w:i/>
        </w:rPr>
        <w:t xml:space="preserve">Criticism and the growth of knowledge: Volume 4: Proceedings of the international colloquium in the philosophy of science, london, 1965</w:t>
      </w:r>
      <w:r>
        <w:t xml:space="preserve">, 51–58. Cambridge University Press</w:t>
      </w:r>
    </w:p>
    <w:bookmarkEnd w:id="154"/>
    <w:bookmarkStart w:id="156" w:name="ref-Ram_2013"/>
    <w:p>
      <w:pPr>
        <w:pStyle w:val="BodyText"/>
      </w:pPr>
      <w:r>
        <w:t xml:space="preserve">Ram, K. 2013. Git can facilitate greater reproducibility and increased transparency in science.</w:t>
      </w:r>
      <w:r>
        <w:t xml:space="preserve"> </w:t>
      </w:r>
      <w:r>
        <w:rPr>
          <w:i/>
        </w:rPr>
        <w:t xml:space="preserve">Source Code for Biology and Medicine</w:t>
      </w:r>
      <w:r>
        <w:t xml:space="preserve"> </w:t>
      </w:r>
      <w:r>
        <w:t xml:space="preserve">8(1): 7. DOI:</w:t>
      </w:r>
      <w:r>
        <w:t xml:space="preserve"> </w:t>
      </w:r>
      <w:hyperlink r:id="rId155">
        <w:r>
          <w:rPr>
            <w:rStyle w:val="Hyperlink"/>
          </w:rPr>
          <w:t xml:space="preserve">10.1186/1751-0473-8-7</w:t>
        </w:r>
      </w:hyperlink>
      <w:r>
        <w:t xml:space="preserve">.</w:t>
      </w:r>
    </w:p>
    <w:bookmarkEnd w:id="156"/>
    <w:bookmarkStart w:id="158" w:name="ref-Rendell_et_al_2011"/>
    <w:p>
      <w:pPr>
        <w:pStyle w:val="BodyText"/>
      </w:pPr>
      <w:r>
        <w:t xml:space="preserve">Rendell, L. et al. 2011. Cognitive culture: Theoretical and empirical insights into social learning strategies.</w:t>
      </w:r>
      <w:r>
        <w:t xml:space="preserve"> </w:t>
      </w:r>
      <w:r>
        <w:rPr>
          <w:i/>
        </w:rPr>
        <w:t xml:space="preserve">Trends in Cognitive Sciences</w:t>
      </w:r>
      <w:r>
        <w:t xml:space="preserve"> </w:t>
      </w:r>
      <w:r>
        <w:t xml:space="preserve">15(2): 68–76. DOI:</w:t>
      </w:r>
      <w:r>
        <w:t xml:space="preserve"> </w:t>
      </w:r>
      <w:hyperlink r:id="rId157">
        <w:r>
          <w:rPr>
            <w:rStyle w:val="Hyperlink"/>
          </w:rPr>
          <w:t xml:space="preserve">10.1016/j.tics.2010.12.002</w:t>
        </w:r>
      </w:hyperlink>
      <w:r>
        <w:t xml:space="preserve">.</w:t>
      </w:r>
    </w:p>
    <w:bookmarkEnd w:id="158"/>
    <w:bookmarkStart w:id="160" w:name="ref-Sandve2013"/>
    <w:p>
      <w:pPr>
        <w:pStyle w:val="BodyText"/>
      </w:pPr>
      <w:r>
        <w:t xml:space="preserve">Sandve, G.K., Nekrutenko, A., Taylor, J., &amp; Hovig, E. 2013. Ten simple rules for reproducible computational research.</w:t>
      </w:r>
      <w:r>
        <w:t xml:space="preserve"> </w:t>
      </w:r>
      <w:r>
        <w:rPr>
          <w:i/>
        </w:rPr>
        <w:t xml:space="preserve">PLoS Comput Biol</w:t>
      </w:r>
      <w:r>
        <w:t xml:space="preserve"> </w:t>
      </w:r>
      <w:r>
        <w:t xml:space="preserve">9(10): e1003285. DOI:</w:t>
      </w:r>
      <w:r>
        <w:t xml:space="preserve"> </w:t>
      </w:r>
      <w:hyperlink r:id="rId159">
        <w:r>
          <w:rPr>
            <w:rStyle w:val="Hyperlink"/>
          </w:rPr>
          <w:t xml:space="preserve">10.1371/journal.pcbi.1003285</w:t>
        </w:r>
      </w:hyperlink>
      <w:r>
        <w:t xml:space="preserve"> </w:t>
      </w:r>
      <w:r>
        <w:t xml:space="preserve">[Accessed May 17, 2015].</w:t>
      </w:r>
    </w:p>
    <w:bookmarkEnd w:id="160"/>
    <w:bookmarkStart w:id="161" w:name="ref-Schiffer_2013"/>
    <w:p>
      <w:pPr>
        <w:pStyle w:val="BodyText"/>
      </w:pPr>
      <w:r>
        <w:t xml:space="preserve">Schiffer, M.B. 2013.</w:t>
      </w:r>
      <w:r>
        <w:t xml:space="preserve"> </w:t>
      </w:r>
      <w:r>
        <w:rPr>
          <w:i/>
        </w:rPr>
        <w:t xml:space="preserve">The archaeology of science: Studying the creation of useful knowledge</w:t>
      </w:r>
      <w:r>
        <w:t xml:space="preserve">. Springer International Publishing.</w:t>
      </w:r>
    </w:p>
    <w:bookmarkEnd w:id="161"/>
    <w:bookmarkStart w:id="162" w:name="ref-simondon_mode_1958"/>
    <w:p>
      <w:pPr>
        <w:pStyle w:val="BodyText"/>
      </w:pPr>
      <w:r>
        <w:t xml:space="preserve">Simondon, G. 2011. On the mode of existence of technical objects (trans: Mellamphy, n., mellamphy, d. And biswas mellamphy, n.).</w:t>
      </w:r>
      <w:r>
        <w:t xml:space="preserve"> </w:t>
      </w:r>
      <w:r>
        <w:rPr>
          <w:i/>
        </w:rPr>
        <w:t xml:space="preserve">Deleuze Studies</w:t>
      </w:r>
      <w:r>
        <w:t xml:space="preserve"> </w:t>
      </w:r>
      <w:r>
        <w:t xml:space="preserve">5(3): 407–424.</w:t>
      </w:r>
    </w:p>
    <w:bookmarkEnd w:id="162"/>
    <w:bookmarkStart w:id="164" w:name="ref-Slater_et_al_2019"/>
    <w:p>
      <w:pPr>
        <w:pStyle w:val="BodyText"/>
      </w:pPr>
      <w:r>
        <w:t xml:space="preserve">Slater, L.J. et al. 2019. Using R in hydrology: A review of recent developments and future directions.</w:t>
      </w:r>
      <w:r>
        <w:t xml:space="preserve"> </w:t>
      </w:r>
      <w:r>
        <w:rPr>
          <w:i/>
        </w:rPr>
        <w:t xml:space="preserve">Hydrology and Earth System Sciences</w:t>
      </w:r>
      <w:r>
        <w:t xml:space="preserve"> </w:t>
      </w:r>
      <w:r>
        <w:t xml:space="preserve">23(7): 2939–2963. DOI:</w:t>
      </w:r>
      <w:r>
        <w:t xml:space="preserve"> </w:t>
      </w:r>
      <w:hyperlink r:id="rId163">
        <w:r>
          <w:rPr>
            <w:rStyle w:val="Hyperlink"/>
          </w:rPr>
          <w:t xml:space="preserve">https://doi.org/10.5194/hess-23-2939-2019</w:t>
        </w:r>
      </w:hyperlink>
      <w:r>
        <w:t xml:space="preserve">.</w:t>
      </w:r>
    </w:p>
    <w:bookmarkEnd w:id="164"/>
    <w:bookmarkStart w:id="166" w:name="ref-Snodgrass_2002"/>
    <w:p>
      <w:pPr>
        <w:pStyle w:val="BodyText"/>
      </w:pPr>
      <w:r>
        <w:t xml:space="preserve">Snodgrass, A. 2002. A paradigm shift in classical archaeology?</w:t>
      </w:r>
      <w:r>
        <w:t xml:space="preserve"> </w:t>
      </w:r>
      <w:r>
        <w:rPr>
          <w:i/>
        </w:rPr>
        <w:t xml:space="preserve">Cambridge Archaeological Journal</w:t>
      </w:r>
      <w:r>
        <w:t xml:space="preserve"> </w:t>
      </w:r>
      <w:r>
        <w:t xml:space="preserve">12(2): 179–194. DOI:</w:t>
      </w:r>
      <w:r>
        <w:t xml:space="preserve"> </w:t>
      </w:r>
      <w:hyperlink r:id="rId165">
        <w:r>
          <w:rPr>
            <w:rStyle w:val="Hyperlink"/>
          </w:rPr>
          <w:t xml:space="preserve">10.1017/S0959774302000094</w:t>
        </w:r>
      </w:hyperlink>
      <w:r>
        <w:t xml:space="preserve">.</w:t>
      </w:r>
    </w:p>
    <w:bookmarkEnd w:id="166"/>
    <w:bookmarkStart w:id="168" w:name="ref-Stark_2018"/>
    <w:p>
      <w:pPr>
        <w:pStyle w:val="BodyText"/>
      </w:pPr>
      <w:r>
        <w:t xml:space="preserve">Stark, P.B. 2018. Before reproducibility must come preproducibility.</w:t>
      </w:r>
      <w:r>
        <w:t xml:space="preserve"> </w:t>
      </w:r>
      <w:r>
        <w:rPr>
          <w:i/>
        </w:rPr>
        <w:t xml:space="preserve">Nature</w:t>
      </w:r>
      <w:r>
        <w:t xml:space="preserve"> </w:t>
      </w:r>
      <w:r>
        <w:t xml:space="preserve">557: 613. DOI:</w:t>
      </w:r>
      <w:r>
        <w:t xml:space="preserve"> </w:t>
      </w:r>
      <w:hyperlink r:id="rId167">
        <w:r>
          <w:rPr>
            <w:rStyle w:val="Hyperlink"/>
          </w:rPr>
          <w:t xml:space="preserve">10.1038/d41586-018-05256-0</w:t>
        </w:r>
      </w:hyperlink>
      <w:r>
        <w:t xml:space="preserve">.</w:t>
      </w:r>
    </w:p>
    <w:bookmarkEnd w:id="168"/>
    <w:bookmarkStart w:id="170" w:name="ref-Stodden_2013"/>
    <w:p>
      <w:pPr>
        <w:pStyle w:val="BodyText"/>
      </w:pPr>
      <w:r>
        <w:t xml:space="preserve">Stodden, V., Guo, P., &amp; Ma, Z. 2013. Toward reproducible computational research: An empirical analysis of data and code policy adoption by journals.</w:t>
      </w:r>
      <w:r>
        <w:t xml:space="preserve"> </w:t>
      </w:r>
      <w:r>
        <w:rPr>
          <w:i/>
        </w:rPr>
        <w:t xml:space="preserve">PLOS ONE</w:t>
      </w:r>
      <w:r>
        <w:t xml:space="preserve"> </w:t>
      </w:r>
      <w:r>
        <w:t xml:space="preserve">8(6): e67111. DOI:</w:t>
      </w:r>
      <w:r>
        <w:t xml:space="preserve"> </w:t>
      </w:r>
      <w:hyperlink r:id="rId169">
        <w:r>
          <w:rPr>
            <w:rStyle w:val="Hyperlink"/>
          </w:rPr>
          <w:t xml:space="preserve">10.1371/journal.pone.0067111</w:t>
        </w:r>
      </w:hyperlink>
      <w:r>
        <w:t xml:space="preserve"> </w:t>
      </w:r>
      <w:r>
        <w:t xml:space="preserve">[Accessed September 10, 2018].</w:t>
      </w:r>
    </w:p>
    <w:bookmarkEnd w:id="170"/>
    <w:bookmarkStart w:id="172" w:name="ref-Strupler_2017"/>
    <w:p>
      <w:pPr>
        <w:pStyle w:val="BodyText"/>
      </w:pPr>
      <w:r>
        <w:t xml:space="preserve">Strupler, N., &amp; Wilkinson, T.C. 2017. Reproducibility in the field: Transparency, version control and collaboration on the project panormos survey.</w:t>
      </w:r>
      <w:r>
        <w:t xml:space="preserve"> </w:t>
      </w:r>
      <w:r>
        <w:rPr>
          <w:i/>
        </w:rPr>
        <w:t xml:space="preserve">Open Archaeology</w:t>
      </w:r>
      <w:r>
        <w:t xml:space="preserve"> </w:t>
      </w:r>
      <w:r>
        <w:t xml:space="preserve">3(1): 279–304. DOI:</w:t>
      </w:r>
      <w:r>
        <w:t xml:space="preserve"> </w:t>
      </w:r>
      <w:hyperlink r:id="rId171">
        <w:r>
          <w:rPr>
            <w:rStyle w:val="Hyperlink"/>
          </w:rPr>
          <w:t xml:space="preserve">10.1515/opar-2017-0019</w:t>
        </w:r>
      </w:hyperlink>
      <w:r>
        <w:t xml:space="preserve"> </w:t>
      </w:r>
      <w:r>
        <w:t xml:space="preserve">[Accessed September 10, 2018].</w:t>
      </w:r>
    </w:p>
    <w:bookmarkEnd w:id="172"/>
    <w:bookmarkStart w:id="174" w:name="ref-Thieme_2018"/>
    <w:p>
      <w:pPr>
        <w:pStyle w:val="BodyText"/>
      </w:pPr>
      <w:r>
        <w:t xml:space="preserve">Thieme, N. 2018. R generation.</w:t>
      </w:r>
      <w:r>
        <w:t xml:space="preserve"> </w:t>
      </w:r>
      <w:r>
        <w:rPr>
          <w:i/>
        </w:rPr>
        <w:t xml:space="preserve">Significance</w:t>
      </w:r>
      <w:r>
        <w:t xml:space="preserve"> </w:t>
      </w:r>
      <w:r>
        <w:t xml:space="preserve">15(4): 14–19. DOI:</w:t>
      </w:r>
      <w:r>
        <w:t xml:space="preserve"> </w:t>
      </w:r>
      <w:hyperlink r:id="rId173">
        <w:r>
          <w:rPr>
            <w:rStyle w:val="Hyperlink"/>
          </w:rPr>
          <w:t xml:space="preserve">10.1111/j.1740-9713.2018.01169.x</w:t>
        </w:r>
      </w:hyperlink>
      <w:r>
        <w:t xml:space="preserve">.</w:t>
      </w:r>
    </w:p>
    <w:bookmarkEnd w:id="174"/>
    <w:bookmarkStart w:id="176" w:name="ref-Tippmann_2015"/>
    <w:p>
      <w:pPr>
        <w:pStyle w:val="BodyText"/>
      </w:pPr>
      <w:r>
        <w:t xml:space="preserve">Tippmann, S. 2015. Programming tools: Adventures with R.</w:t>
      </w:r>
      <w:r>
        <w:t xml:space="preserve"> </w:t>
      </w:r>
      <w:r>
        <w:rPr>
          <w:i/>
        </w:rPr>
        <w:t xml:space="preserve">Nature News</w:t>
      </w:r>
      <w:r>
        <w:t xml:space="preserve"> </w:t>
      </w:r>
      <w:r>
        <w:t xml:space="preserve">517(7532): 109. DOI:</w:t>
      </w:r>
      <w:r>
        <w:t xml:space="preserve"> </w:t>
      </w:r>
      <w:hyperlink r:id="rId175">
        <w:r>
          <w:rPr>
            <w:rStyle w:val="Hyperlink"/>
          </w:rPr>
          <w:t xml:space="preserve">10.1038/517109a</w:t>
        </w:r>
      </w:hyperlink>
      <w:r>
        <w:t xml:space="preserve">.</w:t>
      </w:r>
    </w:p>
    <w:bookmarkEnd w:id="176"/>
    <w:bookmarkStart w:id="178" w:name="ref-Touchon_McCoy_2016"/>
    <w:p>
      <w:pPr>
        <w:pStyle w:val="BodyText"/>
      </w:pPr>
      <w:r>
        <w:t xml:space="preserve">Touchon, J.C., &amp; McCoy, M.W. 2016. The mismatch between current statistical practice and doctoral training in ecology.</w:t>
      </w:r>
      <w:r>
        <w:t xml:space="preserve"> </w:t>
      </w:r>
      <w:r>
        <w:rPr>
          <w:i/>
        </w:rPr>
        <w:t xml:space="preserve">Ecosphere</w:t>
      </w:r>
      <w:r>
        <w:t xml:space="preserve"> </w:t>
      </w:r>
      <w:r>
        <w:t xml:space="preserve">7(8): e01394. DOI:</w:t>
      </w:r>
      <w:r>
        <w:t xml:space="preserve"> </w:t>
      </w:r>
      <w:hyperlink r:id="rId177">
        <w:r>
          <w:rPr>
            <w:rStyle w:val="Hyperlink"/>
          </w:rPr>
          <w:t xml:space="preserve">10.1002/ecs2.1394</w:t>
        </w:r>
      </w:hyperlink>
      <w:r>
        <w:t xml:space="preserve">.</w:t>
      </w:r>
    </w:p>
    <w:bookmarkEnd w:id="178"/>
    <w:bookmarkStart w:id="179" w:name="ref-toulmin1970does"/>
    <w:p>
      <w:pPr>
        <w:pStyle w:val="BodyText"/>
      </w:pPr>
      <w:r>
        <w:t xml:space="preserve">Toulmin, S. 1970. Does the distinction between normal and revolutionary science hold water. In: A. Musgrave &amp; others (eds)</w:t>
      </w:r>
      <w:r>
        <w:t xml:space="preserve"> </w:t>
      </w:r>
      <w:r>
        <w:rPr>
          <w:i/>
        </w:rPr>
        <w:t xml:space="preserve">Criticism and the growth of knowledge: Volume 4: Proceedings of the international colloquium in the philosophy of science, london, 1965</w:t>
      </w:r>
      <w:r>
        <w:t xml:space="preserve">, 39–48. Cambridge University Press</w:t>
      </w:r>
    </w:p>
    <w:bookmarkEnd w:id="179"/>
    <w:bookmarkStart w:id="180" w:name="ref-Trigger_2006"/>
    <w:p>
      <w:pPr>
        <w:pStyle w:val="BodyText"/>
      </w:pPr>
      <w:r>
        <w:t xml:space="preserve">Trigger, B.G. 2006.</w:t>
      </w:r>
      <w:r>
        <w:t xml:space="preserve"> </w:t>
      </w:r>
      <w:r>
        <w:rPr>
          <w:i/>
        </w:rPr>
        <w:t xml:space="preserve">A history of archaeological thought</w:t>
      </w:r>
      <w:r>
        <w:t xml:space="preserve"> </w:t>
      </w:r>
      <w:r>
        <w:t xml:space="preserve">2nd ed. Cambridge University Press.</w:t>
      </w:r>
    </w:p>
    <w:bookmarkEnd w:id="180"/>
    <w:bookmarkStart w:id="182" w:name="ref-Vaisey_Lizardo_2016"/>
    <w:p>
      <w:pPr>
        <w:pStyle w:val="BodyText"/>
      </w:pPr>
      <w:r>
        <w:t xml:space="preserve">Vaisey, S., &amp; Lizardo, O. 2016. Cultural fragmentation or acquired dispositions? A new approach to accounting for patterns of cultural change.</w:t>
      </w:r>
      <w:r>
        <w:t xml:space="preserve"> </w:t>
      </w:r>
      <w:r>
        <w:rPr>
          <w:i/>
        </w:rPr>
        <w:t xml:space="preserve">Socius</w:t>
      </w:r>
      <w:r>
        <w:t xml:space="preserve"> </w:t>
      </w:r>
      <w:r>
        <w:t xml:space="preserve">2: 2378023116669726. DOI:</w:t>
      </w:r>
      <w:r>
        <w:t xml:space="preserve"> </w:t>
      </w:r>
      <w:hyperlink r:id="rId181">
        <w:r>
          <w:rPr>
            <w:rStyle w:val="Hyperlink"/>
          </w:rPr>
          <w:t xml:space="preserve">10.1177/2378023116669726</w:t>
        </w:r>
      </w:hyperlink>
      <w:r>
        <w:t xml:space="preserve">.</w:t>
      </w:r>
    </w:p>
    <w:bookmarkEnd w:id="182"/>
    <w:bookmarkStart w:id="184" w:name="ref-Vandewalle2012"/>
    <w:p>
      <w:pPr>
        <w:pStyle w:val="BodyText"/>
      </w:pPr>
      <w:r>
        <w:t xml:space="preserve">Vandewalle, P. 2012. Code sharing is associated with research impact in image processing.</w:t>
      </w:r>
      <w:r>
        <w:t xml:space="preserve"> </w:t>
      </w:r>
      <w:r>
        <w:rPr>
          <w:i/>
        </w:rPr>
        <w:t xml:space="preserve">Computing in Science and Engineering</w:t>
      </w:r>
      <w:r>
        <w:t xml:space="preserve"> </w:t>
      </w:r>
      <w:r>
        <w:t xml:space="preserve">14(4): 42–47. DOI:</w:t>
      </w:r>
      <w:r>
        <w:t xml:space="preserve"> </w:t>
      </w:r>
      <w:hyperlink r:id="rId183">
        <w:r>
          <w:rPr>
            <w:rStyle w:val="Hyperlink"/>
          </w:rPr>
          <w:t xml:space="preserve">10.1109/MCSE.2012.63</w:t>
        </w:r>
      </w:hyperlink>
      <w:r>
        <w:t xml:space="preserve">.</w:t>
      </w:r>
    </w:p>
    <w:bookmarkEnd w:id="184"/>
    <w:bookmarkStart w:id="186" w:name="ref-watkins1970against"/>
    <w:p>
      <w:pPr>
        <w:pStyle w:val="BodyText"/>
      </w:pPr>
      <w:r>
        <w:t xml:space="preserve">Watkins, J.W.N. 1970. Against ‘normal science’. In: I. Lakatos &amp; A. Musgrave (eds)</w:t>
      </w:r>
      <w:r>
        <w:t xml:space="preserve"> </w:t>
      </w:r>
      <w:r>
        <w:rPr>
          <w:i/>
        </w:rPr>
        <w:t xml:space="preserve">Criticism and the growth of knowledge: Proceedings of the international colloquium in the philosophy of science, london, 1965</w:t>
      </w:r>
      <w:r>
        <w:t xml:space="preserve">, 25–38. Cambridge University Press DOI:</w:t>
      </w:r>
      <w:r>
        <w:t xml:space="preserve"> </w:t>
      </w:r>
      <w:hyperlink r:id="rId185">
        <w:r>
          <w:rPr>
            <w:rStyle w:val="Hyperlink"/>
          </w:rPr>
          <w:t xml:space="preserve">10.1017/CBO9781139171434.004</w:t>
        </w:r>
      </w:hyperlink>
      <w:r>
        <w:t xml:space="preserve">.</w:t>
      </w:r>
    </w:p>
    <w:bookmarkEnd w:id="186"/>
    <w:bookmarkStart w:id="187" w:name="ref-wickham2015r"/>
    <w:p>
      <w:pPr>
        <w:pStyle w:val="BodyText"/>
      </w:pPr>
      <w:r>
        <w:t xml:space="preserve">Wickham, H. 2015.</w:t>
      </w:r>
      <w:r>
        <w:t xml:space="preserve"> </w:t>
      </w:r>
      <w:r>
        <w:rPr>
          <w:i/>
        </w:rPr>
        <w:t xml:space="preserve">R packages: Organize, test, document, and share your code</w:t>
      </w:r>
      <w:r>
        <w:t xml:space="preserve">. " O’Reilly Media, Inc.".</w:t>
      </w:r>
    </w:p>
    <w:bookmarkEnd w:id="187"/>
    <w:bookmarkStart w:id="189" w:name="ref-wilkins1996are"/>
    <w:p>
      <w:pPr>
        <w:pStyle w:val="BodyText"/>
      </w:pPr>
      <w:r>
        <w:t xml:space="preserve">Wilkins, A.S. 1996. Are there ‘kuhnian’ revolutions in biology?</w:t>
      </w:r>
      <w:r>
        <w:t xml:space="preserve"> </w:t>
      </w:r>
      <w:r>
        <w:rPr>
          <w:i/>
        </w:rPr>
        <w:t xml:space="preserve">BioEssays</w:t>
      </w:r>
      <w:r>
        <w:t xml:space="preserve"> </w:t>
      </w:r>
      <w:r>
        <w:t xml:space="preserve">18(9): 695–696. DOI:</w:t>
      </w:r>
      <w:r>
        <w:t xml:space="preserve"> </w:t>
      </w:r>
      <w:hyperlink r:id="rId188">
        <w:r>
          <w:rPr>
            <w:rStyle w:val="Hyperlink"/>
          </w:rPr>
          <w:t xml:space="preserve">10.1002/bies.950180902</w:t>
        </w:r>
      </w:hyperlink>
      <w:r>
        <w:t xml:space="preserve">.</w:t>
      </w:r>
    </w:p>
    <w:bookmarkEnd w:id="189"/>
    <w:bookmarkStart w:id="191" w:name="ref-Wilson_et_al_2017"/>
    <w:p>
      <w:pPr>
        <w:pStyle w:val="BodyText"/>
      </w:pPr>
      <w:r>
        <w:t xml:space="preserve">Wilson, G. et al. 2017. Good enough practices in scientific computing.</w:t>
      </w:r>
      <w:r>
        <w:t xml:space="preserve"> </w:t>
      </w:r>
      <w:r>
        <w:rPr>
          <w:i/>
        </w:rPr>
        <w:t xml:space="preserve">PLOS Computational Biology</w:t>
      </w:r>
      <w:r>
        <w:t xml:space="preserve"> </w:t>
      </w:r>
      <w:r>
        <w:t xml:space="preserve">13(6): e1005510. DOI:</w:t>
      </w:r>
      <w:r>
        <w:t xml:space="preserve"> </w:t>
      </w:r>
      <w:hyperlink r:id="rId190">
        <w:r>
          <w:rPr>
            <w:rStyle w:val="Hyperlink"/>
          </w:rPr>
          <w:t xml:space="preserve">10.1371/journal.pcbi.1005510</w:t>
        </w:r>
      </w:hyperlink>
      <w:r>
        <w:t xml:space="preserve">.</w:t>
      </w:r>
    </w:p>
    <w:bookmarkEnd w:id="191"/>
    <w:bookmarkStart w:id="192" w:name="ref-xie2018r"/>
    <w:p>
      <w:pPr>
        <w:pStyle w:val="BodyText"/>
      </w:pPr>
      <w:r>
        <w:t xml:space="preserve">Xie, Y., Allaire, J., &amp; Grolemund, G. 2018.</w:t>
      </w:r>
      <w:r>
        <w:t xml:space="preserve"> </w:t>
      </w:r>
      <w:r>
        <w:rPr>
          <w:i/>
        </w:rPr>
        <w:t xml:space="preserve">R markdown: The definitive guide</w:t>
      </w:r>
      <w:r>
        <w:t xml:space="preserve">. CRC Press.</w:t>
      </w:r>
    </w:p>
    <w:bookmarkEnd w:id="192"/>
    <w:bookmarkEnd w:id="193"/>
    <w:p>
      <w:pPr>
        <w:pStyle w:val="Heading5"/>
      </w:pPr>
      <w:bookmarkStart w:id="194" w:name="pagebreak-1"/>
      <w:r>
        <w:t xml:space="preserve">pagebreak</w:t>
      </w:r>
      <w:bookmarkEnd w:id="194"/>
    </w:p>
    <w:p>
      <w:pPr>
        <w:pStyle w:val="Heading3"/>
      </w:pPr>
      <w:bookmarkStart w:id="195" w:name="colophon"/>
      <w:r>
        <w:t xml:space="preserve">Colophon</w:t>
      </w:r>
      <w:bookmarkEnd w:id="195"/>
    </w:p>
    <w:p>
      <w:pPr>
        <w:pStyle w:val="FirstParagraph"/>
      </w:pPr>
      <w:r>
        <w:t xml:space="preserve">This report was generated on 2020-01-14 16:55:21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Windows 7 x64 SP 1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ctype    German_Germany.1252         </w:t>
      </w:r>
      <w:r>
        <w:br w:type="textWrapping"/>
      </w:r>
      <w:r>
        <w:rPr>
          <w:rStyle w:val="VerbatimChar"/>
        </w:rPr>
        <w:t xml:space="preserve">#&gt;  tz       Europe/Berlin               </w:t>
      </w:r>
      <w:r>
        <w:br w:type="textWrapping"/>
      </w:r>
      <w:r>
        <w:rPr>
          <w:rStyle w:val="VerbatimChar"/>
        </w:rPr>
        <w:t xml:space="preserve">#&gt;  date     2020-01-14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acepack        1.4.1    2016-10-29 [1] CRAN (R 3.6.1)</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base64enc      0.1-3    2015-07-28 [1] CRAN (R 3.6.0)</w:t>
      </w:r>
      <w:r>
        <w:br w:type="textWrapping"/>
      </w:r>
      <w:r>
        <w:rPr>
          <w:rStyle w:val="VerbatimChar"/>
        </w:rPr>
        <w:t xml:space="preserve">#&gt;  bookdown       0.13     2019-08-21 [1] CRAN (R 3.6.1)</w:t>
      </w:r>
      <w:r>
        <w:br w:type="textWrapping"/>
      </w:r>
      <w:r>
        <w:rPr>
          <w:rStyle w:val="VerbatimChar"/>
        </w:rPr>
        <w:t xml:space="preserve">#&gt;  broom          0.5.2    2019-04-07 [1] CRAN (R 3.6.1)</w:t>
      </w:r>
      <w:r>
        <w:br w:type="textWrapping"/>
      </w:r>
      <w:r>
        <w:rPr>
          <w:rStyle w:val="VerbatimChar"/>
        </w:rPr>
        <w:t xml:space="preserve">#&gt;  callr          3.3.1    2019-07-18 [1] CRAN (R 3.6.1)</w:t>
      </w:r>
      <w:r>
        <w:br w:type="textWrapping"/>
      </w:r>
      <w:r>
        <w:rPr>
          <w:rStyle w:val="VerbatimChar"/>
        </w:rPr>
        <w:t xml:space="preserve">#&gt;  cellranger     1.1.0    2016-07-27 [1] CRAN (R 3.6.0)</w:t>
      </w:r>
      <w:r>
        <w:br w:type="textWrapping"/>
      </w:r>
      <w:r>
        <w:rPr>
          <w:rStyle w:val="VerbatimChar"/>
        </w:rPr>
        <w:t xml:space="preserve">#&gt;  checkmate      1.9.4    2019-07-04 [1] CRAN (R 3.6.1)</w:t>
      </w:r>
      <w:r>
        <w:br w:type="textWrapping"/>
      </w:r>
      <w:r>
        <w:rPr>
          <w:rStyle w:val="VerbatimChar"/>
        </w:rPr>
        <w:t xml:space="preserve">#&gt;  cli            1.1.0    2019-03-19 [1] CRAN (R 3.6.0)</w:t>
      </w:r>
      <w:r>
        <w:br w:type="textWrapping"/>
      </w:r>
      <w:r>
        <w:rPr>
          <w:rStyle w:val="VerbatimChar"/>
        </w:rPr>
        <w:t xml:space="preserve">#&gt;  cluster        2.1.0    2019-06-19 [1] CRAN (R 3.6.1)</w:t>
      </w:r>
      <w:r>
        <w:br w:type="textWrapping"/>
      </w:r>
      <w:r>
        <w:rPr>
          <w:rStyle w:val="VerbatimChar"/>
        </w:rPr>
        <w:t xml:space="preserve">#&gt;  colorspace     1.4-1    2019-03-18 [1] CRAN (R 3.6.0)</w:t>
      </w:r>
      <w:r>
        <w:br w:type="textWrapping"/>
      </w:r>
      <w:r>
        <w:rPr>
          <w:rStyle w:val="VerbatimChar"/>
        </w:rPr>
        <w:t xml:space="preserve">#&gt;  crayon         1.3.4    2017-09-16 [1] CRAN (R 3.6.0)</w:t>
      </w:r>
      <w:r>
        <w:br w:type="textWrapping"/>
      </w:r>
      <w:r>
        <w:rPr>
          <w:rStyle w:val="VerbatimChar"/>
        </w:rPr>
        <w:t xml:space="preserve">#&gt;  data.table     1.12.2   2019-04-07 [1] CRAN (R 3.6.1)</w:t>
      </w:r>
      <w:r>
        <w:br w:type="textWrapping"/>
      </w:r>
      <w:r>
        <w:rPr>
          <w:rStyle w:val="VerbatimChar"/>
        </w:rPr>
        <w:t xml:space="preserve">#&gt;  desc           1.2.0    2018-05-01 [1] CRAN (R 3.6.0)</w:t>
      </w:r>
      <w:r>
        <w:br w:type="textWrapping"/>
      </w:r>
      <w:r>
        <w:rPr>
          <w:rStyle w:val="VerbatimChar"/>
        </w:rPr>
        <w:t xml:space="preserve">#&gt;  devtools       2.1.0    2019-07-06 [1] CRAN (R 3.6.1)</w:t>
      </w:r>
      <w:r>
        <w:br w:type="textWrapping"/>
      </w:r>
      <w:r>
        <w:rPr>
          <w:rStyle w:val="VerbatimChar"/>
        </w:rPr>
        <w:t xml:space="preserve">#&gt;  digest         0.6.20   2019-07-04 [1] CRAN (R 3.6.1)</w:t>
      </w:r>
      <w:r>
        <w:br w:type="textWrapping"/>
      </w:r>
      <w:r>
        <w:rPr>
          <w:rStyle w:val="VerbatimChar"/>
        </w:rPr>
        <w:t xml:space="preserve">#&gt;  dplyr        * 0.8.3    2019-07-04 [1] CRAN (R 3.6.1)</w:t>
      </w:r>
      <w:r>
        <w:br w:type="textWrapping"/>
      </w:r>
      <w:r>
        <w:rPr>
          <w:rStyle w:val="VerbatimChar"/>
        </w:rPr>
        <w:t xml:space="preserve">#&gt;  ellipsis       0.2.0.1  2019-07-02 [1] CRAN (R 3.6.1)</w:t>
      </w:r>
      <w:r>
        <w:br w:type="textWrapping"/>
      </w:r>
      <w:r>
        <w:rPr>
          <w:rStyle w:val="VerbatimChar"/>
        </w:rPr>
        <w:t xml:space="preserve">#&gt;  evaluate       0.14     2019-05-28 [1] CRAN (R 3.6.0)</w:t>
      </w:r>
      <w:r>
        <w:br w:type="textWrapping"/>
      </w:r>
      <w:r>
        <w:rPr>
          <w:rStyle w:val="VerbatimChar"/>
        </w:rPr>
        <w:t xml:space="preserve">#&gt;  forcats      * 0.4.0    2019-02-17 [1] CRAN (R 3.6.1)</w:t>
      </w:r>
      <w:r>
        <w:br w:type="textWrapping"/>
      </w:r>
      <w:r>
        <w:rPr>
          <w:rStyle w:val="VerbatimChar"/>
        </w:rPr>
        <w:t xml:space="preserve">#&gt;  foreign        0.8-71   2018-07-20 [2] CRAN (R 3.6.1)</w:t>
      </w:r>
      <w:r>
        <w:br w:type="textWrapping"/>
      </w:r>
      <w:r>
        <w:rPr>
          <w:rStyle w:val="VerbatimChar"/>
        </w:rPr>
        <w:t xml:space="preserve">#&gt;  Formula      * 1.2-3    2018-05-03 [1] CRAN (R 3.6.0)</w:t>
      </w:r>
      <w:r>
        <w:br w:type="textWrapping"/>
      </w:r>
      <w:r>
        <w:rPr>
          <w:rStyle w:val="VerbatimChar"/>
        </w:rPr>
        <w:t xml:space="preserve">#&gt;  fs             1.3.1    2019-05-06 [1] CRAN (R 3.6.0)</w:t>
      </w:r>
      <w:r>
        <w:br w:type="textWrapping"/>
      </w:r>
      <w:r>
        <w:rPr>
          <w:rStyle w:val="VerbatimChar"/>
        </w:rPr>
        <w:t xml:space="preserve">#&gt;  generics       0.0.2    2018-11-29 [1] CRAN (R 3.6.1)</w:t>
      </w:r>
      <w:r>
        <w:br w:type="textWrapping"/>
      </w:r>
      <w:r>
        <w:rPr>
          <w:rStyle w:val="VerbatimChar"/>
        </w:rPr>
        <w:t xml:space="preserve">#&gt;  ggplot2      * 3.2.1    2019-08-10 [1] CRAN (R 3.6.1)</w:t>
      </w:r>
      <w:r>
        <w:br w:type="textWrapping"/>
      </w:r>
      <w:r>
        <w:rPr>
          <w:rStyle w:val="VerbatimChar"/>
        </w:rPr>
        <w:t xml:space="preserve">#&gt;  ggpmisc      * 0.3.1    2019-04-02 [1] CRAN (R 3.6.1)</w:t>
      </w:r>
      <w:r>
        <w:br w:type="textWrapping"/>
      </w:r>
      <w:r>
        <w:rPr>
          <w:rStyle w:val="VerbatimChar"/>
        </w:rPr>
        <w:t xml:space="preserve">#&gt;  ggrepel      * 0.8.1    2019-05-07 [1] CRAN (R 3.6.1)</w:t>
      </w:r>
      <w:r>
        <w:br w:type="textWrapping"/>
      </w:r>
      <w:r>
        <w:rPr>
          <w:rStyle w:val="VerbatimChar"/>
        </w:rPr>
        <w:t xml:space="preserve">#&gt;  glue         * 1.3.1    2019-03-12 [1] CRAN (R 3.6.0)</w:t>
      </w:r>
      <w:r>
        <w:br w:type="textWrapping"/>
      </w:r>
      <w:r>
        <w:rPr>
          <w:rStyle w:val="VerbatimChar"/>
        </w:rPr>
        <w:t xml:space="preserve">#&gt;  gridExtra      2.3      2017-09-09 [1] CRAN (R 3.6.1)</w:t>
      </w:r>
      <w:r>
        <w:br w:type="textWrapping"/>
      </w:r>
      <w:r>
        <w:rPr>
          <w:rStyle w:val="VerbatimChar"/>
        </w:rPr>
        <w:t xml:space="preserve">#&gt;  gtable         0.3.0    2019-03-25 [1] CRAN (R 3.6.0)</w:t>
      </w:r>
      <w:r>
        <w:br w:type="textWrapping"/>
      </w:r>
      <w:r>
        <w:rPr>
          <w:rStyle w:val="VerbatimChar"/>
        </w:rPr>
        <w:t xml:space="preserve">#&gt;  haven          2.1.1    2019-07-04 [1] CRAN (R 3.6.1)</w:t>
      </w:r>
      <w:r>
        <w:br w:type="textWrapping"/>
      </w:r>
      <w:r>
        <w:rPr>
          <w:rStyle w:val="VerbatimChar"/>
        </w:rPr>
        <w:t xml:space="preserve">#&gt;  here           0.1      2017-05-28 [1] CRAN (R 3.6.0)</w:t>
      </w:r>
      <w:r>
        <w:br w:type="textWrapping"/>
      </w:r>
      <w:r>
        <w:rPr>
          <w:rStyle w:val="VerbatimChar"/>
        </w:rPr>
        <w:t xml:space="preserve">#&gt;  highr          0.8      2019-03-20 [1] CRAN (R 3.6.0)</w:t>
      </w:r>
      <w:r>
        <w:br w:type="textWrapping"/>
      </w:r>
      <w:r>
        <w:rPr>
          <w:rStyle w:val="VerbatimChar"/>
        </w:rPr>
        <w:t xml:space="preserve">#&gt;  Hmisc        * 4.2-0    2019-01-26 [1] CRAN (R 3.6.1)</w:t>
      </w:r>
      <w:r>
        <w:br w:type="textWrapping"/>
      </w:r>
      <w:r>
        <w:rPr>
          <w:rStyle w:val="VerbatimChar"/>
        </w:rPr>
        <w:t xml:space="preserve">#&gt;  hms            0.5.0    2019-07-09 [1] CRAN (R 3.6.1)</w:t>
      </w:r>
      <w:r>
        <w:br w:type="textWrapping"/>
      </w:r>
      <w:r>
        <w:rPr>
          <w:rStyle w:val="VerbatimChar"/>
        </w:rPr>
        <w:t xml:space="preserve">#&gt;  htmlTable      1.13.1   2019-01-07 [1] CRAN (R 3.6.1)</w:t>
      </w:r>
      <w:r>
        <w:br w:type="textWrapping"/>
      </w:r>
      <w:r>
        <w:rPr>
          <w:rStyle w:val="VerbatimChar"/>
        </w:rPr>
        <w:t xml:space="preserve">#&gt;  htmltools      0.3.6    2017-04-28 [1] CRAN (R 3.6.0)</w:t>
      </w:r>
      <w:r>
        <w:br w:type="textWrapping"/>
      </w:r>
      <w:r>
        <w:rPr>
          <w:rStyle w:val="VerbatimChar"/>
        </w:rPr>
        <w:t xml:space="preserve">#&gt;  htmlwidgets    1.3      2018-09-30 [1] CRAN (R 3.6.1)</w:t>
      </w:r>
      <w:r>
        <w:br w:type="textWrapping"/>
      </w:r>
      <w:r>
        <w:rPr>
          <w:rStyle w:val="VerbatimChar"/>
        </w:rPr>
        <w:t xml:space="preserve">#&gt;  httr           1.4.1    2019-08-05 [1] CRAN (R 3.6.1)</w:t>
      </w:r>
      <w:r>
        <w:br w:type="textWrapping"/>
      </w:r>
      <w:r>
        <w:rPr>
          <w:rStyle w:val="VerbatimChar"/>
        </w:rPr>
        <w:t xml:space="preserve">#&gt;  janeaustenr    0.1.5    2017-06-10 [1] CRAN (R 3.6.1)</w:t>
      </w:r>
      <w:r>
        <w:br w:type="textWrapping"/>
      </w:r>
      <w:r>
        <w:rPr>
          <w:rStyle w:val="VerbatimChar"/>
        </w:rPr>
        <w:t xml:space="preserve">#&gt;  jsonlite       1.6      2018-12-07 [1] CRAN (R 3.6.0)</w:t>
      </w:r>
      <w:r>
        <w:br w:type="textWrapping"/>
      </w:r>
      <w:r>
        <w:rPr>
          <w:rStyle w:val="VerbatimChar"/>
        </w:rPr>
        <w:t xml:space="preserve">#&gt;  knitr          1.24     2019-08-08 [1] CRAN (R 3.6.1)</w:t>
      </w:r>
      <w:r>
        <w:br w:type="textWrapping"/>
      </w:r>
      <w:r>
        <w:rPr>
          <w:rStyle w:val="VerbatimChar"/>
        </w:rPr>
        <w:t xml:space="preserve">#&gt;  labeling       0.3      2014-08-23 [1] CRAN (R 3.6.0)</w:t>
      </w:r>
      <w:r>
        <w:br w:type="textWrapping"/>
      </w:r>
      <w:r>
        <w:rPr>
          <w:rStyle w:val="VerbatimChar"/>
        </w:rPr>
        <w:t xml:space="preserve">#&gt;  lattice      * 0.20-38  2018-11-04 [2] CRAN (R 3.6.1)</w:t>
      </w:r>
      <w:r>
        <w:br w:type="textWrapping"/>
      </w:r>
      <w:r>
        <w:rPr>
          <w:rStyle w:val="VerbatimChar"/>
        </w:rPr>
        <w:t xml:space="preserve">#&gt;  latticeExtra   0.6-28   2016-02-09 [1] CRAN (R 3.6.1)</w:t>
      </w:r>
      <w:r>
        <w:br w:type="textWrapping"/>
      </w:r>
      <w:r>
        <w:rPr>
          <w:rStyle w:val="VerbatimChar"/>
        </w:rPr>
        <w:t xml:space="preserve">#&gt;  lazyeval       0.2.2    2019-03-15 [1] CRAN (R 3.6.0)</w:t>
      </w:r>
      <w:r>
        <w:br w:type="textWrapping"/>
      </w:r>
      <w:r>
        <w:rPr>
          <w:rStyle w:val="VerbatimChar"/>
        </w:rPr>
        <w:t xml:space="preserve">#&gt;  lemon          0.4.3    2019-01-08 [1] CRAN (R 3.6.1)</w:t>
      </w:r>
      <w:r>
        <w:br w:type="textWrapping"/>
      </w:r>
      <w:r>
        <w:rPr>
          <w:rStyle w:val="VerbatimChar"/>
        </w:rPr>
        <w:t xml:space="preserve">#&gt;  lifecycle      0.1.0    2019-08-01 [1] CRAN (R 3.6.1)</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Matrix         1.2-17   2019-03-22 [2] CRAN (R 3.6.1)</w:t>
      </w:r>
      <w:r>
        <w:br w:type="textWrapping"/>
      </w:r>
      <w:r>
        <w:rPr>
          <w:rStyle w:val="VerbatimChar"/>
        </w:rPr>
        <w:t xml:space="preserve">#&gt;  memoise        1.1.0    2017-04-21 [1] CRAN (R 3.6.0)</w:t>
      </w:r>
      <w:r>
        <w:br w:type="textWrapping"/>
      </w:r>
      <w:r>
        <w:rPr>
          <w:rStyle w:val="VerbatimChar"/>
        </w:rPr>
        <w:t xml:space="preserve">#&gt;  modelr         0.1.5    2019-08-08 [1] CRAN (R 3.6.1)</w:t>
      </w:r>
      <w:r>
        <w:br w:type="textWrapping"/>
      </w:r>
      <w:r>
        <w:rPr>
          <w:rStyle w:val="VerbatimChar"/>
        </w:rPr>
        <w:t xml:space="preserve">#&gt;  munsell        0.5.0    2018-06-12 [1] CRAN (R 3.6.0)</w:t>
      </w:r>
      <w:r>
        <w:br w:type="textWrapping"/>
      </w:r>
      <w:r>
        <w:rPr>
          <w:rStyle w:val="VerbatimChar"/>
        </w:rPr>
        <w:t xml:space="preserve">#&gt;  nlme           3.1-140  2019-05-12 [2] CRAN (R 3.6.1)</w:t>
      </w:r>
      <w:r>
        <w:br w:type="textWrapping"/>
      </w:r>
      <w:r>
        <w:rPr>
          <w:rStyle w:val="VerbatimChar"/>
        </w:rPr>
        <w:t xml:space="preserve">#&gt;  nnet           7.3-12   2016-02-02 [2] CRAN (R 3.6.1)</w:t>
      </w:r>
      <w:r>
        <w:br w:type="textWrapping"/>
      </w:r>
      <w:r>
        <w:rPr>
          <w:rStyle w:val="VerbatimChar"/>
        </w:rPr>
        <w:t xml:space="preserve">#&gt;  pillar         1.4.2    2019-06-29 [1] CRAN (R 3.6.1)</w:t>
      </w:r>
      <w:r>
        <w:br w:type="textWrapping"/>
      </w:r>
      <w:r>
        <w:rPr>
          <w:rStyle w:val="VerbatimChar"/>
        </w:rPr>
        <w:t xml:space="preserve">#&gt;  pkgbuild       1.0.4    2019-08-05 [1] CRAN (R 3.6.1)</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polynom        1.4-0    2019-03-22 [1] CRAN (R 3.6.1)</w:t>
      </w:r>
      <w:r>
        <w:br w:type="textWrapping"/>
      </w:r>
      <w:r>
        <w:rPr>
          <w:rStyle w:val="VerbatimChar"/>
        </w:rPr>
        <w:t xml:space="preserve">#&gt;  prettyunits    1.0.2    2015-07-13 [1] CRAN (R 3.6.0)</w:t>
      </w:r>
      <w:r>
        <w:br w:type="textWrapping"/>
      </w:r>
      <w:r>
        <w:rPr>
          <w:rStyle w:val="VerbatimChar"/>
        </w:rPr>
        <w:t xml:space="preserve">#&gt;  processx       3.4.1    2019-07-18 [1] CRAN (R 3.6.1)</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RColorBrewer   1.1-2    2014-12-07 [1] CRAN (R 3.6.0)</w:t>
      </w:r>
      <w:r>
        <w:br w:type="textWrapping"/>
      </w:r>
      <w:r>
        <w:rPr>
          <w:rStyle w:val="VerbatimChar"/>
        </w:rPr>
        <w:t xml:space="preserve">#&gt;  Rcpp           1.0.2    2019-07-25 [1] CRAN (R 3.6.1)</w:t>
      </w:r>
      <w:r>
        <w:br w:type="textWrapping"/>
      </w:r>
      <w:r>
        <w:rPr>
          <w:rStyle w:val="VerbatimChar"/>
        </w:rPr>
        <w:t xml:space="preserve">#&gt;  readr        * 1.3.1    2018-12-21 [1] CRAN (R 3.6.1)</w:t>
      </w:r>
      <w:r>
        <w:br w:type="textWrapping"/>
      </w:r>
      <w:r>
        <w:rPr>
          <w:rStyle w:val="VerbatimChar"/>
        </w:rPr>
        <w:t xml:space="preserve">#&gt;  readxl         1.3.1    2019-03-13 [1] CRAN (R 3.6.0)</w:t>
      </w:r>
      <w:r>
        <w:br w:type="textWrapping"/>
      </w:r>
      <w:r>
        <w:rPr>
          <w:rStyle w:val="VerbatimChar"/>
        </w:rPr>
        <w:t xml:space="preserve">#&gt;  remotes        2.1.0    2019-06-24 [1] CRAN (R 3.6.1)</w:t>
      </w:r>
      <w:r>
        <w:br w:type="textWrapping"/>
      </w:r>
      <w:r>
        <w:rPr>
          <w:rStyle w:val="VerbatimChar"/>
        </w:rPr>
        <w:t xml:space="preserve">#&gt;  rlang          0.4.0    2019-06-25 [1] CRAN (R 3.6.1)</w:t>
      </w:r>
      <w:r>
        <w:br w:type="textWrapping"/>
      </w:r>
      <w:r>
        <w:rPr>
          <w:rStyle w:val="VerbatimChar"/>
        </w:rPr>
        <w:t xml:space="preserve">#&gt;  rmarkdown      1.15     2019-08-21 [1] CRAN (R 3.6.1)</w:t>
      </w:r>
      <w:r>
        <w:br w:type="textWrapping"/>
      </w:r>
      <w:r>
        <w:rPr>
          <w:rStyle w:val="VerbatimChar"/>
        </w:rPr>
        <w:t xml:space="preserve">#&gt;  rpart          4.1-15   2019-04-12 [2] CRAN (R 3.6.1)</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3.6.1)</w:t>
      </w:r>
      <w:r>
        <w:br w:type="textWrapping"/>
      </w:r>
      <w:r>
        <w:rPr>
          <w:rStyle w:val="VerbatimChar"/>
        </w:rPr>
        <w:t xml:space="preserve">#&gt;  scales       * 1.0.0    2018-08-09 [1] CRAN (R 3.6.0)</w:t>
      </w:r>
      <w:r>
        <w:br w:type="textWrapping"/>
      </w:r>
      <w:r>
        <w:rPr>
          <w:rStyle w:val="VerbatimChar"/>
        </w:rPr>
        <w:t xml:space="preserve">#&gt;  sessioninfo    1.1.1    2018-11-05 [1] CRAN (R 3.6.0)</w:t>
      </w:r>
      <w:r>
        <w:br w:type="textWrapping"/>
      </w:r>
      <w:r>
        <w:rPr>
          <w:rStyle w:val="VerbatimChar"/>
        </w:rPr>
        <w:t xml:space="preserve">#&gt;  SnowballC      0.6.0    2019-01-15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survival     * 2.44-1.1 2019-04-01 [2] CRAN (R 3.6.1)</w:t>
      </w:r>
      <w:r>
        <w:br w:type="textWrapping"/>
      </w:r>
      <w:r>
        <w:rPr>
          <w:rStyle w:val="VerbatimChar"/>
        </w:rPr>
        <w:t xml:space="preserve">#&gt;  testthat       2.2.1    2019-07-25 [1] CRAN (R 3.6.1)</w:t>
      </w:r>
      <w:r>
        <w:br w:type="textWrapping"/>
      </w:r>
      <w:r>
        <w:rPr>
          <w:rStyle w:val="VerbatimChar"/>
        </w:rPr>
        <w:t xml:space="preserve">#&gt;  tibble       * 2.1.3    2019-06-06 [1] CRAN (R 3.6.1)</w:t>
      </w:r>
      <w:r>
        <w:br w:type="textWrapping"/>
      </w:r>
      <w:r>
        <w:rPr>
          <w:rStyle w:val="VerbatimChar"/>
        </w:rPr>
        <w:t xml:space="preserve">#&gt;  tidyr        * 1.0.0    2019-09-11 [1] CRAN (R 3.6.1)</w:t>
      </w:r>
      <w:r>
        <w:br w:type="textWrapping"/>
      </w:r>
      <w:r>
        <w:rPr>
          <w:rStyle w:val="VerbatimChar"/>
        </w:rPr>
        <w:t xml:space="preserve">#&gt;  tidyselect     0.2.5    2018-10-11 [1] CRAN (R 3.6.0)</w:t>
      </w:r>
      <w:r>
        <w:br w:type="textWrapping"/>
      </w:r>
      <w:r>
        <w:rPr>
          <w:rStyle w:val="VerbatimChar"/>
        </w:rPr>
        <w:t xml:space="preserve">#&gt;  tidytext     * 0.2.2    2019-07-29 [1] CRAN (R 3.6.1)</w:t>
      </w:r>
      <w:r>
        <w:br w:type="textWrapping"/>
      </w:r>
      <w:r>
        <w:rPr>
          <w:rStyle w:val="VerbatimChar"/>
        </w:rPr>
        <w:t xml:space="preserve">#&gt;  tidyverse    * 1.2.1    2017-11-14 [1] CRAN (R 3.6.1)</w:t>
      </w:r>
      <w:r>
        <w:br w:type="textWrapping"/>
      </w:r>
      <w:r>
        <w:rPr>
          <w:rStyle w:val="VerbatimChar"/>
        </w:rPr>
        <w:t xml:space="preserve">#&gt;  tokenizers     0.2.1    2018-03-29 [1] CRAN (R 3.6.1)</w:t>
      </w:r>
      <w:r>
        <w:br w:type="textWrapping"/>
      </w:r>
      <w:r>
        <w:rPr>
          <w:rStyle w:val="VerbatimChar"/>
        </w:rPr>
        <w:t xml:space="preserve">#&gt;  usethis        1.5.1    2019-07-04 [1] CRAN (R 3.6.1)</w:t>
      </w:r>
      <w:r>
        <w:br w:type="textWrapping"/>
      </w:r>
      <w:r>
        <w:rPr>
          <w:rStyle w:val="VerbatimChar"/>
        </w:rPr>
        <w:t xml:space="preserve">#&gt;  vctrs          0.2.0    2019-07-05 [1] CRAN (R 3.6.1)</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0.9      2019-08-21 [1] CRAN (R 3.6.1)</w:t>
      </w:r>
      <w:r>
        <w:br w:type="textWrapping"/>
      </w:r>
      <w:r>
        <w:rPr>
          <w:rStyle w:val="VerbatimChar"/>
        </w:rPr>
        <w:t xml:space="preserve">#&gt;  xml2           1.2.2    2019-08-09 [1] CRAN (R 3.6.1)</w:t>
      </w:r>
      <w:r>
        <w:br w:type="textWrapping"/>
      </w:r>
      <w:r>
        <w:rPr>
          <w:rStyle w:val="VerbatimChar"/>
        </w:rPr>
        <w:t xml:space="preserve">#&gt;  yaml           2.2.0    2018-07-25 [1] CRAN (R 3.6.0)</w:t>
      </w:r>
      <w:r>
        <w:br w:type="textWrapping"/>
      </w:r>
      <w:r>
        <w:rPr>
          <w:rStyle w:val="VerbatimChar"/>
        </w:rPr>
        <w:t xml:space="preserve">#&gt;  zeallot        0.1.0    2018-01-28 [1] CRAN (R 3.6.0)</w:t>
      </w:r>
      <w:r>
        <w:br w:type="textWrapping"/>
      </w:r>
      <w:r>
        <w:rPr>
          <w:rStyle w:val="VerbatimChar"/>
        </w:rPr>
        <w:t xml:space="preserve">#&gt; </w:t>
      </w:r>
      <w:r>
        <w:br w:type="textWrapping"/>
      </w:r>
      <w:r>
        <w:rPr>
          <w:rStyle w:val="VerbatimChar"/>
        </w:rPr>
        <w:t xml:space="preserve">#&gt; [1] C:/Users/SCSchmidt/Documents/R/win-library/3.6</w:t>
      </w:r>
      <w:r>
        <w:br w:type="textWrapping"/>
      </w:r>
      <w:r>
        <w:rPr>
          <w:rStyle w:val="VerbatimChar"/>
        </w:rPr>
        <w:t xml:space="preserve">#&gt; [2] C:/Program Files/R/R-3.6.1/library</w:t>
      </w:r>
    </w:p>
    <w:p>
      <w:pPr>
        <w:pStyle w:val="FirstParagraph"/>
      </w:pPr>
      <w:r>
        <w:t xml:space="preserve">The current Git commit details are:</w:t>
      </w:r>
    </w:p>
    <w:p>
      <w:pPr>
        <w:pStyle w:val="SourceCode"/>
      </w:pPr>
      <w:r>
        <w:rPr>
          <w:rStyle w:val="VerbatimChar"/>
        </w:rPr>
        <w:t xml:space="preserve">#&gt; Local:    master E:/R/caa2018-Tubingen</w:t>
      </w:r>
      <w:r>
        <w:br w:type="textWrapping"/>
      </w:r>
      <w:r>
        <w:rPr>
          <w:rStyle w:val="VerbatimChar"/>
        </w:rPr>
        <w:t xml:space="preserve">#&gt; Head:     [c5abe6c] 2019-10-16: much fiddling with csl and bib file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6" Target="http://doi.org/10.17605/OSF.IO/RHVN5" TargetMode="External" /><Relationship Type="http://schemas.openxmlformats.org/officeDocument/2006/relationships/hyperlink" Id="rId50" Target="https://doi.org/10.1002/9781118865064.ch9" TargetMode="External" /><Relationship Type="http://schemas.openxmlformats.org/officeDocument/2006/relationships/hyperlink" Id="rId113" Target="https://doi.org/10.1002/9781119188230.saseas0525" TargetMode="External" /><Relationship Type="http://schemas.openxmlformats.org/officeDocument/2006/relationships/hyperlink" Id="rId188" Target="https://doi.org/10.1002/bies.950180902" TargetMode="External" /><Relationship Type="http://schemas.openxmlformats.org/officeDocument/2006/relationships/hyperlink" Id="rId177" Target="https://doi.org/10.1002/ecs2.1394" TargetMode="External" /><Relationship Type="http://schemas.openxmlformats.org/officeDocument/2006/relationships/hyperlink" Id="rId70" Target="https://doi.org/10.1007/BF01326535" TargetMode="External" /><Relationship Type="http://schemas.openxmlformats.org/officeDocument/2006/relationships/hyperlink" Id="rId124" Target="https://doi.org/10.1007/s10816-015-9272-9" TargetMode="External" /><Relationship Type="http://schemas.openxmlformats.org/officeDocument/2006/relationships/hyperlink" Id="rId48" Target="https://doi.org/10.1007/s11245-012-9133-z" TargetMode="External" /><Relationship Type="http://schemas.openxmlformats.org/officeDocument/2006/relationships/hyperlink" Id="rId95" Target="https://doi.org/10.1007/s13347-012-0092-5" TargetMode="External" /><Relationship Type="http://schemas.openxmlformats.org/officeDocument/2006/relationships/hyperlink" Id="rId62" Target="https://doi.org/10.1016/j.future.2017.12.029" TargetMode="External" /><Relationship Type="http://schemas.openxmlformats.org/officeDocument/2006/relationships/hyperlink" Id="rId116" Target="https://doi.org/10.1016/j.ipm.2005.03.010" TargetMode="External" /><Relationship Type="http://schemas.openxmlformats.org/officeDocument/2006/relationships/hyperlink" Id="rId157" Target="https://doi.org/10.1016/j.tics.2010.12.002" TargetMode="External" /><Relationship Type="http://schemas.openxmlformats.org/officeDocument/2006/relationships/hyperlink" Id="rId185" Target="https://doi.org/10.1017/CBO9781139171434.004" TargetMode="External" /><Relationship Type="http://schemas.openxmlformats.org/officeDocument/2006/relationships/hyperlink" Id="rId72" Target="https://doi.org/10.1017/S0003598X0003461X" TargetMode="External" /><Relationship Type="http://schemas.openxmlformats.org/officeDocument/2006/relationships/hyperlink" Id="rId148" Target="https://doi.org/10.1017/S0003598X0008710X" TargetMode="External" /><Relationship Type="http://schemas.openxmlformats.org/officeDocument/2006/relationships/hyperlink" Id="rId57" Target="https://doi.org/10.1017/S0033822200033750" TargetMode="External" /><Relationship Type="http://schemas.openxmlformats.org/officeDocument/2006/relationships/hyperlink" Id="rId165" Target="https://doi.org/10.1017/S0959774302000094" TargetMode="External" /><Relationship Type="http://schemas.openxmlformats.org/officeDocument/2006/relationships/hyperlink" Id="rId74" Target="https://doi.org/10.1017/S104909651300173X" TargetMode="External" /><Relationship Type="http://schemas.openxmlformats.org/officeDocument/2006/relationships/hyperlink" Id="rId128" Target="https://doi.org/10.1017/aap.2018.3" TargetMode="External" /><Relationship Type="http://schemas.openxmlformats.org/officeDocument/2006/relationships/hyperlink" Id="rId54" Target="https://doi.org/10.1038/467753a" TargetMode="External" /><Relationship Type="http://schemas.openxmlformats.org/officeDocument/2006/relationships/hyperlink" Id="rId175" Target="https://doi.org/10.1038/517109a" TargetMode="External" /><Relationship Type="http://schemas.openxmlformats.org/officeDocument/2006/relationships/hyperlink" Id="rId167" Target="https://doi.org/10.1038/d41586-018-05256-0" TargetMode="External" /><Relationship Type="http://schemas.openxmlformats.org/officeDocument/2006/relationships/hyperlink" Id="rId103" Target="https://doi.org/10.1038/nature10836" TargetMode="External" /><Relationship Type="http://schemas.openxmlformats.org/officeDocument/2006/relationships/hyperlink" Id="rId52" Target="https://doi.org/10.1038/nj7638-563a" TargetMode="External" /><Relationship Type="http://schemas.openxmlformats.org/officeDocument/2006/relationships/hyperlink" Id="rId79" Target="https://doi.org/10.1038/nn.4579" TargetMode="External" /><Relationship Type="http://schemas.openxmlformats.org/officeDocument/2006/relationships/hyperlink" Id="rId68" Target="https://doi.org/10.1073/pnas.1205198109" TargetMode="External" /><Relationship Type="http://schemas.openxmlformats.org/officeDocument/2006/relationships/hyperlink" Id="rId46" Target="https://doi.org/10.1073/pnas.1816454115" TargetMode="External" /><Relationship Type="http://schemas.openxmlformats.org/officeDocument/2006/relationships/hyperlink" Id="rId130" Target="https://doi.org/10.1080/00031305.2017.1375986" TargetMode="External" /><Relationship Type="http://schemas.openxmlformats.org/officeDocument/2006/relationships/hyperlink" Id="rId89" Target="https://doi.org/10.1080/00438243.2012.736273" TargetMode="External" /><Relationship Type="http://schemas.openxmlformats.org/officeDocument/2006/relationships/hyperlink" Id="rId60" Target="https://doi.org/10.1080/09332480.2014.965635" TargetMode="External" /><Relationship Type="http://schemas.openxmlformats.org/officeDocument/2006/relationships/hyperlink" Id="rId91" Target="https://doi.org/10.1080/1357627021000025487" TargetMode="External" /><Relationship Type="http://schemas.openxmlformats.org/officeDocument/2006/relationships/hyperlink" Id="rId150" Target="https://doi.org/10.1093/biostatistics/kxp014" TargetMode="External" /><Relationship Type="http://schemas.openxmlformats.org/officeDocument/2006/relationships/hyperlink" Id="rId93" Target="https://doi.org/10.1093/oxfordhb/9780198568308.013.0038" TargetMode="External" /><Relationship Type="http://schemas.openxmlformats.org/officeDocument/2006/relationships/hyperlink" Id="rId118" Target="https://doi.org/10.1109/MCSE.2012.38" TargetMode="External" /><Relationship Type="http://schemas.openxmlformats.org/officeDocument/2006/relationships/hyperlink" Id="rId183" Target="https://doi.org/10.1109/MCSE.2012.63" TargetMode="External" /><Relationship Type="http://schemas.openxmlformats.org/officeDocument/2006/relationships/hyperlink" Id="rId105" Target="https://doi.org/10.1111/ecoj.12461" TargetMode="External" /><Relationship Type="http://schemas.openxmlformats.org/officeDocument/2006/relationships/hyperlink" Id="rId173" Target="https://doi.org/10.1111/j.1740-9713.2018.01169.x" TargetMode="External" /><Relationship Type="http://schemas.openxmlformats.org/officeDocument/2006/relationships/hyperlink" Id="rId85" Target="https://doi.org/10.1111/j.1939-3466.2010.00010.x" TargetMode="External" /><Relationship Type="http://schemas.openxmlformats.org/officeDocument/2006/relationships/hyperlink" Id="rId152" Target="https://doi.org/10.1126/science.1213847" TargetMode="External" /><Relationship Type="http://schemas.openxmlformats.org/officeDocument/2006/relationships/hyperlink" Id="rId77" Target="https://doi.org/10.1126/science.1232773" TargetMode="External" /><Relationship Type="http://schemas.openxmlformats.org/officeDocument/2006/relationships/hyperlink" Id="rId137" Target="https://doi.org/10.1126/science.1245317" TargetMode="External" /><Relationship Type="http://schemas.openxmlformats.org/officeDocument/2006/relationships/hyperlink" Id="rId144" Target="https://doi.org/10.1126/science.aab2374" TargetMode="External" /><Relationship Type="http://schemas.openxmlformats.org/officeDocument/2006/relationships/hyperlink" Id="rId65" Target="https://doi.org/10.1128/mBio.00158-16" TargetMode="External" /><Relationship Type="http://schemas.openxmlformats.org/officeDocument/2006/relationships/hyperlink" Id="rId181" Target="https://doi.org/10.1177/2378023116669726" TargetMode="External" /><Relationship Type="http://schemas.openxmlformats.org/officeDocument/2006/relationships/hyperlink" Id="rId133" Target="https://doi.org/10.1179/2042458215Y.0000000007" TargetMode="External" /><Relationship Type="http://schemas.openxmlformats.org/officeDocument/2006/relationships/hyperlink" Id="rId155" Target="https://doi.org/10.1186/1751-0473-8-7" TargetMode="External" /><Relationship Type="http://schemas.openxmlformats.org/officeDocument/2006/relationships/hyperlink" Id="rId122" Target="https://doi.org/10.1186/s13059-015-0850-7" TargetMode="External" /><Relationship Type="http://schemas.openxmlformats.org/officeDocument/2006/relationships/hyperlink" Id="rId109" Target="https://doi.org/10.1371/journal.pbio.1002456" TargetMode="External" /><Relationship Type="http://schemas.openxmlformats.org/officeDocument/2006/relationships/hyperlink" Id="rId142" Target="https://doi.org/10.1371/journal.pcbi.1000424" TargetMode="External" /><Relationship Type="http://schemas.openxmlformats.org/officeDocument/2006/relationships/hyperlink" Id="rId82" Target="https://doi.org/10.1371/journal.pcbi.1000482" TargetMode="External" /><Relationship Type="http://schemas.openxmlformats.org/officeDocument/2006/relationships/hyperlink" Id="rId159" Target="https://doi.org/10.1371/journal.pcbi.1003285" TargetMode="External" /><Relationship Type="http://schemas.openxmlformats.org/officeDocument/2006/relationships/hyperlink" Id="rId190" Target="https://doi.org/10.1371/journal.pcbi.1005510" TargetMode="External" /><Relationship Type="http://schemas.openxmlformats.org/officeDocument/2006/relationships/hyperlink" Id="rId169" Target="https://doi.org/10.1371/journal.pone.0067111" TargetMode="External" /><Relationship Type="http://schemas.openxmlformats.org/officeDocument/2006/relationships/hyperlink" Id="rId97" Target="https://doi.org/10.1371/journal.pone.0162062" TargetMode="External" /><Relationship Type="http://schemas.openxmlformats.org/officeDocument/2006/relationships/hyperlink" Id="rId99" Target="https://doi.org/10.1515/9783110440171" TargetMode="External" /><Relationship Type="http://schemas.openxmlformats.org/officeDocument/2006/relationships/hyperlink" Id="rId171" Target="https://doi.org/10.1515/opar-2017-0019" TargetMode="External" /><Relationship Type="http://schemas.openxmlformats.org/officeDocument/2006/relationships/hyperlink" Id="rId126" Target="https://doi.org/10.15184/aqy.2019.131" TargetMode="External" /><Relationship Type="http://schemas.openxmlformats.org/officeDocument/2006/relationships/hyperlink" Id="rId135" Target="https://doi.org/10.2307/279104" TargetMode="External" /><Relationship Type="http://schemas.openxmlformats.org/officeDocument/2006/relationships/hyperlink" Id="rId111" Target="https://doi.org/10.2307/420301" TargetMode="External" /><Relationship Type="http://schemas.openxmlformats.org/officeDocument/2006/relationships/hyperlink" Id="rId101" Target="https://doi.org/10.5334/jcaa.6" TargetMode="External" /><Relationship Type="http://schemas.openxmlformats.org/officeDocument/2006/relationships/hyperlink" Id="rId120" Target="https://doi.org/10.5334/oq.62" TargetMode="External" /><Relationship Type="http://schemas.openxmlformats.org/officeDocument/2006/relationships/hyperlink" Id="rId163" Target="https://doi.org/https://doi.org/10.5194/hess-23-2939-2019" TargetMode="External" /><Relationship Type="http://schemas.openxmlformats.org/officeDocument/2006/relationships/hyperlink" Id="rId34" Target="https://github.com/benmarwick/ctv-archaeology" TargetMode="External" /><Relationship Type="http://schemas.openxmlformats.org/officeDocument/2006/relationships/hyperlink" Id="rId40" Target="https://github.com/benmarwick/rrtools" TargetMode="External" /></Relationships>
</file>

<file path=word/_rels/footnotes.xml.rels><?xml version="1.0" encoding="UTF-8"?>
<Relationships xmlns="http://schemas.openxmlformats.org/package/2006/relationships"><Relationship Type="http://schemas.openxmlformats.org/officeDocument/2006/relationships/hyperlink" Id="rId26" Target="http://doi.org/10.17605/OSF.IO/RHVN5" TargetMode="External" /><Relationship Type="http://schemas.openxmlformats.org/officeDocument/2006/relationships/hyperlink" Id="rId50" Target="https://doi.org/10.1002/9781118865064.ch9" TargetMode="External" /><Relationship Type="http://schemas.openxmlformats.org/officeDocument/2006/relationships/hyperlink" Id="rId113" Target="https://doi.org/10.1002/9781119188230.saseas0525" TargetMode="External" /><Relationship Type="http://schemas.openxmlformats.org/officeDocument/2006/relationships/hyperlink" Id="rId188" Target="https://doi.org/10.1002/bies.950180902" TargetMode="External" /><Relationship Type="http://schemas.openxmlformats.org/officeDocument/2006/relationships/hyperlink" Id="rId177" Target="https://doi.org/10.1002/ecs2.1394" TargetMode="External" /><Relationship Type="http://schemas.openxmlformats.org/officeDocument/2006/relationships/hyperlink" Id="rId70" Target="https://doi.org/10.1007/BF01326535" TargetMode="External" /><Relationship Type="http://schemas.openxmlformats.org/officeDocument/2006/relationships/hyperlink" Id="rId124" Target="https://doi.org/10.1007/s10816-015-9272-9" TargetMode="External" /><Relationship Type="http://schemas.openxmlformats.org/officeDocument/2006/relationships/hyperlink" Id="rId48" Target="https://doi.org/10.1007/s11245-012-9133-z" TargetMode="External" /><Relationship Type="http://schemas.openxmlformats.org/officeDocument/2006/relationships/hyperlink" Id="rId95" Target="https://doi.org/10.1007/s13347-012-0092-5" TargetMode="External" /><Relationship Type="http://schemas.openxmlformats.org/officeDocument/2006/relationships/hyperlink" Id="rId62" Target="https://doi.org/10.1016/j.future.2017.12.029" TargetMode="External" /><Relationship Type="http://schemas.openxmlformats.org/officeDocument/2006/relationships/hyperlink" Id="rId116" Target="https://doi.org/10.1016/j.ipm.2005.03.010" TargetMode="External" /><Relationship Type="http://schemas.openxmlformats.org/officeDocument/2006/relationships/hyperlink" Id="rId157" Target="https://doi.org/10.1016/j.tics.2010.12.002" TargetMode="External" /><Relationship Type="http://schemas.openxmlformats.org/officeDocument/2006/relationships/hyperlink" Id="rId185" Target="https://doi.org/10.1017/CBO9781139171434.004" TargetMode="External" /><Relationship Type="http://schemas.openxmlformats.org/officeDocument/2006/relationships/hyperlink" Id="rId72" Target="https://doi.org/10.1017/S0003598X0003461X" TargetMode="External" /><Relationship Type="http://schemas.openxmlformats.org/officeDocument/2006/relationships/hyperlink" Id="rId148" Target="https://doi.org/10.1017/S0003598X0008710X" TargetMode="External" /><Relationship Type="http://schemas.openxmlformats.org/officeDocument/2006/relationships/hyperlink" Id="rId57" Target="https://doi.org/10.1017/S0033822200033750" TargetMode="External" /><Relationship Type="http://schemas.openxmlformats.org/officeDocument/2006/relationships/hyperlink" Id="rId165" Target="https://doi.org/10.1017/S0959774302000094" TargetMode="External" /><Relationship Type="http://schemas.openxmlformats.org/officeDocument/2006/relationships/hyperlink" Id="rId74" Target="https://doi.org/10.1017/S104909651300173X" TargetMode="External" /><Relationship Type="http://schemas.openxmlformats.org/officeDocument/2006/relationships/hyperlink" Id="rId128" Target="https://doi.org/10.1017/aap.2018.3" TargetMode="External" /><Relationship Type="http://schemas.openxmlformats.org/officeDocument/2006/relationships/hyperlink" Id="rId54" Target="https://doi.org/10.1038/467753a" TargetMode="External" /><Relationship Type="http://schemas.openxmlformats.org/officeDocument/2006/relationships/hyperlink" Id="rId175" Target="https://doi.org/10.1038/517109a" TargetMode="External" /><Relationship Type="http://schemas.openxmlformats.org/officeDocument/2006/relationships/hyperlink" Id="rId167" Target="https://doi.org/10.1038/d41586-018-05256-0" TargetMode="External" /><Relationship Type="http://schemas.openxmlformats.org/officeDocument/2006/relationships/hyperlink" Id="rId103" Target="https://doi.org/10.1038/nature10836" TargetMode="External" /><Relationship Type="http://schemas.openxmlformats.org/officeDocument/2006/relationships/hyperlink" Id="rId52" Target="https://doi.org/10.1038/nj7638-563a" TargetMode="External" /><Relationship Type="http://schemas.openxmlformats.org/officeDocument/2006/relationships/hyperlink" Id="rId79" Target="https://doi.org/10.1038/nn.4579" TargetMode="External" /><Relationship Type="http://schemas.openxmlformats.org/officeDocument/2006/relationships/hyperlink" Id="rId68" Target="https://doi.org/10.1073/pnas.1205198109" TargetMode="External" /><Relationship Type="http://schemas.openxmlformats.org/officeDocument/2006/relationships/hyperlink" Id="rId46" Target="https://doi.org/10.1073/pnas.1816454115" TargetMode="External" /><Relationship Type="http://schemas.openxmlformats.org/officeDocument/2006/relationships/hyperlink" Id="rId130" Target="https://doi.org/10.1080/00031305.2017.1375986" TargetMode="External" /><Relationship Type="http://schemas.openxmlformats.org/officeDocument/2006/relationships/hyperlink" Id="rId89" Target="https://doi.org/10.1080/00438243.2012.736273" TargetMode="External" /><Relationship Type="http://schemas.openxmlformats.org/officeDocument/2006/relationships/hyperlink" Id="rId60" Target="https://doi.org/10.1080/09332480.2014.965635" TargetMode="External" /><Relationship Type="http://schemas.openxmlformats.org/officeDocument/2006/relationships/hyperlink" Id="rId91" Target="https://doi.org/10.1080/1357627021000025487" TargetMode="External" /><Relationship Type="http://schemas.openxmlformats.org/officeDocument/2006/relationships/hyperlink" Id="rId150" Target="https://doi.org/10.1093/biostatistics/kxp014" TargetMode="External" /><Relationship Type="http://schemas.openxmlformats.org/officeDocument/2006/relationships/hyperlink" Id="rId93" Target="https://doi.org/10.1093/oxfordhb/9780198568308.013.0038" TargetMode="External" /><Relationship Type="http://schemas.openxmlformats.org/officeDocument/2006/relationships/hyperlink" Id="rId118" Target="https://doi.org/10.1109/MCSE.2012.38" TargetMode="External" /><Relationship Type="http://schemas.openxmlformats.org/officeDocument/2006/relationships/hyperlink" Id="rId183" Target="https://doi.org/10.1109/MCSE.2012.63" TargetMode="External" /><Relationship Type="http://schemas.openxmlformats.org/officeDocument/2006/relationships/hyperlink" Id="rId105" Target="https://doi.org/10.1111/ecoj.12461" TargetMode="External" /><Relationship Type="http://schemas.openxmlformats.org/officeDocument/2006/relationships/hyperlink" Id="rId173" Target="https://doi.org/10.1111/j.1740-9713.2018.01169.x" TargetMode="External" /><Relationship Type="http://schemas.openxmlformats.org/officeDocument/2006/relationships/hyperlink" Id="rId85" Target="https://doi.org/10.1111/j.1939-3466.2010.00010.x" TargetMode="External" /><Relationship Type="http://schemas.openxmlformats.org/officeDocument/2006/relationships/hyperlink" Id="rId152" Target="https://doi.org/10.1126/science.1213847" TargetMode="External" /><Relationship Type="http://schemas.openxmlformats.org/officeDocument/2006/relationships/hyperlink" Id="rId77" Target="https://doi.org/10.1126/science.1232773" TargetMode="External" /><Relationship Type="http://schemas.openxmlformats.org/officeDocument/2006/relationships/hyperlink" Id="rId137" Target="https://doi.org/10.1126/science.1245317" TargetMode="External" /><Relationship Type="http://schemas.openxmlformats.org/officeDocument/2006/relationships/hyperlink" Id="rId144" Target="https://doi.org/10.1126/science.aab2374" TargetMode="External" /><Relationship Type="http://schemas.openxmlformats.org/officeDocument/2006/relationships/hyperlink" Id="rId65" Target="https://doi.org/10.1128/mBio.00158-16" TargetMode="External" /><Relationship Type="http://schemas.openxmlformats.org/officeDocument/2006/relationships/hyperlink" Id="rId181" Target="https://doi.org/10.1177/2378023116669726" TargetMode="External" /><Relationship Type="http://schemas.openxmlformats.org/officeDocument/2006/relationships/hyperlink" Id="rId133" Target="https://doi.org/10.1179/2042458215Y.0000000007" TargetMode="External" /><Relationship Type="http://schemas.openxmlformats.org/officeDocument/2006/relationships/hyperlink" Id="rId155" Target="https://doi.org/10.1186/1751-0473-8-7" TargetMode="External" /><Relationship Type="http://schemas.openxmlformats.org/officeDocument/2006/relationships/hyperlink" Id="rId122" Target="https://doi.org/10.1186/s13059-015-0850-7" TargetMode="External" /><Relationship Type="http://schemas.openxmlformats.org/officeDocument/2006/relationships/hyperlink" Id="rId109" Target="https://doi.org/10.1371/journal.pbio.1002456" TargetMode="External" /><Relationship Type="http://schemas.openxmlformats.org/officeDocument/2006/relationships/hyperlink" Id="rId142" Target="https://doi.org/10.1371/journal.pcbi.1000424" TargetMode="External" /><Relationship Type="http://schemas.openxmlformats.org/officeDocument/2006/relationships/hyperlink" Id="rId82" Target="https://doi.org/10.1371/journal.pcbi.1000482" TargetMode="External" /><Relationship Type="http://schemas.openxmlformats.org/officeDocument/2006/relationships/hyperlink" Id="rId159" Target="https://doi.org/10.1371/journal.pcbi.1003285" TargetMode="External" /><Relationship Type="http://schemas.openxmlformats.org/officeDocument/2006/relationships/hyperlink" Id="rId190" Target="https://doi.org/10.1371/journal.pcbi.1005510" TargetMode="External" /><Relationship Type="http://schemas.openxmlformats.org/officeDocument/2006/relationships/hyperlink" Id="rId169" Target="https://doi.org/10.1371/journal.pone.0067111" TargetMode="External" /><Relationship Type="http://schemas.openxmlformats.org/officeDocument/2006/relationships/hyperlink" Id="rId97" Target="https://doi.org/10.1371/journal.pone.0162062" TargetMode="External" /><Relationship Type="http://schemas.openxmlformats.org/officeDocument/2006/relationships/hyperlink" Id="rId99" Target="https://doi.org/10.1515/9783110440171" TargetMode="External" /><Relationship Type="http://schemas.openxmlformats.org/officeDocument/2006/relationships/hyperlink" Id="rId171" Target="https://doi.org/10.1515/opar-2017-0019" TargetMode="External" /><Relationship Type="http://schemas.openxmlformats.org/officeDocument/2006/relationships/hyperlink" Id="rId126" Target="https://doi.org/10.15184/aqy.2019.131" TargetMode="External" /><Relationship Type="http://schemas.openxmlformats.org/officeDocument/2006/relationships/hyperlink" Id="rId135" Target="https://doi.org/10.2307/279104" TargetMode="External" /><Relationship Type="http://schemas.openxmlformats.org/officeDocument/2006/relationships/hyperlink" Id="rId111" Target="https://doi.org/10.2307/420301" TargetMode="External" /><Relationship Type="http://schemas.openxmlformats.org/officeDocument/2006/relationships/hyperlink" Id="rId101" Target="https://doi.org/10.5334/jcaa.6" TargetMode="External" /><Relationship Type="http://schemas.openxmlformats.org/officeDocument/2006/relationships/hyperlink" Id="rId120" Target="https://doi.org/10.5334/oq.62" TargetMode="External" /><Relationship Type="http://schemas.openxmlformats.org/officeDocument/2006/relationships/hyperlink" Id="rId163" Target="https://doi.org/https://doi.org/10.5194/hess-23-2939-2019" TargetMode="External" /><Relationship Type="http://schemas.openxmlformats.org/officeDocument/2006/relationships/hyperlink" Id="rId34" Target="https://github.com/benmarwick/ctv-archaeology" TargetMode="External" /><Relationship Type="http://schemas.openxmlformats.org/officeDocument/2006/relationships/hyperlink" Id="rId40" Target="https://github.com/benmarwick/rr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2020-01-14T15:55:29Z</dcterms:created>
  <dcterms:modified xsi:type="dcterms:W3CDTF">2020-01-14T15:55:29Z</dcterms:modified>
</cp:coreProperties>
</file>