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5.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07</w:t>
      </w:r>
      <w:r>
        <w:t xml:space="preserve"> </w:t>
      </w:r>
      <w:r>
        <w:t xml:space="preserve">Dezember,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developments which facilitate computational archaeology to return to principles of the scientific method and whether this might be the beginning of a paradigm-shift. Revolutions or paradigm-shifts in archaeology have been discussed to happen following theoretical discourses</w:t>
      </w:r>
      <w:r>
        <w:t xml:space="preserve"> </w:t>
      </w:r>
      <w:r>
        <w:t xml:space="preserve">(Clark 1993; Härke 2002)</w:t>
      </w:r>
      <w:r>
        <w:t xml:space="preserve">, but there has been an argument in philosophy of science whether revolutions in science might not just be ideas-driven but also tool-driven</w:t>
      </w:r>
      <w:r>
        <w:t xml:space="preserve"> </w:t>
      </w:r>
      <w:r>
        <w:t xml:space="preserve">(Galison 1997; Dyson 2000)</w:t>
      </w:r>
      <w:r>
        <w:t xml:space="preserve">. In this light we explore how Ecology and Archaeology have started to embrace methods which improve the reproducibility of their research. We focus on one set of tools for this change which is based on writing scripts in free and open source programming languages, exemplified by R, and the sharing of code. A review of bibliometric evidence showcases a strong development towards the use of R for Ecology and hints at the beginning of a similar development in archaeology. We thus evaluate how approaches to improving reproducibility and transparency in archaeology are mediated and transformed by digital approaches and propose these might be the sign of a tool-driven change in archaeology. Acknowledging this is not a simple process, we offer a R-based tool to facilitate the task of creating a compendium which enables other researchers to reproduce the published results.</w:t>
      </w:r>
    </w:p>
    <w:p>
      <w:pPr>
        <w:pStyle w:val="BodyText"/>
      </w:pPr>
      <w:r>
        <w:t xml:space="preserve">Code and text for this paper are available at:</w:t>
      </w:r>
      <w:r>
        <w:t xml:space="preserve"> </w:t>
      </w:r>
      <w:hyperlink r:id="rId21">
        <w:r>
          <w:rPr>
            <w:rStyle w:val="Hyperlink"/>
          </w:rPr>
          <w:t xml:space="preserve">https://github.com/benmarwick/caa2018-Tubingen</w:t>
        </w:r>
      </w:hyperlink>
    </w:p>
    <w:p>
      <w:pPr>
        <w:pStyle w:val="Heading1"/>
      </w:pPr>
      <w:bookmarkStart w:id="22" w:name="revolutions-in-science-ideas-driven-or-tool-driven"/>
      <w:r>
        <w:t xml:space="preserve">Revolutions in Science: Ideas-driven or Tool-driven?</w:t>
      </w:r>
      <w:bookmarkEnd w:id="22"/>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(Watkins 1970; Toulmin 1970; Casadevall and Fang 2016)</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 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3" w:name="bibliometric-analysis-of-a-tool-driven-change"/>
      <w:r>
        <w:t xml:space="preserve">Bibliometric analysis of a tool-driven change</w:t>
      </w:r>
      <w:bookmarkEnd w:id="23"/>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 Biological disciplines have a long tradition of influencing archaeological thought, starting with Oscar Montelius, whose typological method was inspired by Darwin’s theory of evolution</w:t>
      </w:r>
      <w:r>
        <w:t xml:space="preserve"> </w:t>
      </w:r>
      <w:r>
        <w:t xml:space="preserve">(“Typologien Eller Utvecklingsläran Tillämpad På Det Menskliga Arbetet” 1899, 237)</w:t>
      </w:r>
      <w:r>
        <w:t xml:space="preserve">. Also nowadays quite a number of spatial statistical algorithms used in archaeology are derived from Ecology</w:t>
      </w:r>
      <w:r>
        <w:t xml:space="preserve"> </w:t>
      </w:r>
      <w:r>
        <w:t xml:space="preserve">(Keron 2015, 7)</w:t>
      </w:r>
      <w:r>
        <w:t xml:space="preserve">.</w:t>
      </w:r>
    </w:p>
    <w:p>
      <w:pPr>
        <w:pStyle w:val="Heading2"/>
      </w:pPr>
      <w:bookmarkStart w:id="24" w:name="looking-back-on-a-tool-driven-change-in-ecology"/>
      <w:r>
        <w:t xml:space="preserve">Looking back on a tool-driven change in Ecology</w:t>
      </w:r>
      <w:bookmarkEnd w:id="24"/>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1</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Articles per year citing R in top Ecology journals (8,411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5"/>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Articles per year citing R in top Ecology journals (8,411 articles out of 33,326). Data from Web of Science for 2007-2017</w:t>
      </w:r>
    </w:p>
    <w:p>
      <w:pPr>
        <w:pStyle w:val="Heading2"/>
      </w:pPr>
      <w:bookmarkStart w:id="26" w:name="looking-forward-to-a-tool-driven-change-in-archaeology"/>
      <w:r>
        <w:t xml:space="preserve">Looking forward to a tool-driven change in Archaeology</w:t>
      </w:r>
      <w:bookmarkEnd w:id="26"/>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2</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1</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2</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8" w:name="what-are-r-using-archaeologists-writing-about"/>
      <w:r>
        <w:t xml:space="preserve">What are R-using archaeologists writing about?</w:t>
      </w:r>
      <w:bookmarkEnd w:id="28"/>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Third, for each word found in all the titles of the journal articles in each group, we computed its proportion of the total number of words in all the titles in each group. Figure</w:t>
      </w:r>
      <w:r>
        <w:t xml:space="preserve"> </w:t>
      </w:r>
      <w:r>
        <w:t xml:space="preserve">3</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30" w:name="from-using-code-in-research-to-sharing-code-with-publications"/>
      <w:r>
        <w:t xml:space="preserve">From using code in research to sharing code with publications</w:t>
      </w:r>
      <w:bookmarkEnd w:id="30"/>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1">
        <w:r>
          <w:rPr>
            <w:rStyle w:val="Hyperlink"/>
          </w:rPr>
          <w:t xml:space="preserve">https://github.com/benmarwick/ctv-archaeology</w:t>
        </w:r>
      </w:hyperlink>
      <w:r>
        <w:t xml:space="preserve">. Figure</w:t>
      </w:r>
      <w:r>
        <w:t xml:space="preserve"> </w:t>
      </w:r>
      <w:r>
        <w:t xml:space="preserve">4</w:t>
      </w:r>
      <w:r>
        <w:t xml:space="preserve"> </w:t>
      </w:r>
      <w:r>
        <w:t xml:space="preserve">shows that although this number is small, it is increasing, hinting at the emergence of a new approach to how archaeologists share their research.</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(Peng 2011; Mitchell, LeVeque, and Stodden 2012)</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w:t>
      </w:r>
      <w:r>
        <w:t xml:space="preserve"> </w:t>
      </w:r>
      <w:r>
        <w:t xml:space="preserve">(King 1995; Dafoe 2014)</w:t>
      </w:r>
      <w:r>
        <w:t xml:space="preserve">,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(Nosek et al. 2015; Ince, Hatton, and Graham-Cumming 2012; Barnes 2010)</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 by itself, but publically sharing the code used for research, as a solution to problems of irreproducibility, could enable revolutionary change. Openly shared code could speed the widespread adoption of reproducibility as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(and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pragmatic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4" w:name="discussion"/>
      <w:r>
        <w:t xml:space="preserve">Discussion</w:t>
      </w:r>
      <w:bookmarkEnd w:id="34"/>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 </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 Trigger 2006)</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There is, for example, a longstanding tradition in archaeology of publishing catalogues, lists and maps showing the data used for analyses. Archaeological research has always relied on the reuse of data</w:t>
      </w:r>
      <w:r>
        <w:t xml:space="preserve"> </w:t>
      </w:r>
      <w:r>
        <w:t xml:space="preserve">(Strupler and Wilkinson 2017)</w:t>
      </w:r>
      <w:r>
        <w:t xml:space="preserve">.</w:t>
      </w:r>
    </w:p>
    <w:p>
      <w:pPr>
        <w:pStyle w:val="BodyText"/>
      </w:pPr>
      <w:r>
        <w:t xml:space="preserve">Nonetheless we feel that with the introduction of computers there has been a gradual and unintended drift away from reproducibility, and thus from scientific practice. In the digital age,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By using and sharing code we can undo this drift, and return to a robust scrietific practice for archaeology.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 Also in archaeology, more and more funding agencies push for open science methods and transparency</w:t>
      </w:r>
      <w:r>
        <w:t xml:space="preserve"> </w:t>
      </w:r>
      <w:r>
        <w:t xml:space="preserve">(Strupler and Wilkinson 2017)</w:t>
      </w:r>
      <w:r>
        <w:t xml:space="preserve">.</w:t>
      </w:r>
    </w:p>
    <w:p>
      <w:pPr>
        <w:pStyle w:val="BodyText"/>
      </w:pPr>
      <w:r>
        <w:t xml:space="preserve">As</w:t>
      </w:r>
      <w:r>
        <w:t xml:space="preserve"> </w:t>
      </w:r>
      <w:r>
        <w:t xml:space="preserve">Galison (1997)</w:t>
      </w:r>
      <w:r>
        <w:t xml:space="preserve"> </w:t>
      </w:r>
      <w:r>
        <w:t xml:space="preserve">describes a shift in the practices of physicists, so does archaeological practice change in the digital age.</w:t>
      </w:r>
      <w:r>
        <w:t xml:space="preserve"> </w:t>
      </w:r>
      <w:r>
        <w:t xml:space="preserve">Huvila and Huggett (2018)</w:t>
      </w:r>
      <w:r>
        <w:t xml:space="preserve"> </w:t>
      </w:r>
      <w:r>
        <w:t xml:space="preserve">have explored the use of digital tools on archaeological practices to understand the boundaries of what counts as archaeological, what is merely related to archaeology and what should be excluded from archaeology. Reflecting on</w:t>
      </w:r>
      <w:r>
        <w:t xml:space="preserve"> </w:t>
      </w:r>
      <w:r>
        <w:t xml:space="preserve">Huvila and Huggett (2018)</w:t>
      </w:r>
      <w:r>
        <w:t xml:space="preserve">, our view is the use use of code is unquestionably archaeology, since it is just one of many tools that archaeologists are using for converting raw data into summaries, visualisations, and insights.</w:t>
      </w:r>
    </w:p>
    <w:p>
      <w:pPr>
        <w:pStyle w:val="BodyText"/>
      </w:pPr>
      <w:r>
        <w:t xml:space="preserve">These concerns about how digital tools affect what we consider is and isn’t archaeology intersect with the work of</w:t>
      </w:r>
      <w:r>
        <w:t xml:space="preserve"> </w:t>
      </w:r>
      <w:r>
        <w:t xml:space="preserve">Gieryn (1999)</w:t>
      </w:r>
      <w:r>
        <w:t xml:space="preserve"> </w:t>
      </w:r>
      <w:r>
        <w:t xml:space="preserve">on boundary construction. In his cultural cartography of science, Gieryn examines boundaries between science generally and varieties of less authoritative non-science. He argues that the boundaries are drawn and redrawn contiuously in flexible, historically changing and sometimes ambiguous ways. Gieryn claims that the cultural authority of science flows from boundary work in professional and political settings where scientists construct a public image for science as a source of credible knowledge, validate their work, and marginalize claims by competitors. Boundary work involves attributions of selected characteristics to science in order to distinguish it from non-scientific competitors. The increasing voluntary use and sharing of code by researchers, and demands for it by readers and peer reviewers is a form of active boundary work that is shifting the boundary between scientific and non- or less-scientific archaeology. The authors, as members of this group, argue that the use of code as a research tool, and the sharing of code as a public research product, are increasingly attributes that are being used to distinguish science from less scientific work. The reason for this is that using code, and making it available for others to inspect, enhances the credibility of knowledge claims.</w:t>
      </w:r>
    </w:p>
    <w:p>
      <w:pPr>
        <w:pStyle w:val="BodyText"/>
      </w:pPr>
      <w:r>
        <w:t xml:space="preserve">On another level, we’d like to point to the</w:t>
      </w:r>
      <w:r>
        <w:t xml:space="preserve"> </w:t>
      </w:r>
      <w:r>
        <w:rPr>
          <w:i/>
        </w:rPr>
        <w:t xml:space="preserve">technicity</w:t>
      </w:r>
      <w:r>
        <w:t xml:space="preserve"> </w:t>
      </w:r>
      <w:r>
        <w:t xml:space="preserve">of tools, in our case coding. Aud Sissel Hoel and Iris van der Tuin are drawing on Ernst Cassirer’s „Form und Technik“</w:t>
      </w:r>
      <w:r>
        <w:t xml:space="preserve"> </w:t>
      </w:r>
      <w:r>
        <w:t xml:space="preserve">(Cassirer, n.d.)</w:t>
      </w:r>
      <w:r>
        <w:t xml:space="preserve"> </w:t>
      </w:r>
      <w:r>
        <w:t xml:space="preserve">and Gilbert Simondon’s</w:t>
      </w:r>
      <w:r>
        <w:t xml:space="preserve"> </w:t>
      </w:r>
      <w:r>
        <w:t xml:space="preserve">“</w:t>
      </w:r>
      <w:r>
        <w:t xml:space="preserve">Du monde d’existence des objets techniques</w:t>
      </w:r>
      <w:r>
        <w:t xml:space="preserve">”</w:t>
      </w:r>
      <w:r>
        <w:t xml:space="preserve"> </w:t>
      </w:r>
      <w:r>
        <w:t xml:space="preserve">(Simondon, n.d.)</w:t>
      </w:r>
      <w:r>
        <w:t xml:space="preserve"> </w:t>
      </w:r>
      <w:r>
        <w:t xml:space="preserve">to define technicity as a term to describe that technology, i. e. tools and machines respectively, interact with the human and with nature</w:t>
      </w:r>
      <w:r>
        <w:t xml:space="preserve"> </w:t>
      </w:r>
      <w:r>
        <w:t xml:space="preserve">(Hoel and Tuin 2013, 188)</w:t>
      </w:r>
      <w:r>
        <w:t xml:space="preserve">. Technology is said to own an instrumental kind of logos (Cassierer, see</w:t>
      </w:r>
      <w:r>
        <w:t xml:space="preserve"> </w:t>
      </w:r>
      <w:r>
        <w:t xml:space="preserve">Hoel and Tuin (2013)</w:t>
      </w:r>
      <w:r>
        <w:t xml:space="preserve">, 194) and in analogy to language it exercises a certain measure of agency in mediating between human, nature and technology. The use of a scripting language might exemplify this quite nicely, as it is not just a technological tool, but quite rightly named</w:t>
      </w:r>
      <w:r>
        <w:t xml:space="preserve"> </w:t>
      </w:r>
      <w:r>
        <w:t xml:space="preserve">“</w:t>
      </w:r>
      <w:r>
        <w:t xml:space="preserve">language</w:t>
      </w:r>
      <w:r>
        <w:t xml:space="preserve">”</w:t>
      </w:r>
      <w:r>
        <w:t xml:space="preserve"> </w:t>
      </w:r>
      <w:r>
        <w:t xml:space="preserve">as well.</w:t>
      </w:r>
    </w:p>
    <w:p>
      <w:pPr>
        <w:pStyle w:val="BodyText"/>
      </w:pPr>
      <w:r>
        <w:t xml:space="preserve">For our paper the concept of technicity is interesting because in contrast to the concept of technological determinism, which puts technology as a force against the human, van der Tuin and Hoel (as well as Cassirer and Simondon) enfold technology into „the human“ without letting it lose its</w:t>
      </w:r>
      <w:r>
        <w:t xml:space="preserve"> </w:t>
      </w:r>
      <w:r>
        <w:t xml:space="preserve">“</w:t>
      </w:r>
      <w:r>
        <w:t xml:space="preserve">foreignness</w:t>
      </w:r>
      <w:r>
        <w:t xml:space="preserve">”</w:t>
      </w:r>
      <w:r>
        <w:t xml:space="preserve"> </w:t>
      </w:r>
      <w:r>
        <w:t xml:space="preserve">and further develop the notions of „human“ and „nature“</w:t>
      </w:r>
      <w:r>
        <w:t xml:space="preserve"> </w:t>
      </w:r>
      <w:r>
        <w:t xml:space="preserve">(Hoel and Tuin 2013, 190)</w:t>
      </w:r>
      <w:r>
        <w:t xml:space="preserve">. Any change in tools therefore will influence how human researchers interact with their objects of interest. Interestingly it is exactly at the point inbetween continously evolving subjects and objects, where van der Tuin and Hoel place technology and the creation of knowledge</w:t>
      </w:r>
      <w:r>
        <w:t xml:space="preserve"> </w:t>
      </w:r>
      <w:r>
        <w:t xml:space="preserve">(Hoel and Tuin 2013, 199)</w:t>
      </w:r>
      <w:r>
        <w:t xml:space="preserve">. The</w:t>
      </w:r>
      <w:r>
        <w:t xml:space="preserve"> </w:t>
      </w:r>
      <w:r>
        <w:t xml:space="preserve">“</w:t>
      </w:r>
      <w:r>
        <w:t xml:space="preserve">productive back-and-forth</w:t>
      </w:r>
      <w:r>
        <w:t xml:space="preserve">”</w:t>
      </w:r>
      <w:r>
        <w:t xml:space="preserve"> </w:t>
      </w:r>
      <w:r>
        <w:t xml:space="preserve">between all parties may challenge established notions of culture, but also offers a concept of formation through differing, called</w:t>
      </w:r>
      <w:r>
        <w:t xml:space="preserve"> </w:t>
      </w:r>
      <w:r>
        <w:t xml:space="preserve">“</w:t>
      </w:r>
      <w:r>
        <w:t xml:space="preserve">performative correspondence</w:t>
      </w:r>
      <w:r>
        <w:t xml:space="preserve">”</w:t>
      </w:r>
      <w:r>
        <w:t xml:space="preserve"> </w:t>
      </w:r>
      <w:r>
        <w:t xml:space="preserve">(Hoel and Tuin 2013, 201)</w:t>
      </w:r>
      <w:r>
        <w:t xml:space="preserve">.</w:t>
      </w:r>
    </w:p>
    <w:p>
      <w:pPr>
        <w:pStyle w:val="BodyText"/>
      </w:pPr>
      <w:r>
        <w:t xml:space="preserve">Another point they make is, that the potential of a certain technology cannot be known before its coming-into-being as it will reflect back on its creation (</w:t>
      </w:r>
      <w:r>
        <w:t xml:space="preserve">“</w:t>
      </w:r>
      <w:r>
        <w:t xml:space="preserve">concretization</w:t>
      </w:r>
      <w:r>
        <w:t xml:space="preserve">”</w:t>
      </w:r>
      <w:r>
        <w:t xml:space="preserve"> </w:t>
      </w:r>
      <w:r>
        <w:t xml:space="preserve">in Simondon’s terms) as well as interact with other technologies (developed or yet-to-be developed)</w:t>
      </w:r>
      <w:r>
        <w:t xml:space="preserve"> </w:t>
      </w:r>
      <w:r>
        <w:t xml:space="preserve">(Hoel and Tuin 2013, 194)</w:t>
      </w:r>
      <w:r>
        <w:t xml:space="preserve">. Seeing the influence the introduction of scientific scripting languages had on ecology we therefore can only expect similar trends to evolve in archaeology, but not predict these.</w:t>
      </w:r>
    </w:p>
    <w:p>
      <w:pPr>
        <w:pStyle w:val="BodyText"/>
      </w:pPr>
      <w:r>
        <w:t xml:space="preserve">We do not believe that a Kuhnian paradigm-change seems to be happening in ecology or archaeology: Data-and method sharing behaviour has been around in archaeology before now and does not present incommensurate ways of thinking about the subject in the way that a classical paradigm-change should.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 It has also expanded the</w:t>
      </w:r>
      <w:r>
        <w:t xml:space="preserve"> </w:t>
      </w:r>
      <w:r>
        <w:t xml:space="preserve">‘</w:t>
      </w:r>
      <w:r>
        <w:t xml:space="preserve">trading zone</w:t>
      </w:r>
      <w:r>
        <w:t xml:space="preserve">’</w:t>
      </w:r>
      <w:r>
        <w:t xml:space="preserve"> </w:t>
      </w:r>
      <w:r>
        <w:t xml:space="preserve">(Galison 1997)</w:t>
      </w:r>
      <w:r>
        <w:t xml:space="preserve"> </w:t>
      </w:r>
      <w:r>
        <w:t xml:space="preserve">where archaeologists collaborate with specialists in other fields to develop a shared language to get things done. In using scripting languages archaeologists are working at a trading zone with computer scientists and computational reserchers in other fields to coordinate how tools from one domain can be useful in another. We can also see archaeologists in similar trading zones when using GIS, network methods, agent-based models, isotope analysis, remote sensing, and DNA analysis to answer archaeological questions. Archaeologists’ embrace of, or turn towards, these methods could also be argued to be tool-driven revolutions. However, what makes the use of code unique as a tool-driven revolution is that coding is transcendental, it is an universal method with which we can do all, or which is central to any, of those previously-mentioned approaches. That is why we believe archaeologists should pay attention to scripted workflows regardless of their usual toolkit and methodological interests.</w:t>
      </w:r>
    </w:p>
    <w:p>
      <w:pPr>
        <w:pStyle w:val="Heading2"/>
      </w:pPr>
      <w:bookmarkStart w:id="35" w:name="making-it-easier"/>
      <w:r>
        <w:t xml:space="preserve">Making it easier</w:t>
      </w:r>
      <w:bookmarkEnd w:id="35"/>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6">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7" w:name="conclusion"/>
      <w:r>
        <w:t xml:space="preserve">Conclusion</w:t>
      </w:r>
      <w:bookmarkEnd w:id="37"/>
    </w:p>
    <w:p>
      <w:pPr>
        <w:pStyle w:val="FirstParagraph"/>
      </w:pPr>
      <w:r>
        <w:t xml:space="preserve">Starting with the discussion of Kuhn’s influential work on paradigm-shifts in science</w:t>
      </w:r>
      <w:r>
        <w:t xml:space="preserve"> </w:t>
      </w:r>
      <w:r>
        <w:t xml:space="preserve">(Kuhn 1962)</w:t>
      </w:r>
      <w:r>
        <w:t xml:space="preserve">,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r>
        <w:t xml:space="preserve"> </w:t>
      </w: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and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also in this way encourage researchers to adhere to the scientific process.</w:t>
      </w:r>
    </w:p>
    <w:p>
      <w:pPr>
        <w:pStyle w:val="Heading2"/>
      </w:pPr>
      <w:bookmarkStart w:id="38" w:name="acknowledgements"/>
      <w:r>
        <w:t xml:space="preserve">Acknowledgements</w:t>
      </w:r>
      <w:bookmarkEnd w:id="38"/>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124" w:name="refs"/>
    <w:bookmarkStart w:id="42" w:name="ref-Abari2012"/>
    <w:p>
      <w:pPr>
        <w:pStyle w:val="FirstParagraph"/>
      </w:pPr>
      <w:r>
        <w:t xml:space="preserve">Abari, Kálmán. 2012. “Reproducible Research in Speech Sciences.”</w:t>
      </w:r>
      <w:r>
        <w:t xml:space="preserve"> </w:t>
      </w:r>
      <w:r>
        <w:rPr>
          <w:i/>
        </w:rPr>
        <w:t xml:space="preserve">International Journal of Computer Science Issues</w:t>
      </w:r>
      <w:r>
        <w:t xml:space="preserve"> </w:t>
      </w:r>
      <w:r>
        <w:t xml:space="preserve">9 (6):43–52.</w:t>
      </w:r>
      <w:r>
        <w:t xml:space="preserve"> </w:t>
      </w:r>
      <w:hyperlink r:id="rId41">
        <w:r>
          <w:rPr>
            <w:rStyle w:val="Hyperlink"/>
          </w:rPr>
          <w:t xml:space="preserve">http://www.ijcsi.org/papers/IJCSI-9-6-2-43-52.pdf</w:t>
        </w:r>
      </w:hyperlink>
      <w:r>
        <w:t xml:space="preserve">.</w:t>
      </w:r>
    </w:p>
    <w:bookmarkEnd w:id="42"/>
    <w:bookmarkStart w:id="43" w:name="ref-andersen2013second"/>
    <w:p>
      <w:pPr>
        <w:pStyle w:val="BodyText"/>
      </w:pPr>
      <w:r>
        <w:t xml:space="preserve">Andersen, Hanne. 2013. “The Second Essential Tension: On Tradition and Innovation in Interdisciplinary Research.”</w:t>
      </w:r>
      <w:r>
        <w:t xml:space="preserve"> </w:t>
      </w:r>
      <w:r>
        <w:rPr>
          <w:i/>
        </w:rPr>
        <w:t xml:space="preserve">Topoi</w:t>
      </w:r>
      <w:r>
        <w:t xml:space="preserve"> </w:t>
      </w:r>
      <w:r>
        <w:t xml:space="preserve">32 (1). Springer:3–8.</w:t>
      </w:r>
    </w:p>
    <w:bookmarkEnd w:id="43"/>
    <w:bookmarkStart w:id="45" w:name="ref-Barnes2010"/>
    <w:p>
      <w:pPr>
        <w:pStyle w:val="BodyText"/>
      </w:pPr>
      <w:r>
        <w:t xml:space="preserve">Barnes, Nick. 2010. “Publish Your Computer Code: It Is Good Enough.”</w:t>
      </w:r>
      <w:r>
        <w:t xml:space="preserve"> </w:t>
      </w:r>
      <w:r>
        <w:rPr>
          <w:i/>
        </w:rPr>
        <w:t xml:space="preserve">Nature News</w:t>
      </w:r>
      <w:r>
        <w:t xml:space="preserve"> </w:t>
      </w:r>
      <w:r>
        <w:t xml:space="preserve">467 (7317):753–53.</w:t>
      </w:r>
      <w:r>
        <w:t xml:space="preserve"> </w:t>
      </w:r>
      <w:hyperlink r:id="rId44">
        <w:r>
          <w:rPr>
            <w:rStyle w:val="Hyperlink"/>
          </w:rPr>
          <w:t xml:space="preserve">https://doi.org/10.1038/467753a</w:t>
        </w:r>
      </w:hyperlink>
      <w:r>
        <w:t xml:space="preserve">.</w:t>
      </w:r>
    </w:p>
    <w:bookmarkEnd w:id="45"/>
    <w:bookmarkStart w:id="47" w:name="ref-Baumer2014"/>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6">
        <w:r>
          <w:rPr>
            <w:rStyle w:val="Hyperlink"/>
          </w:rPr>
          <w:t xml:space="preserve">http://www.escholarship.org/uc/item/90b2f5xh</w:t>
        </w:r>
      </w:hyperlink>
      <w:r>
        <w:t xml:space="preserve">.</w:t>
      </w:r>
    </w:p>
    <w:bookmarkEnd w:id="47"/>
    <w:bookmarkStart w:id="48" w:name="ref-binford1982paradigms"/>
    <w:p>
      <w:pPr>
        <w:pStyle w:val="BodyText"/>
      </w:pPr>
      <w:r>
        <w:t xml:space="preserve">Binford, Lewis R, and Jeremy A Sabloff. 1982. “Paradigms, Systematics, and Archaeology.”</w:t>
      </w:r>
      <w:r>
        <w:t xml:space="preserve"> </w:t>
      </w:r>
      <w:r>
        <w:rPr>
          <w:i/>
        </w:rPr>
        <w:t xml:space="preserve">Journal of Anthropological Research</w:t>
      </w:r>
      <w:r>
        <w:t xml:space="preserve"> </w:t>
      </w:r>
      <w:r>
        <w:t xml:space="preserve">38 (2). University of New Mexico:137–53.</w:t>
      </w:r>
    </w:p>
    <w:bookmarkEnd w:id="48"/>
    <w:bookmarkStart w:id="50" w:name="ref-Bray2014"/>
    <w:p>
      <w:pPr>
        <w:pStyle w:val="BodyText"/>
      </w:pPr>
      <w:r>
        <w:t xml:space="preserve">Bray, Andrew, Mine Çetinkaya-Rundel, and Dalene Stangl. 2014. “Taking a Chance in the Classroom: Five Concrete Reasons Your Students Should Be Learning to Analyze Data in the Reproducible Paradigm.”</w:t>
      </w:r>
      <w:r>
        <w:t xml:space="preserve"> </w:t>
      </w:r>
      <w:r>
        <w:rPr>
          <w:i/>
        </w:rPr>
        <w:t xml:space="preserve">Chance</w:t>
      </w:r>
      <w:r>
        <w:t xml:space="preserve"> </w:t>
      </w:r>
      <w:r>
        <w:t xml:space="preserve">27 (3):53–56.</w:t>
      </w:r>
      <w:r>
        <w:t xml:space="preserve"> </w:t>
      </w:r>
      <w:hyperlink r:id="rId49">
        <w:r>
          <w:rPr>
            <w:rStyle w:val="Hyperlink"/>
          </w:rPr>
          <w:t xml:space="preserve">https://doi.org/10.1080/09332480.2014.965635</w:t>
        </w:r>
      </w:hyperlink>
      <w:r>
        <w:t xml:space="preserve">.</w:t>
      </w:r>
    </w:p>
    <w:bookmarkEnd w:id="50"/>
    <w:bookmarkStart w:id="51" w:name="ref-burnham2003model"/>
    <w:p>
      <w:pPr>
        <w:pStyle w:val="BodyText"/>
      </w:pPr>
      <w:r>
        <w:t xml:space="preserve">Burnham, Kenneth P, and David R Anderson. 2003.</w:t>
      </w:r>
      <w:r>
        <w:t xml:space="preserve"> </w:t>
      </w:r>
      <w:r>
        <w:rPr>
          <w:i/>
        </w:rPr>
        <w:t xml:space="preserve">Model Selection and Multimodel Inference: A Practical Information-Theoretic Approach</w:t>
      </w:r>
      <w:r>
        <w:t xml:space="preserve">. Springer Science &amp; Business Media.</w:t>
      </w:r>
    </w:p>
    <w:bookmarkEnd w:id="51"/>
    <w:bookmarkStart w:id="53" w:name="ref-Casadevalle00158_16"/>
    <w:p>
      <w:pPr>
        <w:pStyle w:val="BodyText"/>
      </w:pPr>
      <w:r>
        <w:t xml:space="preserve">Casadevall, Arturo, and Ferric C. Fang. 2016. “Revolutionary Science.”</w:t>
      </w:r>
      <w:r>
        <w:t xml:space="preserve"> </w:t>
      </w:r>
      <w:r>
        <w:rPr>
          <w:i/>
        </w:rPr>
        <w:t xml:space="preserve">mBio</w:t>
      </w:r>
      <w:r>
        <w:t xml:space="preserve"> </w:t>
      </w:r>
      <w:r>
        <w:t xml:space="preserve">7 (2). American Society for Microbiology.</w:t>
      </w:r>
      <w:r>
        <w:t xml:space="preserve"> </w:t>
      </w:r>
      <w:hyperlink r:id="rId52">
        <w:r>
          <w:rPr>
            <w:rStyle w:val="Hyperlink"/>
          </w:rPr>
          <w:t xml:space="preserve">https://doi.org/10.1128/mBio.00158-16</w:t>
        </w:r>
      </w:hyperlink>
      <w:r>
        <w:t xml:space="preserve">.</w:t>
      </w:r>
    </w:p>
    <w:bookmarkEnd w:id="53"/>
    <w:bookmarkStart w:id="54" w:name="ref-cassirer_form_1930"/>
    <w:p>
      <w:pPr>
        <w:pStyle w:val="BodyText"/>
      </w:pPr>
      <w:r>
        <w:t xml:space="preserve">Cassirer, Ernst. n.d. “Form Und Technik.” In</w:t>
      </w:r>
      <w:r>
        <w:t xml:space="preserve"> </w:t>
      </w:r>
      <w:r>
        <w:rPr>
          <w:i/>
        </w:rPr>
        <w:t xml:space="preserve">Gesammelte Werke. Hamburger Ausgabe, Band 17: Aufsätze Und Kleine Schriften (1927–1931)</w:t>
      </w:r>
      <w:r>
        <w:t xml:space="preserve">. Hamburg: Felix Meiner Verlag.</w:t>
      </w:r>
    </w:p>
    <w:bookmarkEnd w:id="54"/>
    <w:bookmarkStart w:id="56" w:name="ref-Clark_1993"/>
    <w:p>
      <w:pPr>
        <w:pStyle w:val="BodyText"/>
      </w:pPr>
      <w:r>
        <w:t xml:space="preserve">Clark, G. A. 1993. “Paradigms in Science and Archaeology.”</w:t>
      </w:r>
      <w:r>
        <w:t xml:space="preserve"> </w:t>
      </w:r>
      <w:r>
        <w:rPr>
          <w:i/>
        </w:rPr>
        <w:t xml:space="preserve">Journal of Archaeological Research</w:t>
      </w:r>
      <w:r>
        <w:t xml:space="preserve"> </w:t>
      </w:r>
      <w:r>
        <w:t xml:space="preserve">1 (3):203–34.</w:t>
      </w:r>
      <w:r>
        <w:t xml:space="preserve"> </w:t>
      </w:r>
      <w:hyperlink r:id="rId55">
        <w:r>
          <w:rPr>
            <w:rStyle w:val="Hyperlink"/>
          </w:rPr>
          <w:t xml:space="preserve">https://doi.org/10.1007/BF01326535</w:t>
        </w:r>
      </w:hyperlink>
      <w:r>
        <w:t xml:space="preserve">.</w:t>
      </w:r>
    </w:p>
    <w:bookmarkEnd w:id="56"/>
    <w:bookmarkStart w:id="58" w:name="ref-Dafoe2014"/>
    <w:p>
      <w:pPr>
        <w:pStyle w:val="BodyText"/>
      </w:pPr>
      <w:r>
        <w:t xml:space="preserve">Dafoe, Allan. 2014. “Science Deserves Better: The Imperative to Share Complete Replication Files.”</w:t>
      </w:r>
      <w:r>
        <w:t xml:space="preserve"> </w:t>
      </w:r>
      <w:r>
        <w:rPr>
          <w:i/>
        </w:rPr>
        <w:t xml:space="preserve">PS: Political Science &amp; Politics</w:t>
      </w:r>
      <w:r>
        <w:t xml:space="preserve"> </w:t>
      </w:r>
      <w:r>
        <w:t xml:space="preserve">47 (01):60–66.</w:t>
      </w:r>
      <w:r>
        <w:t xml:space="preserve"> </w:t>
      </w:r>
      <w:hyperlink r:id="rId57">
        <w:r>
          <w:rPr>
            <w:rStyle w:val="Hyperlink"/>
          </w:rPr>
          <w:t xml:space="preserve">https://doi.org/10.1017/S104909651300173X</w:t>
        </w:r>
      </w:hyperlink>
      <w:r>
        <w:t xml:space="preserve">.</w:t>
      </w:r>
    </w:p>
    <w:bookmarkEnd w:id="58"/>
    <w:bookmarkStart w:id="59" w:name="ref-Dyson_2000"/>
    <w:p>
      <w:pPr>
        <w:pStyle w:val="BodyText"/>
      </w:pPr>
      <w:r>
        <w:t xml:space="preserve">Dyson, Freeman. 2000.</w:t>
      </w:r>
      <w:r>
        <w:t xml:space="preserve"> </w:t>
      </w:r>
      <w:r>
        <w:rPr>
          <w:i/>
        </w:rPr>
        <w:t xml:space="preserve">The Sun, the Genome, and the Internet</w:t>
      </w:r>
      <w:r>
        <w:t xml:space="preserve">. New York Public Library Lectures in Humanities. Oxford University Press.</w:t>
      </w:r>
    </w:p>
    <w:bookmarkEnd w:id="59"/>
    <w:bookmarkStart w:id="60" w:name="ref-dyson2012science"/>
    <w:p>
      <w:pPr>
        <w:pStyle w:val="BodyText"/>
      </w:pPr>
      <w:r>
        <w:t xml:space="preserve">Dyson, Freeman J. 2012. “Is Science Mostly Driven by Ideas or by Tools?”</w:t>
      </w:r>
      <w:r>
        <w:t xml:space="preserve"> </w:t>
      </w:r>
      <w:r>
        <w:rPr>
          <w:i/>
        </w:rPr>
        <w:t xml:space="preserve">Science</w:t>
      </w:r>
      <w:r>
        <w:t xml:space="preserve"> </w:t>
      </w:r>
      <w:r>
        <w:t xml:space="preserve">338 (6113). American Association for the Advancement of Science:1426–7.</w:t>
      </w:r>
    </w:p>
    <w:bookmarkEnd w:id="60"/>
    <w:bookmarkStart w:id="62" w:name="ref-Eglen2009"/>
    <w:p>
      <w:pPr>
        <w:pStyle w:val="BodyText"/>
      </w:pPr>
      <w:r>
        <w:t xml:space="preserve">Eglen, Stephen J. 2009. “A Quick Guide to Teaching R Programming to Computational Biology Students.”</w:t>
      </w:r>
      <w:r>
        <w:t xml:space="preserve"> </w:t>
      </w:r>
      <w:r>
        <w:rPr>
          <w:i/>
        </w:rPr>
        <w:t xml:space="preserve">PLoS Comput Biol</w:t>
      </w:r>
      <w:r>
        <w:t xml:space="preserve"> </w:t>
      </w:r>
      <w:r>
        <w:t xml:space="preserve">5 (8):e1000482.</w:t>
      </w:r>
      <w:r>
        <w:t xml:space="preserve"> </w:t>
      </w:r>
      <w:hyperlink r:id="rId61">
        <w:r>
          <w:rPr>
            <w:rStyle w:val="Hyperlink"/>
          </w:rPr>
          <w:t xml:space="preserve">https://doi.org/10.1371/journal.pcbi.1000482</w:t>
        </w:r>
      </w:hyperlink>
      <w:r>
        <w:t xml:space="preserve">.</w:t>
      </w:r>
    </w:p>
    <w:bookmarkEnd w:id="62"/>
    <w:bookmarkStart w:id="64" w:name="ref-Fuller_2010"/>
    <w:p>
      <w:pPr>
        <w:pStyle w:val="BodyText"/>
      </w:pPr>
      <w:r>
        <w:t xml:space="preserve">Fuller, Dorian Q. 2010. “An Emerging Paradigm Shift in the Origins of Agriculture.”</w:t>
      </w:r>
      <w:r>
        <w:t xml:space="preserve"> </w:t>
      </w:r>
      <w:r>
        <w:rPr>
          <w:i/>
        </w:rPr>
        <w:t xml:space="preserve">General Anthropology</w:t>
      </w:r>
      <w:r>
        <w:t xml:space="preserve"> </w:t>
      </w:r>
      <w:r>
        <w:t xml:space="preserve">17 (2):1–12.</w:t>
      </w:r>
      <w:r>
        <w:t xml:space="preserve"> </w:t>
      </w:r>
      <w:hyperlink r:id="rId63">
        <w:r>
          <w:rPr>
            <w:rStyle w:val="Hyperlink"/>
          </w:rPr>
          <w:t xml:space="preserve">https://doi.org/10.1111/j.1939-3466.2010.00010.x</w:t>
        </w:r>
      </w:hyperlink>
      <w:r>
        <w:t xml:space="preserve">.</w:t>
      </w:r>
    </w:p>
    <w:bookmarkEnd w:id="64"/>
    <w:bookmarkStart w:id="65" w:name="ref-Galison_1997"/>
    <w:p>
      <w:pPr>
        <w:pStyle w:val="BodyText"/>
      </w:pPr>
      <w:r>
        <w:t xml:space="preserve">Galison, Peter. 1997.</w:t>
      </w:r>
      <w:r>
        <w:t xml:space="preserve"> </w:t>
      </w:r>
      <w:r>
        <w:rPr>
          <w:i/>
        </w:rPr>
        <w:t xml:space="preserve">Image and Logic: A Material Culture of Microphysics</w:t>
      </w:r>
      <w:r>
        <w:t xml:space="preserve">. University of Chicago Press.</w:t>
      </w:r>
    </w:p>
    <w:bookmarkEnd w:id="65"/>
    <w:bookmarkStart w:id="66" w:name="ref-gieryn1999cultural"/>
    <w:p>
      <w:pPr>
        <w:pStyle w:val="BodyText"/>
      </w:pPr>
      <w:r>
        <w:t xml:space="preserve">Gieryn, Thomas F. 1999.</w:t>
      </w:r>
      <w:r>
        <w:t xml:space="preserve"> </w:t>
      </w:r>
      <w:r>
        <w:rPr>
          <w:i/>
        </w:rPr>
        <w:t xml:space="preserve">Cultural Boundaries of Science: Credibility on the Line</w:t>
      </w:r>
      <w:r>
        <w:t xml:space="preserve">. University of Chicago Press.</w:t>
      </w:r>
    </w:p>
    <w:bookmarkEnd w:id="66"/>
    <w:bookmarkStart w:id="68" w:name="ref-Härke_2002"/>
    <w:p>
      <w:pPr>
        <w:pStyle w:val="BodyText"/>
      </w:pPr>
      <w:r>
        <w:t xml:space="preserve">Härke, Heinrich. 2002. “Interdisciplinarity and the Archaeological Study of Death.”</w:t>
      </w:r>
      <w:r>
        <w:t xml:space="preserve"> </w:t>
      </w:r>
      <w:r>
        <w:rPr>
          <w:i/>
        </w:rPr>
        <w:t xml:space="preserve">Mortality</w:t>
      </w:r>
      <w:r>
        <w:t xml:space="preserve"> </w:t>
      </w:r>
      <w:r>
        <w:t xml:space="preserve">7 (3):340–41.</w:t>
      </w:r>
      <w:r>
        <w:t xml:space="preserve"> </w:t>
      </w:r>
      <w:hyperlink r:id="rId67">
        <w:r>
          <w:rPr>
            <w:rStyle w:val="Hyperlink"/>
          </w:rPr>
          <w:t xml:space="preserve">https://doi.org/10.1080/1357627021000025487</w:t>
        </w:r>
      </w:hyperlink>
      <w:r>
        <w:t xml:space="preserve">.</w:t>
      </w:r>
    </w:p>
    <w:bookmarkEnd w:id="68"/>
    <w:bookmarkStart w:id="70" w:name="ref-hoel_ontological_2013"/>
    <w:p>
      <w:pPr>
        <w:pStyle w:val="BodyText"/>
      </w:pPr>
      <w:r>
        <w:t xml:space="preserve">Hoel, Aud Sissel, and Iris van der Tuin. 2013. “The Ontological Force of Technicity: Reading Cassirer and Simondon Diffractively.”</w:t>
      </w:r>
      <w:r>
        <w:t xml:space="preserve"> </w:t>
      </w:r>
      <w:r>
        <w:rPr>
          <w:i/>
        </w:rPr>
        <w:t xml:space="preserve">Philos. Technol.</w:t>
      </w:r>
      <w:r>
        <w:t xml:space="preserve"> </w:t>
      </w:r>
      <w:r>
        <w:t xml:space="preserve">26 (2):187–202.</w:t>
      </w:r>
      <w:r>
        <w:t xml:space="preserve"> </w:t>
      </w:r>
      <w:hyperlink r:id="rId69">
        <w:r>
          <w:rPr>
            <w:rStyle w:val="Hyperlink"/>
          </w:rPr>
          <w:t xml:space="preserve">https://doi.org/10.1007/s13347-012-0092-5</w:t>
        </w:r>
      </w:hyperlink>
      <w:r>
        <w:t xml:space="preserve">.</w:t>
      </w:r>
    </w:p>
    <w:bookmarkEnd w:id="70"/>
    <w:bookmarkStart w:id="72" w:name="ref-Hugget_2015"/>
    <w:p>
      <w:pPr>
        <w:pStyle w:val="BodyText"/>
      </w:pPr>
      <w:r>
        <w:t xml:space="preserve">Huggett, Jeremy. 2015. “2 Digital Haystacks: Open Data and the Transformation of Archaeological Knowledge.” In</w:t>
      </w:r>
      <w:r>
        <w:t xml:space="preserve"> </w:t>
      </w:r>
      <w:r>
        <w:rPr>
          <w:i/>
        </w:rPr>
        <w:t xml:space="preserve">Open Source Archaeology: Ethics and Practice</w:t>
      </w:r>
      <w:r>
        <w:t xml:space="preserve">, edited by Andrew T. Wilson and Ben Edwards. Warsaw, Poland: De Gruyter Open.</w:t>
      </w:r>
      <w:r>
        <w:t xml:space="preserve"> </w:t>
      </w:r>
      <w:hyperlink r:id="rId71">
        <w:r>
          <w:rPr>
            <w:rStyle w:val="Hyperlink"/>
          </w:rPr>
          <w:t xml:space="preserve">https://doi.org/10.1515/9783110440171-003</w:t>
        </w:r>
      </w:hyperlink>
      <w:r>
        <w:t xml:space="preserve">.</w:t>
      </w:r>
    </w:p>
    <w:bookmarkEnd w:id="72"/>
    <w:bookmarkStart w:id="74" w:name="ref-Huvila_2018"/>
    <w:p>
      <w:pPr>
        <w:pStyle w:val="BodyText"/>
      </w:pPr>
      <w:r>
        <w:t xml:space="preserve">Huvila, Isto, and Jeremy Huggett. 2018. “Archaeological Practices, Knowledge Work and Digitalisation.”</w:t>
      </w:r>
      <w:r>
        <w:t xml:space="preserve"> </w:t>
      </w:r>
      <w:r>
        <w:rPr>
          <w:i/>
        </w:rPr>
        <w:t xml:space="preserve">Journal of Computer Applications in Archaeology</w:t>
      </w:r>
      <w:r>
        <w:t xml:space="preserve"> </w:t>
      </w:r>
      <w:r>
        <w:t xml:space="preserve">1 (1):88–100.</w:t>
      </w:r>
      <w:r>
        <w:t xml:space="preserve"> </w:t>
      </w:r>
      <w:hyperlink r:id="rId73">
        <w:r>
          <w:rPr>
            <w:rStyle w:val="Hyperlink"/>
          </w:rPr>
          <w:t xml:space="preserve">https://doi.org/10.5334/jcaa.6</w:t>
        </w:r>
      </w:hyperlink>
      <w:r>
        <w:t xml:space="preserve">.</w:t>
      </w:r>
    </w:p>
    <w:bookmarkEnd w:id="74"/>
    <w:bookmarkStart w:id="76" w:name="ref-Ince2012"/>
    <w:p>
      <w:pPr>
        <w:pStyle w:val="BodyText"/>
      </w:pPr>
      <w:r>
        <w:t xml:space="preserve">Ince, Darrel C., Les Hatton, and John Graham-Cumming. 2012. “The Case for Open Computer Programs.”</w:t>
      </w:r>
      <w:r>
        <w:t xml:space="preserve"> </w:t>
      </w:r>
      <w:r>
        <w:rPr>
          <w:i/>
        </w:rPr>
        <w:t xml:space="preserve">Nature</w:t>
      </w:r>
      <w:r>
        <w:t xml:space="preserve"> </w:t>
      </w:r>
      <w:r>
        <w:t xml:space="preserve">482 (7386):485–88.</w:t>
      </w:r>
      <w:r>
        <w:t xml:space="preserve"> </w:t>
      </w:r>
      <w:hyperlink r:id="rId75">
        <w:r>
          <w:rPr>
            <w:rStyle w:val="Hyperlink"/>
          </w:rPr>
          <w:t xml:space="preserve">https://doi.org/10.1038/nature10836</w:t>
        </w:r>
      </w:hyperlink>
      <w:r>
        <w:t xml:space="preserve">.</w:t>
      </w:r>
    </w:p>
    <w:bookmarkEnd w:id="76"/>
    <w:bookmarkStart w:id="78" w:name="ref-keron_use_2015"/>
    <w:p>
      <w:pPr>
        <w:pStyle w:val="BodyText"/>
      </w:pPr>
      <w:r>
        <w:t xml:space="preserve">Keron, James R. 2015. “The Use of Point Pattern Analysis in Archaeology: Some Methods and Applications.” PhD thesis, University of Western Ontario.</w:t>
      </w:r>
      <w:r>
        <w:t xml:space="preserve"> </w:t>
      </w:r>
      <w:hyperlink r:id="rId77">
        <w:r>
          <w:rPr>
            <w:rStyle w:val="Hyperlink"/>
          </w:rPr>
          <w:t xml:space="preserve">https://ir.lib.uwo.ca/etd/3137</w:t>
        </w:r>
      </w:hyperlink>
      <w:r>
        <w:t xml:space="preserve">.</w:t>
      </w:r>
    </w:p>
    <w:bookmarkEnd w:id="78"/>
    <w:bookmarkStart w:id="79" w:name="ref-king1995replication"/>
    <w:p>
      <w:pPr>
        <w:pStyle w:val="BodyText"/>
      </w:pPr>
      <w:r>
        <w:t xml:space="preserve">King, Gary. 1995. “Replication, Replication.”</w:t>
      </w:r>
      <w:r>
        <w:t xml:space="preserve"> </w:t>
      </w:r>
      <w:r>
        <w:rPr>
          <w:i/>
        </w:rPr>
        <w:t xml:space="preserve">PS: Political Science &amp; Politics</w:t>
      </w:r>
      <w:r>
        <w:t xml:space="preserve"> </w:t>
      </w:r>
      <w:r>
        <w:t xml:space="preserve">28 (03):444–52.</w:t>
      </w:r>
    </w:p>
    <w:bookmarkEnd w:id="79"/>
    <w:bookmarkStart w:id="80" w:name="ref-Kuhn_1962"/>
    <w:p>
      <w:pPr>
        <w:pStyle w:val="BodyText"/>
      </w:pPr>
      <w:r>
        <w:t xml:space="preserve">Kuhn, T. 1962.</w:t>
      </w:r>
      <w:r>
        <w:t xml:space="preserve"> </w:t>
      </w:r>
      <w:r>
        <w:rPr>
          <w:i/>
        </w:rPr>
        <w:t xml:space="preserve">The Structure of Scientific Revolutions</w:t>
      </w:r>
      <w:r>
        <w:t xml:space="preserve">. University of Chicago Press.</w:t>
      </w:r>
    </w:p>
    <w:bookmarkEnd w:id="80"/>
    <w:bookmarkStart w:id="82" w:name="ref-LeVeque2012"/>
    <w:p>
      <w:pPr>
        <w:pStyle w:val="BodyText"/>
      </w:pPr>
      <w:r>
        <w:t xml:space="preserve">LeVeque, Randall J., Ian M. Mitchell, and V. Stodden. 2012. “Reproducible Research for Scientific Computing: Tools and Strategies for Changing the Culture.”</w:t>
      </w:r>
      <w:r>
        <w:t xml:space="preserve"> </w:t>
      </w:r>
      <w:r>
        <w:rPr>
          <w:i/>
        </w:rPr>
        <w:t xml:space="preserve">Computing in Science &amp; Engineering</w:t>
      </w:r>
      <w:r>
        <w:t xml:space="preserve"> </w:t>
      </w:r>
      <w:r>
        <w:t xml:space="preserve">14 (4):13–17.</w:t>
      </w:r>
      <w:r>
        <w:t xml:space="preserve"> </w:t>
      </w:r>
      <w:hyperlink r:id="rId81">
        <w:r>
          <w:rPr>
            <w:rStyle w:val="Hyperlink"/>
          </w:rPr>
          <w:t xml:space="preserve">https://doi.org/10.1109/MCSE.2012.38</w:t>
        </w:r>
      </w:hyperlink>
      <w:r>
        <w:t xml:space="preserve">.</w:t>
      </w:r>
    </w:p>
    <w:bookmarkEnd w:id="82"/>
    <w:bookmarkStart w:id="83" w:name="ref-markowetz2015five"/>
    <w:p>
      <w:pPr>
        <w:pStyle w:val="BodyText"/>
      </w:pPr>
      <w:r>
        <w:t xml:space="preserve">Markowetz, Florian. 2015. “Five Selfish Reasons to Work Reproducibly.”</w:t>
      </w:r>
      <w:r>
        <w:t xml:space="preserve"> </w:t>
      </w:r>
      <w:r>
        <w:rPr>
          <w:i/>
        </w:rPr>
        <w:t xml:space="preserve">Genome Biology</w:t>
      </w:r>
      <w:r>
        <w:t xml:space="preserve"> </w:t>
      </w:r>
      <w:r>
        <w:t xml:space="preserve">16. BioMed Central.</w:t>
      </w:r>
    </w:p>
    <w:bookmarkEnd w:id="83"/>
    <w:bookmarkStart w:id="84"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Francis:80–88.</w:t>
      </w:r>
    </w:p>
    <w:bookmarkEnd w:id="84"/>
    <w:bookmarkStart w:id="85" w:name="ref-masterman1970does"/>
    <w:p>
      <w:pPr>
        <w:pStyle w:val="BodyText"/>
      </w:pPr>
      <w:r>
        <w:t xml:space="preserve">Masterman, Margaret. 1970. “The Nature of a Paradigm.” In</w:t>
      </w:r>
      <w:r>
        <w:t xml:space="preserve"> </w:t>
      </w:r>
      <w:r>
        <w:rPr>
          <w:i/>
        </w:rPr>
        <w:t xml:space="preserve">Criticism and the Growth of Knowledge: Volume 4: Proceedings of the International Colloquium in the Philosophy of Science, London, 1965</w:t>
      </w:r>
      <w:r>
        <w:t xml:space="preserve">, edited by Alan Musgrave and others, 4:59–89. Cambridge University Press.</w:t>
      </w:r>
    </w:p>
    <w:bookmarkEnd w:id="85"/>
    <w:bookmarkStart w:id="87" w:name="ref-McAnany_Rowe_2015"/>
    <w:p>
      <w:pPr>
        <w:pStyle w:val="BodyText"/>
      </w:pPr>
      <w:r>
        <w:t xml:space="preserve">McAnany, Patricia A., and Sarah M. Rowe. 2015. “Re-Visiting the Field: Collaborative Archaeology as Paradigm Shift.”</w:t>
      </w:r>
      <w:r>
        <w:t xml:space="preserve"> </w:t>
      </w:r>
      <w:r>
        <w:rPr>
          <w:i/>
        </w:rPr>
        <w:t xml:space="preserve">Journal of Field Archaeology</w:t>
      </w:r>
      <w:r>
        <w:t xml:space="preserve"> </w:t>
      </w:r>
      <w:r>
        <w:t xml:space="preserve">40 (5):499–507.</w:t>
      </w:r>
      <w:r>
        <w:t xml:space="preserve"> </w:t>
      </w:r>
      <w:hyperlink r:id="rId86">
        <w:r>
          <w:rPr>
            <w:rStyle w:val="Hyperlink"/>
          </w:rPr>
          <w:t xml:space="preserve">https://doi.org/10.1179/2042458215Y.0000000007</w:t>
        </w:r>
      </w:hyperlink>
      <w:r>
        <w:t xml:space="preserve">.</w:t>
      </w:r>
    </w:p>
    <w:bookmarkEnd w:id="87"/>
    <w:bookmarkStart w:id="89" w:name="ref-Meltzer_1979"/>
    <w:p>
      <w:pPr>
        <w:pStyle w:val="BodyText"/>
      </w:pPr>
      <w:r>
        <w:t xml:space="preserve">Meltzer, David J. 1979. “Paradigms and the Nature of Change in American Archaeology.”</w:t>
      </w:r>
      <w:r>
        <w:t xml:space="preserve"> </w:t>
      </w:r>
      <w:r>
        <w:rPr>
          <w:i/>
        </w:rPr>
        <w:t xml:space="preserve">American Antiquity</w:t>
      </w:r>
      <w:r>
        <w:t xml:space="preserve"> </w:t>
      </w:r>
      <w:r>
        <w:t xml:space="preserve">44 (4):644–57.</w:t>
      </w:r>
      <w:r>
        <w:t xml:space="preserve"> </w:t>
      </w:r>
      <w:hyperlink r:id="rId88">
        <w:r>
          <w:rPr>
            <w:rStyle w:val="Hyperlink"/>
          </w:rPr>
          <w:t xml:space="preserve">https://doi.org/10.2307/279104</w:t>
        </w:r>
      </w:hyperlink>
      <w:r>
        <w:t xml:space="preserve">.</w:t>
      </w:r>
    </w:p>
    <w:bookmarkEnd w:id="89"/>
    <w:bookmarkStart w:id="91" w:name="ref-Miguel2014"/>
    <w:p>
      <w:pPr>
        <w:pStyle w:val="BodyText"/>
      </w:pPr>
      <w:r>
        <w:t xml:space="preserve">Miguel, E., C. Camerer, K. Casey, J. Cohen, K. M. Esterling, A. Gerber, R. Glennerster, et al. 2014. “Promoting Transparency in Social Science Research.”</w:t>
      </w:r>
      <w:r>
        <w:t xml:space="preserve"> </w:t>
      </w:r>
      <w:r>
        <w:rPr>
          <w:i/>
        </w:rPr>
        <w:t xml:space="preserve">Science (New York, N.Y.)</w:t>
      </w:r>
      <w:r>
        <w:t xml:space="preserve"> </w:t>
      </w:r>
      <w:r>
        <w:t xml:space="preserve">343 (6166):30–31.</w:t>
      </w:r>
      <w:r>
        <w:t xml:space="preserve"> </w:t>
      </w:r>
      <w:hyperlink r:id="rId90">
        <w:r>
          <w:rPr>
            <w:rStyle w:val="Hyperlink"/>
          </w:rPr>
          <w:t xml:space="preserve">https://doi.org/10.1126/science.1245317</w:t>
        </w:r>
      </w:hyperlink>
      <w:r>
        <w:t xml:space="preserve">.</w:t>
      </w:r>
    </w:p>
    <w:bookmarkEnd w:id="91"/>
    <w:bookmarkStart w:id="92" w:name="ref-Mitchell2012"/>
    <w:p>
      <w:pPr>
        <w:pStyle w:val="BodyText"/>
      </w:pPr>
      <w:r>
        <w:t xml:space="preserve">Mitchell, Ian M., Randall J. LeVeque, and V. Stodden. 2012. “Reproducible Research for Scientific Computing: Tools and Strategies for Changing the Culture.”</w:t>
      </w:r>
      <w:r>
        <w:t xml:space="preserve"> </w:t>
      </w:r>
      <w:r>
        <w:rPr>
          <w:i/>
        </w:rPr>
        <w:t xml:space="preserve">Computing in Science and Engineering</w:t>
      </w:r>
      <w:r>
        <w:t xml:space="preserve"> </w:t>
      </w:r>
      <w:r>
        <w:t xml:space="preserve">14 (4):13–17.</w:t>
      </w:r>
    </w:p>
    <w:bookmarkEnd w:id="92"/>
    <w:bookmarkStart w:id="93" w:name="ref-molyneaux2013cultural"/>
    <w:p>
      <w:pPr>
        <w:pStyle w:val="BodyText"/>
      </w:pPr>
      <w:r>
        <w:t xml:space="preserve">Molyneaux, Brian Leigh. 2013.</w:t>
      </w:r>
      <w:r>
        <w:t xml:space="preserve"> </w:t>
      </w:r>
      <w:r>
        <w:rPr>
          <w:i/>
        </w:rPr>
        <w:t xml:space="preserve">The Cultural Life of Images: Visual Representation in Archaeology</w:t>
      </w:r>
      <w:r>
        <w:t xml:space="preserve">. Routledge.</w:t>
      </w:r>
    </w:p>
    <w:bookmarkEnd w:id="93"/>
    <w:bookmarkStart w:id="94" w:name="ref-nosek2015promoting"/>
    <w:p>
      <w:pPr>
        <w:pStyle w:val="BodyText"/>
      </w:pPr>
      <w:r>
        <w:t xml:space="preserve">Nosek, BA, G Alter, GC Banks, D Borsboom, SD Bowman, SJ Breckler, S Buck, et al. 2015. “Promoting an Open Research Culture: Author Guidelines for Journals Could Help to Promote Transparency, Openness, and Reproducibility.”</w:t>
      </w:r>
      <w:r>
        <w:t xml:space="preserve"> </w:t>
      </w:r>
      <w:r>
        <w:rPr>
          <w:i/>
        </w:rPr>
        <w:t xml:space="preserve">Science (New York, NY)</w:t>
      </w:r>
      <w:r>
        <w:t xml:space="preserve"> </w:t>
      </w:r>
      <w:r>
        <w:t xml:space="preserve">348 (6242). NIH Public Access:1422.</w:t>
      </w:r>
    </w:p>
    <w:bookmarkEnd w:id="94"/>
    <w:bookmarkStart w:id="96" w:name="ref-Chrysanthi_2012"/>
    <w:p>
      <w:pPr>
        <w:pStyle w:val="BodyText"/>
      </w:pPr>
      <w:r>
        <w:t xml:space="preserve">Papadopoulos, Costas, Angeliki Chrysanthi, and Patricia Murietta-Flores. 2012. “Archaeological Computing: Towards Prosthesis or Amputation?” In</w:t>
      </w:r>
      <w:r>
        <w:t xml:space="preserve"> </w:t>
      </w:r>
      <w:r>
        <w:rPr>
          <w:i/>
        </w:rPr>
        <w:t xml:space="preserve">Thinking Beyond the Tool. Archaeological Computingand the Interpretive Process</w:t>
      </w:r>
      <w:r>
        <w:t xml:space="preserve">, edited by Angeliki Chrysanthi, Patricia Murietta-Flores, and Constantinos Papadopoulos. BAR Internat. Ser. 2344. Oxford: Archeopress.</w:t>
      </w:r>
      <w:r>
        <w:t xml:space="preserve"> </w:t>
      </w:r>
      <w:hyperlink r:id="rId95">
        <w:r>
          <w:rPr>
            <w:rStyle w:val="Hyperlink"/>
          </w:rPr>
          <w:t xml:space="preserve">https://www.academia.edu/1571396/Archaeological_Computing_Towards_Prosthesis_or_Amputation</w:t>
        </w:r>
      </w:hyperlink>
      <w:r>
        <w:t xml:space="preserve">.</w:t>
      </w:r>
    </w:p>
    <w:bookmarkEnd w:id="96"/>
    <w:bookmarkStart w:id="98" w:name="ref-Peng2009"/>
    <w:p>
      <w:pPr>
        <w:pStyle w:val="BodyText"/>
      </w:pPr>
      <w:r>
        <w:t xml:space="preserve">Peng, Roger D. 2009. “Reproducible Research and Biostatistics.”</w:t>
      </w:r>
      <w:r>
        <w:t xml:space="preserve"> </w:t>
      </w:r>
      <w:r>
        <w:rPr>
          <w:i/>
        </w:rPr>
        <w:t xml:space="preserve">Biostatistics</w:t>
      </w:r>
      <w:r>
        <w:t xml:space="preserve"> </w:t>
      </w:r>
      <w:r>
        <w:t xml:space="preserve">10 (3):405–8.</w:t>
      </w:r>
      <w:r>
        <w:t xml:space="preserve"> </w:t>
      </w:r>
      <w:hyperlink r:id="rId97">
        <w:r>
          <w:rPr>
            <w:rStyle w:val="Hyperlink"/>
          </w:rPr>
          <w:t xml:space="preserve">https://doi.org/10.1093/biostatistics/kxp014</w:t>
        </w:r>
      </w:hyperlink>
      <w:r>
        <w:t xml:space="preserve">.</w:t>
      </w:r>
    </w:p>
    <w:bookmarkEnd w:id="98"/>
    <w:bookmarkStart w:id="99" w:name="ref-peng2011reproducible"/>
    <w:p>
      <w:pPr>
        <w:pStyle w:val="BodyText"/>
      </w:pPr>
      <w:r>
        <w:t xml:space="preserve">———. 2011. “Reproducible Research in Computational Science.”</w:t>
      </w:r>
      <w:r>
        <w:t xml:space="preserve"> </w:t>
      </w:r>
      <w:r>
        <w:rPr>
          <w:i/>
        </w:rPr>
        <w:t xml:space="preserve">Science (New York, Ny)</w:t>
      </w:r>
      <w:r>
        <w:t xml:space="preserve"> </w:t>
      </w:r>
      <w:r>
        <w:t xml:space="preserve">334 (6060):1226.</w:t>
      </w:r>
    </w:p>
    <w:bookmarkEnd w:id="99"/>
    <w:bookmarkStart w:id="100" w:name="ref-popper1970"/>
    <w:p>
      <w:pPr>
        <w:pStyle w:val="BodyText"/>
      </w:pPr>
      <w:r>
        <w:t xml:space="preserve">Popper, Karl. 1970. “Normal Science and Its Dangers.” In</w:t>
      </w:r>
      <w:r>
        <w:t xml:space="preserve"> </w:t>
      </w:r>
      <w:r>
        <w:rPr>
          <w:i/>
        </w:rPr>
        <w:t xml:space="preserve">Criticism and the Growth of Knowledge: Volume 4: Proceedings of the International Colloquium in the Philosophy of Science, London, 1965</w:t>
      </w:r>
      <w:r>
        <w:t xml:space="preserve">, edited by Alan Musgrave and others, 4:51–58. Cambridge University Press.</w:t>
      </w:r>
    </w:p>
    <w:bookmarkEnd w:id="100"/>
    <w:bookmarkStart w:id="102" w:name="ref-Sandve2013"/>
    <w:p>
      <w:pPr>
        <w:pStyle w:val="BodyText"/>
      </w:pPr>
      <w:r>
        <w:t xml:space="preserve">Sandve, Geir Kjetil, Anton Nekrutenko, James Taylor, and Eivind Hovig. 2013. “Ten Simple Rules for Reproducible Computational Research.”</w:t>
      </w:r>
      <w:r>
        <w:t xml:space="preserve"> </w:t>
      </w:r>
      <w:r>
        <w:rPr>
          <w:i/>
        </w:rPr>
        <w:t xml:space="preserve">PLoS Comput Biol</w:t>
      </w:r>
      <w:r>
        <w:t xml:space="preserve"> </w:t>
      </w:r>
      <w:r>
        <w:t xml:space="preserve">9 (10):e1003285.</w:t>
      </w:r>
      <w:r>
        <w:t xml:space="preserve"> </w:t>
      </w:r>
      <w:hyperlink r:id="rId101">
        <w:r>
          <w:rPr>
            <w:rStyle w:val="Hyperlink"/>
          </w:rPr>
          <w:t xml:space="preserve">https://doi.org/10.1371/journal.pcbi.1003285</w:t>
        </w:r>
      </w:hyperlink>
      <w:r>
        <w:t xml:space="preserve">.</w:t>
      </w:r>
    </w:p>
    <w:bookmarkEnd w:id="102"/>
    <w:bookmarkStart w:id="104" w:name="ref-Schiffer_2013"/>
    <w:p>
      <w:pPr>
        <w:pStyle w:val="BodyText"/>
      </w:pPr>
      <w:r>
        <w:t xml:space="preserve">Schiffer, Michael Brian. 2013.</w:t>
      </w:r>
      <w:r>
        <w:t xml:space="preserve"> </w:t>
      </w:r>
      <w:r>
        <w:rPr>
          <w:i/>
        </w:rPr>
        <w:t xml:space="preserve">The Archaeology of Science: Studying the Creation of Useful Knowledge</w:t>
      </w:r>
      <w:r>
        <w:t xml:space="preserve">. Manuals in Archaeological Method, Theory and Technique. Springer International Publishing.</w:t>
      </w:r>
      <w:r>
        <w:t xml:space="preserve"> </w:t>
      </w:r>
      <w:hyperlink r:id="rId103">
        <w:r>
          <w:rPr>
            <w:rStyle w:val="Hyperlink"/>
          </w:rPr>
          <w:t xml:space="preserve">//www.springer.com/us/book/9783319000763</w:t>
        </w:r>
      </w:hyperlink>
      <w:r>
        <w:t xml:space="preserve">.</w:t>
      </w:r>
    </w:p>
    <w:bookmarkEnd w:id="104"/>
    <w:bookmarkStart w:id="105" w:name="ref-simondon_mode_1958"/>
    <w:p>
      <w:pPr>
        <w:pStyle w:val="BodyText"/>
      </w:pPr>
      <w:r>
        <w:t xml:space="preserve">Simondon, Gilbert. n.d. “On the Mode of Existence of Technical Objects (Trans: Mellamphy, N., Mellamphy, d. And Biswas Mellamphy, N.).”</w:t>
      </w:r>
      <w:r>
        <w:t xml:space="preserve"> </w:t>
      </w:r>
      <w:r>
        <w:rPr>
          <w:i/>
        </w:rPr>
        <w:t xml:space="preserve">Deleuze Studies</w:t>
      </w:r>
      <w:r>
        <w:t xml:space="preserve">, Deleuze studies, 5 (3):407–24.</w:t>
      </w:r>
    </w:p>
    <w:bookmarkEnd w:id="105"/>
    <w:bookmarkStart w:id="107" w:name="ref-Snodgrass_2002"/>
    <w:p>
      <w:pPr>
        <w:pStyle w:val="BodyText"/>
      </w:pPr>
      <w:r>
        <w:t xml:space="preserve">Snodgrass, Anthony. 2002. “A Paradigm Shift in Classical Archaeology?”</w:t>
      </w:r>
      <w:r>
        <w:t xml:space="preserve"> </w:t>
      </w:r>
      <w:r>
        <w:rPr>
          <w:i/>
        </w:rPr>
        <w:t xml:space="preserve">Cambridge Archaeological Journal</w:t>
      </w:r>
      <w:r>
        <w:t xml:space="preserve"> </w:t>
      </w:r>
      <w:r>
        <w:t xml:space="preserve">12 (2):179–94.</w:t>
      </w:r>
      <w:r>
        <w:t xml:space="preserve"> </w:t>
      </w:r>
      <w:hyperlink r:id="rId106">
        <w:r>
          <w:rPr>
            <w:rStyle w:val="Hyperlink"/>
          </w:rPr>
          <w:t xml:space="preserve">https://doi.org/10.1017/S0959774302000094</w:t>
        </w:r>
      </w:hyperlink>
      <w:r>
        <w:t xml:space="preserve">.</w:t>
      </w:r>
    </w:p>
    <w:bookmarkEnd w:id="107"/>
    <w:bookmarkStart w:id="109" w:name="ref-Stodden_2013"/>
    <w:p>
      <w:pPr>
        <w:pStyle w:val="BodyText"/>
      </w:pPr>
      <w:r>
        <w:t xml:space="preserve">Stodden, Victoria, Peixuan Guo, and Zhaokun Ma. 2013. “Toward Reproducible Computational Research: An Empirical Analysis of Data and Code Policy Adoption by Journals.”</w:t>
      </w:r>
      <w:r>
        <w:t xml:space="preserve"> </w:t>
      </w:r>
      <w:r>
        <w:rPr>
          <w:i/>
        </w:rPr>
        <w:t xml:space="preserve">PLOS ONE</w:t>
      </w:r>
      <w:r>
        <w:t xml:space="preserve"> </w:t>
      </w:r>
      <w:r>
        <w:t xml:space="preserve">8 (6):e67111.</w:t>
      </w:r>
      <w:r>
        <w:t xml:space="preserve"> </w:t>
      </w:r>
      <w:hyperlink r:id="rId108">
        <w:r>
          <w:rPr>
            <w:rStyle w:val="Hyperlink"/>
          </w:rPr>
          <w:t xml:space="preserve">https://doi.org/10.1371/journal.pone.0067111</w:t>
        </w:r>
      </w:hyperlink>
      <w:r>
        <w:t xml:space="preserve">.</w:t>
      </w:r>
    </w:p>
    <w:bookmarkEnd w:id="109"/>
    <w:bookmarkStart w:id="111" w:name="ref-Strupler_2017"/>
    <w:p>
      <w:pPr>
        <w:pStyle w:val="BodyText"/>
      </w:pPr>
      <w:r>
        <w:t xml:space="preserve">Strupler, Néhémie, and Toby C. Wilkinson. 2017. “Reproducibility in the Field: Transparency, Version Control and Collaboration on the Project Panormos Survey.”</w:t>
      </w:r>
      <w:r>
        <w:t xml:space="preserve"> </w:t>
      </w:r>
      <w:r>
        <w:rPr>
          <w:i/>
        </w:rPr>
        <w:t xml:space="preserve">Open Archaeology</w:t>
      </w:r>
      <w:r>
        <w:t xml:space="preserve"> </w:t>
      </w:r>
      <w:r>
        <w:t xml:space="preserve">3 (1):279–304.</w:t>
      </w:r>
      <w:r>
        <w:t xml:space="preserve"> </w:t>
      </w:r>
      <w:hyperlink r:id="rId110">
        <w:r>
          <w:rPr>
            <w:rStyle w:val="Hyperlink"/>
          </w:rPr>
          <w:t xml:space="preserve">https://doi.org/10.1515/opar-2017-0019</w:t>
        </w:r>
      </w:hyperlink>
      <w:r>
        <w:t xml:space="preserve">.</w:t>
      </w:r>
    </w:p>
    <w:bookmarkEnd w:id="111"/>
    <w:bookmarkStart w:id="113" w:name="ref-Thieme_2018"/>
    <w:p>
      <w:pPr>
        <w:pStyle w:val="BodyText"/>
      </w:pPr>
      <w:r>
        <w:t xml:space="preserve">Thieme, Nick. 2018. “R Generation.”</w:t>
      </w:r>
      <w:r>
        <w:t xml:space="preserve"> </w:t>
      </w:r>
      <w:r>
        <w:rPr>
          <w:i/>
        </w:rPr>
        <w:t xml:space="preserve">Significance</w:t>
      </w:r>
      <w:r>
        <w:t xml:space="preserve"> </w:t>
      </w:r>
      <w:r>
        <w:t xml:space="preserve">15 (4):14–19.</w:t>
      </w:r>
      <w:r>
        <w:t xml:space="preserve"> </w:t>
      </w:r>
      <w:hyperlink r:id="rId112">
        <w:r>
          <w:rPr>
            <w:rStyle w:val="Hyperlink"/>
          </w:rPr>
          <w:t xml:space="preserve">https://doi.org/10.1111/j.1740-9713.2018.01169.x</w:t>
        </w:r>
      </w:hyperlink>
      <w:r>
        <w:t xml:space="preserve">.</w:t>
      </w:r>
    </w:p>
    <w:bookmarkEnd w:id="113"/>
    <w:bookmarkStart w:id="115" w:name="ref-Touchon_McCoy_2016"/>
    <w:p>
      <w:pPr>
        <w:pStyle w:val="BodyText"/>
      </w:pPr>
      <w:r>
        <w:t xml:space="preserve">Touchon, Justin C., and Michael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14">
        <w:r>
          <w:rPr>
            <w:rStyle w:val="Hyperlink"/>
          </w:rPr>
          <w:t xml:space="preserve">https://doi.org/10.1002/ecs2.1394</w:t>
        </w:r>
      </w:hyperlink>
      <w:r>
        <w:t xml:space="preserve">.</w:t>
      </w:r>
    </w:p>
    <w:bookmarkEnd w:id="115"/>
    <w:bookmarkStart w:id="116" w:name="ref-toulmin1970does"/>
    <w:p>
      <w:pPr>
        <w:pStyle w:val="BodyText"/>
      </w:pPr>
      <w:r>
        <w:t xml:space="preserve">Toulmin, Stephen. 1970. “Does the Distinction Between Normal and Revolutionary Science Hold Water.” In</w:t>
      </w:r>
      <w:r>
        <w:t xml:space="preserve"> </w:t>
      </w:r>
      <w:r>
        <w:rPr>
          <w:i/>
        </w:rPr>
        <w:t xml:space="preserve">Criticism and the Growth of Knowledge: Volume 4: Proceedings of the International Colloquium in the Philosophy of Science, London, 1965</w:t>
      </w:r>
      <w:r>
        <w:t xml:space="preserve">, edited by Alan Musgrave and others, 4:39–48. Cambridge University Press.</w:t>
      </w:r>
    </w:p>
    <w:bookmarkEnd w:id="116"/>
    <w:bookmarkStart w:id="118" w:name="ref-Trigger_2006"/>
    <w:p>
      <w:pPr>
        <w:pStyle w:val="BodyText"/>
      </w:pPr>
      <w:r>
        <w:t xml:space="preserve">Trigger, Bruce G. 2006.</w:t>
      </w:r>
      <w:r>
        <w:t xml:space="preserve"> </w:t>
      </w:r>
      <w:r>
        <w:rPr>
          <w:i/>
        </w:rPr>
        <w:t xml:space="preserve">A History of Archaeological Thought</w:t>
      </w:r>
      <w:r>
        <w:t xml:space="preserve">. 2nd ed. Cambridge University Press.</w:t>
      </w:r>
      <w:r>
        <w:t xml:space="preserve"> </w:t>
      </w:r>
      <w:hyperlink r:id="rId117">
        <w:r>
          <w:rPr>
            <w:rStyle w:val="Hyperlink"/>
          </w:rPr>
          <w:t xml:space="preserve">http://gen.lib.rus.ec/book/index.php?md5=7F40DA33B758EF5685ED18C5A8F9476A</w:t>
        </w:r>
      </w:hyperlink>
      <w:r>
        <w:t xml:space="preserve">.</w:t>
      </w:r>
    </w:p>
    <w:bookmarkEnd w:id="118"/>
    <w:bookmarkStart w:id="119" w:name="ref-Montelius_1899"/>
    <w:p>
      <w:pPr>
        <w:pStyle w:val="BodyText"/>
      </w:pPr>
      <w:r>
        <w:t xml:space="preserve">“Typologien Eller Utvecklingsläran Tillämpad På Det Menskliga Arbetet.” 1899.</w:t>
      </w:r>
      <w:r>
        <w:t xml:space="preserve"> </w:t>
      </w:r>
      <w:r>
        <w:rPr>
          <w:i/>
        </w:rPr>
        <w:t xml:space="preserve">Svenska Fornminnesföreningens Tidskrift</w:t>
      </w:r>
      <w:r>
        <w:t xml:space="preserve">, no. 10:237–68.</w:t>
      </w:r>
    </w:p>
    <w:bookmarkEnd w:id="119"/>
    <w:bookmarkStart w:id="120" w:name="ref-Vandewalle2012"/>
    <w:p>
      <w:pPr>
        <w:pStyle w:val="BodyText"/>
      </w:pPr>
      <w:r>
        <w:t xml:space="preserve">Vandewalle, Patrick. 2012. “Code Sharing Is Associated with Research Impact in Image Processing.”</w:t>
      </w:r>
      <w:r>
        <w:t xml:space="preserve"> </w:t>
      </w:r>
      <w:r>
        <w:rPr>
          <w:i/>
        </w:rPr>
        <w:t xml:space="preserve">Computing in Science and Engineering</w:t>
      </w:r>
      <w:r>
        <w:t xml:space="preserve"> </w:t>
      </w:r>
      <w:r>
        <w:t xml:space="preserve">14 (4):42–47.</w:t>
      </w:r>
    </w:p>
    <w:bookmarkEnd w:id="120"/>
    <w:bookmarkStart w:id="121" w:name="ref-watkins1970against"/>
    <w:p>
      <w:pPr>
        <w:pStyle w:val="BodyText"/>
      </w:pPr>
      <w:r>
        <w:t xml:space="preserve">Watkins, John WN. 1970. “Against ‘Normal Science’.”</w:t>
      </w:r>
      <w:r>
        <w:t xml:space="preserve"> </w:t>
      </w:r>
      <w:r>
        <w:rPr>
          <w:i/>
        </w:rPr>
        <w:t xml:space="preserve">Criticism and the Growth of Knowledge</w:t>
      </w:r>
      <w:r>
        <w:t xml:space="preserve">. Cambridge University Press Cambridge, 25–37.</w:t>
      </w:r>
    </w:p>
    <w:bookmarkEnd w:id="121"/>
    <w:bookmarkStart w:id="123" w:name="ref-wilkins1996are"/>
    <w:p>
      <w:pPr>
        <w:pStyle w:val="BodyText"/>
      </w:pPr>
      <w:r>
        <w:t xml:space="preserve">Wilkins, Adam S. 1996. “Are There ‘Kuhnian’ Revolutions in Biology?”</w:t>
      </w:r>
      <w:r>
        <w:t xml:space="preserve"> </w:t>
      </w:r>
      <w:r>
        <w:rPr>
          <w:i/>
        </w:rPr>
        <w:t xml:space="preserve">BioEssays</w:t>
      </w:r>
      <w:r>
        <w:t xml:space="preserve"> </w:t>
      </w:r>
      <w:r>
        <w:t xml:space="preserve">18 (9). Wiley Online Library:695–96.</w:t>
      </w:r>
      <w:r>
        <w:t xml:space="preserve"> </w:t>
      </w:r>
      <w:hyperlink r:id="rId122">
        <w:r>
          <w:rPr>
            <w:rStyle w:val="Hyperlink"/>
          </w:rPr>
          <w:t xml:space="preserve">https://doi.org/10.1002/bies.950180902</w:t>
        </w:r>
      </w:hyperlink>
      <w:r>
        <w:t xml:space="preserve">.</w:t>
      </w:r>
    </w:p>
    <w:bookmarkEnd w:id="123"/>
    <w:bookmarkEnd w:id="124"/>
    <w:p>
      <w:pPr>
        <w:pStyle w:val="Heading5"/>
      </w:pPr>
      <w:bookmarkStart w:id="125" w:name="pagebreak-1"/>
      <w:r>
        <w:t xml:space="preserve">pagebreak</w:t>
      </w:r>
      <w:bookmarkEnd w:id="125"/>
    </w:p>
    <w:p>
      <w:pPr>
        <w:pStyle w:val="Heading3"/>
      </w:pPr>
      <w:bookmarkStart w:id="126" w:name="colophon"/>
      <w:r>
        <w:t xml:space="preserve">Colophon</w:t>
      </w:r>
      <w:bookmarkEnd w:id="126"/>
    </w:p>
    <w:p>
      <w:pPr>
        <w:pStyle w:val="FirstParagraph"/>
      </w:pPr>
      <w:r>
        <w:t xml:space="preserve">This report was generated on 2018-12-07 18:14:18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2018-12-07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no-percent E:/R/caa2018-Tubingen</w:t>
      </w:r>
      <w:r>
        <w:br w:type="textWrapping"/>
      </w:r>
      <w:r>
        <w:rPr>
          <w:rStyle w:val="VerbatimChar"/>
        </w:rPr>
        <w:t xml:space="preserve">#&gt; Remote:   no-percent @ origin (https://github.com/scschmidt/caa2018-Tubingen.git)</w:t>
      </w:r>
      <w:r>
        <w:br w:type="textWrapping"/>
      </w:r>
      <w:r>
        <w:rPr>
          <w:rStyle w:val="VerbatimChar"/>
        </w:rPr>
        <w:t xml:space="preserve">#&gt; Head:     [dab1322] 2018-12-07: haha! I now know str_wrap and the labels don't overlap anymore.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103" Target="//www.springer.com/us/book/9783319000763" TargetMode="External" /><Relationship Type="http://schemas.openxmlformats.org/officeDocument/2006/relationships/hyperlink" Id="rId117"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22" Target="https://doi.org/10.1002/bies.950180902" TargetMode="External" /><Relationship Type="http://schemas.openxmlformats.org/officeDocument/2006/relationships/hyperlink" Id="rId114" Target="https://doi.org/10.1002/ecs2.1394" TargetMode="External" /><Relationship Type="http://schemas.openxmlformats.org/officeDocument/2006/relationships/hyperlink" Id="rId55" Target="https://doi.org/10.1007/BF01326535" TargetMode="External" /><Relationship Type="http://schemas.openxmlformats.org/officeDocument/2006/relationships/hyperlink" Id="rId69" Target="https://doi.org/10.1007/s13347-012-0092-5" TargetMode="External" /><Relationship Type="http://schemas.openxmlformats.org/officeDocument/2006/relationships/hyperlink" Id="rId106" Target="https://doi.org/10.1017/S0959774302000094" TargetMode="External" /><Relationship Type="http://schemas.openxmlformats.org/officeDocument/2006/relationships/hyperlink" Id="rId57"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5"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7" Target="https://doi.org/10.1080/1357627021000025487" TargetMode="External" /><Relationship Type="http://schemas.openxmlformats.org/officeDocument/2006/relationships/hyperlink" Id="rId97"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2" Target="https://doi.org/10.1111/j.1740-9713.2018.01169.x" TargetMode="External" /><Relationship Type="http://schemas.openxmlformats.org/officeDocument/2006/relationships/hyperlink" Id="rId63"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1" Target="https://doi.org/10.1371/journal.pcbi.1000482" TargetMode="External" /><Relationship Type="http://schemas.openxmlformats.org/officeDocument/2006/relationships/hyperlink" Id="rId101" Target="https://doi.org/10.1371/journal.pcbi.1003285" TargetMode="External" /><Relationship Type="http://schemas.openxmlformats.org/officeDocument/2006/relationships/hyperlink" Id="rId108" Target="https://doi.org/10.1371/journal.pone.0067111" TargetMode="External" /><Relationship Type="http://schemas.openxmlformats.org/officeDocument/2006/relationships/hyperlink" Id="rId71" Target="https://doi.org/10.1515/9783110440171-003" TargetMode="External" /><Relationship Type="http://schemas.openxmlformats.org/officeDocument/2006/relationships/hyperlink" Id="rId110"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3"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77" Target="https://ir.lib.uwo.ca/etd/3137" TargetMode="External" /><Relationship Type="http://schemas.openxmlformats.org/officeDocument/2006/relationships/hyperlink" Id="rId95" Target="https://www.academia.edu/1571396/Archaeological_Computing_Towards_Prosthesis_or_Amputation" TargetMode="External" /></Relationships>
</file>

<file path=word/_rels/footnotes.xml.rels><?xml version="1.0" encoding="UTF-8"?>
<Relationships xmlns="http://schemas.openxmlformats.org/package/2006/relationships"><Relationship Type="http://schemas.openxmlformats.org/officeDocument/2006/relationships/hyperlink" Id="rId103" Target="//www.springer.com/us/book/9783319000763" TargetMode="External" /><Relationship Type="http://schemas.openxmlformats.org/officeDocument/2006/relationships/hyperlink" Id="rId117"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22" Target="https://doi.org/10.1002/bies.950180902" TargetMode="External" /><Relationship Type="http://schemas.openxmlformats.org/officeDocument/2006/relationships/hyperlink" Id="rId114" Target="https://doi.org/10.1002/ecs2.1394" TargetMode="External" /><Relationship Type="http://schemas.openxmlformats.org/officeDocument/2006/relationships/hyperlink" Id="rId55" Target="https://doi.org/10.1007/BF01326535" TargetMode="External" /><Relationship Type="http://schemas.openxmlformats.org/officeDocument/2006/relationships/hyperlink" Id="rId69" Target="https://doi.org/10.1007/s13347-012-0092-5" TargetMode="External" /><Relationship Type="http://schemas.openxmlformats.org/officeDocument/2006/relationships/hyperlink" Id="rId106" Target="https://doi.org/10.1017/S0959774302000094" TargetMode="External" /><Relationship Type="http://schemas.openxmlformats.org/officeDocument/2006/relationships/hyperlink" Id="rId57"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5"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7" Target="https://doi.org/10.1080/1357627021000025487" TargetMode="External" /><Relationship Type="http://schemas.openxmlformats.org/officeDocument/2006/relationships/hyperlink" Id="rId97"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2" Target="https://doi.org/10.1111/j.1740-9713.2018.01169.x" TargetMode="External" /><Relationship Type="http://schemas.openxmlformats.org/officeDocument/2006/relationships/hyperlink" Id="rId63"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1" Target="https://doi.org/10.1371/journal.pcbi.1000482" TargetMode="External" /><Relationship Type="http://schemas.openxmlformats.org/officeDocument/2006/relationships/hyperlink" Id="rId101" Target="https://doi.org/10.1371/journal.pcbi.1003285" TargetMode="External" /><Relationship Type="http://schemas.openxmlformats.org/officeDocument/2006/relationships/hyperlink" Id="rId108" Target="https://doi.org/10.1371/journal.pone.0067111" TargetMode="External" /><Relationship Type="http://schemas.openxmlformats.org/officeDocument/2006/relationships/hyperlink" Id="rId71" Target="https://doi.org/10.1515/9783110440171-003" TargetMode="External" /><Relationship Type="http://schemas.openxmlformats.org/officeDocument/2006/relationships/hyperlink" Id="rId110"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3"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77" Target="https://ir.lib.uwo.ca/etd/3137" TargetMode="External" /><Relationship Type="http://schemas.openxmlformats.org/officeDocument/2006/relationships/hyperlink" Id="rId95" Target="https://www.academia.edu/1571396/Archaeological_Computing_Towards_Prosthesis_or_Ampu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2018-12-07T17:14:19Z</dcterms:created>
  <dcterms:modified xsi:type="dcterms:W3CDTF">2018-12-07T17:14:19Z</dcterms:modified>
</cp:coreProperties>
</file>