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28.png" ContentType="image/png"/>
  <Override PartName="/word/media/rId29.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21</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max dimension is 76.3314286 and with an average weight of 212.6 g. This dimension is slightly larger than flakes.The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SourceCode"/>
      </w:pPr>
      <w:r>
        <w:rPr>
          <w:rStyle w:val="VerbatimChar"/>
        </w:rPr>
        <w:t xml:space="preserve">## [1] 783</w:t>
      </w:r>
    </w:p>
    <w:p>
      <w:pPr>
        <w:pStyle w:val="SourceCode"/>
      </w:pPr>
      <w:r>
        <w:rPr>
          <w:rStyle w:val="VerbatimChar"/>
        </w:rPr>
        <w:t xml:space="preserve">## [1] 0.5828677</w:t>
      </w:r>
    </w:p>
    <w:p>
      <w:pPr>
        <w:pStyle w:val="SourceCode"/>
      </w:pPr>
      <w:r>
        <w:rPr>
          <w:rStyle w:val="VerbatimChar"/>
        </w:rPr>
        <w:t xml:space="preserve">## [1] 0.1155597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ii-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Heading2"/>
      </w:pPr>
      <w:bookmarkStart w:id="30" w:name="retouched-pieces"/>
      <w:bookmarkEnd w:id="30"/>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cortext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edge_a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the edge angle by measuring the width at the 3 mm depth of the edge, following Eren and Lycett (2016). The average angle of each edge is 66 degrees. Notably, there is a high proportion of the assemblage with relatively high edge angles,</w:t>
      </w:r>
      <w:r>
        <w:t xml:space="preserve"> </w:t>
      </w:r>
      <w:r>
        <w:rPr>
          <w:rStyle w:val="VerbatimChar"/>
        </w:rPr>
        <w:t xml:space="preserve">percentage_with_edge_angle_greater_than_N</w:t>
      </w:r>
      <w:r>
        <w:t xml:space="preserve">% of artefacts have average edge anlges greater than 65, which is not common in other sites (citation needed!). This feature can be explained as a result of the available raw material nodules which had a slab or tablet-like shape, leading to steep edge angles in the flakes peices that are close to the edge angles on the unworked nodules. Edge angles are similar in mean and variation across the different types of retouched artefacts (F(3, 483) = 0.71, p = 0.55)</w:t>
      </w:r>
    </w:p>
    <w:p>
      <w:pPr>
        <w:pStyle w:val="BodyText"/>
      </w:pPr>
      <w:r>
        <w:t xml:space="preserve">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w:t>
      </w:r>
    </w:p>
    <w:p>
      <w:pPr>
        <w:pStyle w:val="Heading3"/>
      </w:pPr>
      <w:bookmarkStart w:id="32" w:name="indices"/>
      <w:bookmarkEnd w:id="32"/>
      <w:r>
        <w:t xml:space="preserve">Indices</w:t>
      </w:r>
    </w:p>
    <w:p>
      <w:pPr>
        <w:pStyle w:val="FirstParagraph"/>
      </w:pPr>
      <w:r>
        <w:t xml:space="preserve">We introduced two concepts “Zone Index” and “Geometric Index of Unifacial Reduction(GIUR)” to estimate the invasion and intensity of retouching. In this assemblage, if a flake is retouched, the retouch tends to be extensive. This is suggested by the GIUR values. We found that 63% of retouched artefacts have a GIUR greater than 65. However, there is no obvious correlations between GIUR values and other variables such like length, width and thickness.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2"/>
      </w:pPr>
      <w:bookmarkStart w:id="33" w:name="levallois"/>
      <w:bookmarkEnd w:id="33"/>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4" w:name="discussion"/>
      <w:bookmarkEnd w:id="34"/>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5" w:name="conclusion"/>
      <w:bookmarkEnd w:id="35"/>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04429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a6448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2017-01-21T05:03:46Z</dcterms:created>
  <dcterms:modified xsi:type="dcterms:W3CDTF">2017-01-21T05:03:46Z</dcterms:modified>
</cp:coreProperties>
</file>