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27.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04</w:t>
      </w:r>
      <w:r>
        <w:t xml:space="preserve"> </w:t>
      </w:r>
      <w:r>
        <w:t xml:space="preserve">March,</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1"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r>
        <w:t xml:space="preserve"> </w:t>
      </w:r>
      <w:r>
        <w:t xml:space="preserve">-Further context from (McAdams et al, 2020)</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4" w:name="methods"/>
    <w:p>
      <w:pPr>
        <w:pStyle w:val="Heading2"/>
      </w:pPr>
      <w:r>
        <w:rPr>
          <w:rStyle w:val="SectionNumber"/>
        </w:rPr>
        <w:t xml:space="preserve">1.3</w:t>
      </w:r>
      <w:r>
        <w:tab/>
      </w:r>
      <w:r>
        <w:t xml:space="preserve">Methods</w:t>
      </w:r>
    </w:p>
    <w:p>
      <w:pPr>
        <w:pStyle w:val="CaptionedFigure"/>
      </w:pPr>
      <w:r>
        <w:drawing>
          <wp:inline>
            <wp:extent cx="5943600" cy="6300913"/>
            <wp:effectExtent b="0" l="0" r="0" t="0"/>
            <wp:docPr descr="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 title="" id="1" name="Picture"/>
            <a:graphic>
              <a:graphicData uri="http://schemas.openxmlformats.org/drawingml/2006/picture">
                <pic:pic>
                  <pic:nvPicPr>
                    <pic:cNvPr descr="./test_graphic.png" id="0" name="Picture"/>
                    <pic:cNvPicPr>
                      <a:picLocks noChangeArrowheads="1" noChangeAspect="1"/>
                    </pic:cNvPicPr>
                  </pic:nvPicPr>
                  <pic:blipFill>
                    <a:blip r:embed="rId23"/>
                    <a:stretch>
                      <a:fillRect/>
                    </a:stretch>
                  </pic:blipFill>
                  <pic:spPr bwMode="auto">
                    <a:xfrm>
                      <a:off x="0" y="0"/>
                      <a:ext cx="5943600" cy="6300913"/>
                    </a:xfrm>
                    <a:prstGeom prst="rect">
                      <a:avLst/>
                    </a:prstGeom>
                    <a:noFill/>
                    <a:ln w="9525">
                      <a:noFill/>
                      <a:headEnd/>
                      <a:tailEnd/>
                    </a:ln>
                  </pic:spPr>
                </pic:pic>
              </a:graphicData>
            </a:graphic>
          </wp:inline>
        </w:drawing>
      </w:r>
    </w:p>
    <w:p>
      <w:pPr>
        <w:pStyle w:val="ImageCaption"/>
      </w:pPr>
      <w:r>
        <w:t xml:space="preserve">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w:t>
      </w:r>
    </w:p>
    <w:p>
      <w:pPr>
        <w:pStyle w:val="BodyText"/>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w:t>
      </w:r>
    </w:p>
    <w:p>
      <w:pPr>
        <w:pStyle w:val="BodyText"/>
      </w:pPr>
      <w:r>
        <w:t xml:space="preserve">Mass clusters were generated using univariate k-means, with the end result being 6 mass clusters, with mass cluster 1 having the least mass on average and 6 having the greatest mass on average. Univariate k-means is a non-hierarchical clustering technique that creates a set number of groups equal to k, with points being assigned to groups in such a manner that the total distances between each point and mean of the group is minimized. We used the Ckmeans.1d.dp package in R to perform our univariate k-means analysis (Wang &amp; Song, 2011). The Ckmeans.1d.dp has been used for univariate clustering in applications outside of archaeology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In analysing the landmarks we followed a conventional shape analysis workflow of Generalized Procrustes Analysis (GPA) followed by Principal Components Analysis (PCA) (Riede &amp; Pedersen, 2018; Hoggard et al., 2019; Radinović &amp; Kajtez, 2021; Okumura &amp; Araujo 2014; Archer et al., 2021; Theska et al. 2020). We used GPA to normalize landmarks for size, orientation, and rotation, leaving only shape data. The normalized landmarks were then analysed by PCA, a form of exploratory data analysis. Principal Component Analysis takes the initial set of data and transforms and reduces them into a smaller set of variables, whist still preserving most of the variation. To explore the output we made PCA biplots of the first two Principal Components to visualize shape variation based upon secondary categorical variables, namely flake reduction categories, excavation units, and mass clusters.</w:t>
      </w:r>
    </w:p>
    <w:bookmarkEnd w:id="24"/>
    <w:bookmarkStart w:id="25" w:name="results"/>
    <w:p>
      <w:pPr>
        <w:pStyle w:val="Heading2"/>
      </w:pPr>
      <w:r>
        <w:rPr>
          <w:rStyle w:val="SectionNumber"/>
        </w:rPr>
        <w:t xml:space="preserve">1.4</w:t>
      </w:r>
      <w:r>
        <w:tab/>
      </w:r>
      <w:r>
        <w:t xml:space="preserve">Results</w:t>
      </w:r>
    </w:p>
    <w:bookmarkEnd w:id="25"/>
    <w:bookmarkStart w:id="30"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5943600" cy="4754880"/>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CaptionedFigure"/>
      </w:pPr>
      <w:r>
        <w:drawing>
          <wp:inline>
            <wp:extent cx="5943600" cy="4754880"/>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CaptionedFigure"/>
      </w:pPr>
      <w:r>
        <w:drawing>
          <wp:inline>
            <wp:extent cx="5943600" cy="4754880"/>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slightly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5943600" cy="4754880"/>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30"/>
    <w:bookmarkEnd w:id="31"/>
    <w:bookmarkStart w:id="32"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lightest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p>
    <w:p>
      <w:pPr>
        <w:pStyle w:val="BodyText"/>
      </w:pPr>
      <w:r>
        <w:t xml:space="preserve">Looking at</w:t>
      </w:r>
      <w:r>
        <w:t xml:space="preserve"> </w:t>
      </w:r>
      <w:r>
        <w:t xml:space="preserve">1.4</w:t>
      </w:r>
      <w:r>
        <w:t xml:space="preserve">, the landmarks which contributed the most to each principal component were all located on the left side of our artefacts. This means that linking our initial flake measurements (maximum length, top width etc.) to either of the first two principal components is nearly impossible, as every one of our initial flake measurements (with the)</w:t>
      </w:r>
    </w:p>
    <w:p>
      <w:pPr>
        <w:pStyle w:val="BodyText"/>
      </w:pPr>
      <w:r>
        <w:t xml:space="preserve">one can see that there is no consistent pattern in which certain initial flake measurements align closely with either the first or second principal components. Interestingly, the landmarks which contributed the most to each principal component were all located on the left side of our artefacts..</w:t>
      </w:r>
    </w:p>
    <w:p>
      <w:pPr>
        <w:pStyle w:val="BodyText"/>
      </w:pPr>
      <w:r>
        <w:t xml:space="preserve">The lack of distinct morphological groupings and the increased variability of shape in the smaller, tertiary flakes is consistent with previous studies. Other studies which investigated the morphology of flake outlines from South East Asia concluded that there is no significant relationship between flake outline and flake use (Borel et al., 2013; Borel et al., 2017). While our analysis not rely upon outlines, both outlines and landmarks are ultimately methods for measuring the morphology of flaked stone tools, and as such, the same models which explain outline variability can be cautiously applied to our analysis. The large amount of variability in flake shape, especially in the tertiary flakes, suggests that the knappers were not looking to create a specific shape of flake, with the amount of varitiblity increasing as flakes are struck off of increasingly differed cores. This behavior is consistent with processes of expedient knapping, where a large number of flakes are created in a relatively free-form manner and useful flakes are picked up and used after knapping is finished (Holdaway &amp; Douglass, 2012; McCall, 2012). Processes of expedient knapping suggest that stone tools were of secondary importance in the material culture of the knappers (Sillitoe &amp; Hardy, 2003). Elsewhere it has been suggested stone tools were primarily used to create bamboo tools in South East Asia (Mijares, 2001). A reliance upon bamboo tools, with stone flakes merely being an intermediary to produce bamboo tools, would explain the great variability in the lithic assemblages at Mau A.</w:t>
      </w:r>
    </w:p>
    <w:bookmarkEnd w:id="32"/>
    <w:bookmarkStart w:id="33" w:name="conclusion"/>
    <w:p>
      <w:pPr>
        <w:pStyle w:val="Heading1"/>
      </w:pPr>
      <w:r>
        <w:rPr>
          <w:rStyle w:val="SectionNumber"/>
        </w:rPr>
        <w:t xml:space="preserve">3</w:t>
      </w:r>
      <w:r>
        <w:tab/>
      </w:r>
      <w:r>
        <w:t xml:space="preserve">Conclusion</w:t>
      </w:r>
    </w:p>
    <w:bookmarkEnd w:id="33"/>
    <w:bookmarkStart w:id="54" w:name="acknowledgements"/>
    <w:p>
      <w:pPr>
        <w:pStyle w:val="Heading1"/>
      </w:pPr>
      <w:r>
        <w:rPr>
          <w:rStyle w:val="SectionNumber"/>
        </w:rPr>
        <w:t xml:space="preserve">4</w:t>
      </w:r>
      <w:r>
        <w:tab/>
      </w:r>
      <w:r>
        <w:t xml:space="preserve">Acknowledgements</w:t>
      </w:r>
    </w:p>
    <w:p>
      <w:r>
        <w:br w:type="page"/>
      </w:r>
    </w:p>
    <w:bookmarkStart w:id="53"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4">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5">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6">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7">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8">
        <w:r>
          <w:rPr>
            <w:rStyle w:val="Hyperlink"/>
          </w:rPr>
          <w:t xml:space="preserve">https://doi.org/10.1007/s41982-019-00024-6</w:t>
        </w:r>
      </w:hyperlink>
    </w:p>
    <w:p>
      <w:pPr>
        <w:pStyle w:val="BodyText"/>
      </w:pPr>
      <w:r>
        <w:t xml:space="preserve">Holdaway, S., &amp; Douglass, M. (2012). A Twenty-First Century Archaeology of Stone Artifacts. Journal of Archaeological Method and Theory, 19(1), 101–131.</w:t>
      </w:r>
      <w:r>
        <w:t xml:space="preserve"> </w:t>
      </w:r>
      <w:hyperlink r:id="rId39">
        <w:r>
          <w:rPr>
            <w:rStyle w:val="Hyperlink"/>
          </w:rPr>
          <w:t xml:space="preserve">https://doi.org/10.1007/s10816-011-9103-6</w:t>
        </w:r>
      </w:hyperlink>
    </w:p>
    <w:p>
      <w:pPr>
        <w:pStyle w:val="BodyText"/>
      </w:pPr>
      <w:r>
        <w:t xml:space="preserve">McAdams, C., Morley, M. W., Fu, X., Kandyba, A. V., Derevianko, A. P., Nguyen, D. T., Doi, N. G., &amp; Roberts, R. G. (2020). The Pleistocene geoarchaeology and geochronology of Con Moong Cave, North Vietnam: Site formation processes and hominin activity in the humid tropics. Geoarchaeology, 35(1), 72–97.</w:t>
      </w:r>
      <w:r>
        <w:t xml:space="preserve"> </w:t>
      </w:r>
      <w:hyperlink r:id="rId40">
        <w:r>
          <w:rPr>
            <w:rStyle w:val="Hyperlink"/>
          </w:rPr>
          <w:t xml:space="preserve">https://doi.org/10.1002/gea.21758</w:t>
        </w:r>
      </w:hyperlink>
    </w:p>
    <w:p>
      <w:pPr>
        <w:pStyle w:val="BodyText"/>
      </w:pPr>
      <w:r>
        <w:t xml:space="preserve">McCall, G. S. (2012). Ethnoarchaeology and the Organization of Lithic Technology. Journal of Archaeological Research, 20(2), 157–203.</w:t>
      </w:r>
      <w:r>
        <w:t xml:space="preserve"> </w:t>
      </w:r>
      <w:hyperlink r:id="rId41">
        <w:r>
          <w:rPr>
            <w:rStyle w:val="Hyperlink"/>
          </w:rPr>
          <w:t xml:space="preserve">https://doi.org/10.1007/s10814-011-9056-z</w:t>
        </w:r>
      </w:hyperlink>
    </w:p>
    <w:p>
      <w:pPr>
        <w:pStyle w:val="BodyText"/>
      </w:pPr>
      <w:r>
        <w:t xml:space="preserve">Mijares, A. S. B. (2001). An Expedient Lithic Technology in Northern Luzon (Philippines). Lithic Technology, 26(2), 138–152.</w:t>
      </w:r>
      <w:r>
        <w:t xml:space="preserve"> </w:t>
      </w:r>
      <w:hyperlink r:id="rId42">
        <w:r>
          <w:rPr>
            <w:rStyle w:val="Hyperlink"/>
          </w:rPr>
          <w:t xml:space="preserve">https://doi.org/10.1080/01977261.2001.11720983</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43">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44">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5">
        <w:r>
          <w:rPr>
            <w:rStyle w:val="Hyperlink"/>
          </w:rPr>
          <w:t xml:space="preserve">https://doi.org/10.1007/s10745-017-9964-8</w:t>
        </w:r>
      </w:hyperlink>
    </w:p>
    <w:p>
      <w:pPr>
        <w:pStyle w:val="BodyText"/>
      </w:pPr>
      <w:r>
        <w:t xml:space="preserve">Sillitoe, P., &amp; Hardy, K. (2003). Living Lithics: Ethnoarchaeology in Highland Papua New Guinea. Antiquity, 77(297), 555–566.</w:t>
      </w:r>
      <w:r>
        <w:t xml:space="preserve"> </w:t>
      </w:r>
      <w:hyperlink r:id="rId46">
        <w:r>
          <w:rPr>
            <w:rStyle w:val="Hyperlink"/>
          </w:rPr>
          <w:t xml:space="preserve">https://doi.org/10.1017/S0003598X00092619</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7">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8">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51" w:name="refs"/>
    <w:bookmarkStart w:id="5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9">
        <w:r>
          <w:rPr>
            <w:rStyle w:val="Hyperlink"/>
          </w:rPr>
          <w:t xml:space="preserve">https://doi.org/10.1007/s10816-015-9272-9</w:t>
        </w:r>
      </w:hyperlink>
    </w:p>
    <w:bookmarkEnd w:id="50"/>
    <w:bookmarkEnd w:id="51"/>
    <w:p>
      <w:r>
        <w:br w:type="page"/>
      </w:r>
    </w:p>
    <w:bookmarkStart w:id="52" w:name="colophon"/>
    <w:p>
      <w:pPr>
        <w:pStyle w:val="Heading3"/>
      </w:pPr>
      <w:r>
        <w:rPr>
          <w:rStyle w:val="SectionNumber"/>
        </w:rPr>
        <w:t xml:space="preserve">4.1.1</w:t>
      </w:r>
      <w:r>
        <w:tab/>
      </w:r>
      <w:r>
        <w:t xml:space="preserve">Colophon</w:t>
      </w:r>
    </w:p>
    <w:p>
      <w:pPr>
        <w:pStyle w:val="FirstParagraph"/>
      </w:pPr>
      <w:r>
        <w:t xml:space="preserve">This report was generated on 2022-03-04 11:43:57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2022-03-04</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[2] CRAN (R 4.1.0)</w:t>
      </w:r>
      <w:r>
        <w:br/>
      </w:r>
      <w:r>
        <w:rPr>
          <w:rStyle w:val="VerbatimChar"/>
        </w:rPr>
        <w:t xml:space="preserve">#&gt;  ape             5.6-1   2022-01-07 [2] CRAN (R 4.1.2)</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bezier          1.1.2   2018-12-14 [2] CRAN (R 4.1.0)</w:t>
      </w:r>
      <w:r>
        <w:br/>
      </w:r>
      <w:r>
        <w:rPr>
          <w:rStyle w:val="VerbatimChar"/>
        </w:rPr>
        <w:t xml:space="preserve">#&gt;  bit             4.0.4   2020-08-04 [2] CRAN (R 4.1.0)</w:t>
      </w:r>
      <w:r>
        <w:br/>
      </w:r>
      <w:r>
        <w:rPr>
          <w:rStyle w:val="VerbatimChar"/>
        </w:rPr>
        <w:t xml:space="preserve">#&gt;  bit64           4.0.5   2020-08-30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car             3.0-12  2021-11-06 [2] CRAN (R 4.1.0)</w:t>
      </w:r>
      <w:r>
        <w:br/>
      </w:r>
      <w:r>
        <w:rPr>
          <w:rStyle w:val="VerbatimChar"/>
        </w:rPr>
        <w:t xml:space="preserve">#&gt;  carData         3.0-5   2022-01-06 [2] CRAN (R 4.1.2)</w:t>
      </w:r>
      <w:r>
        <w:br/>
      </w:r>
      <w:r>
        <w:rPr>
          <w:rStyle w:val="VerbatimChar"/>
        </w:rPr>
        <w:t xml:space="preserve">#&gt;  cellranger      1.1.0   2016-07-27 [2] CRAN (R 4.1.0)</w:t>
      </w:r>
      <w:r>
        <w:br/>
      </w:r>
      <w:r>
        <w:rPr>
          <w:rStyle w:val="VerbatimChar"/>
        </w:rPr>
        <w:t xml:space="preserve">#&gt;  Ckmeans.1d.dp * 4.3.4   2022-01-31 [2] CRAN (R 4.1.2)</w:t>
      </w:r>
      <w:r>
        <w:br/>
      </w:r>
      <w:r>
        <w:rPr>
          <w:rStyle w:val="VerbatimChar"/>
        </w:rPr>
        <w:t xml:space="preserve">#&gt;  cli             3.2.0   2022-02-14 [1] CRAN (R 4.1.2)</w:t>
      </w:r>
      <w:r>
        <w:br/>
      </w:r>
      <w:r>
        <w:rPr>
          <w:rStyle w:val="VerbatimChar"/>
        </w:rPr>
        <w:t xml:space="preserve">#&gt;  cluster       * 2.1.2   2021-04-17 [2] CRAN (R 4.1.2)</w:t>
      </w:r>
      <w:r>
        <w:br/>
      </w:r>
      <w:r>
        <w:rPr>
          <w:rStyle w:val="VerbatimChar"/>
        </w:rPr>
        <w:t xml:space="preserve">#&gt;  codetools       0.2-18  2020-11-04 [2] CRAN (R 4.1.2)</w:t>
      </w:r>
      <w:r>
        <w:br/>
      </w:r>
      <w:r>
        <w:rPr>
          <w:rStyle w:val="VerbatimChar"/>
        </w:rPr>
        <w:t xml:space="preserve">#&gt;  colorRamps      2.3     2012-10-29 [2] CRAN (R 4.1.0)</w:t>
      </w:r>
      <w:r>
        <w:br/>
      </w:r>
      <w:r>
        <w:rPr>
          <w:rStyle w:val="VerbatimChar"/>
        </w:rPr>
        <w:t xml:space="preserve">#&gt;  colorspace      2.0-3   2022-02-21 [2] CRAN (R 4.1.2)</w:t>
      </w:r>
      <w:r>
        <w:br/>
      </w:r>
      <w:r>
        <w:rPr>
          <w:rStyle w:val="VerbatimChar"/>
        </w:rPr>
        <w:t xml:space="preserve">#&gt;  cowplot       * 1.1.1   2020-12-30 [2] CRAN (R 4.1.0)</w:t>
      </w:r>
      <w:r>
        <w:br/>
      </w:r>
      <w:r>
        <w:rPr>
          <w:rStyle w:val="VerbatimChar"/>
        </w:rPr>
        <w:t xml:space="preserve">#&gt;  crayon          1.5.0   2022-02-14 [1] CRAN (R 4.1.2)</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doParallel      1.0.17  2022-02-07 [2] CRAN (R 4.1.2)</w:t>
      </w:r>
      <w:r>
        <w:br/>
      </w:r>
      <w:r>
        <w:rPr>
          <w:rStyle w:val="VerbatimChar"/>
        </w:rPr>
        <w:t xml:space="preserve">#&gt;  dplyr         * 1.0.8   2022-02-08 [1]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extrafont       0.17    2014-12-08 [2] CRAN (R 4.1.0)</w:t>
      </w:r>
      <w:r>
        <w:br/>
      </w:r>
      <w:r>
        <w:rPr>
          <w:rStyle w:val="VerbatimChar"/>
        </w:rPr>
        <w:t xml:space="preserve">#&gt;  extrafontdb     1.0     2012-06-11 [2] CRAN (R 4.1.0)</w:t>
      </w:r>
      <w:r>
        <w:br/>
      </w:r>
      <w:r>
        <w:rPr>
          <w:rStyle w:val="VerbatimChar"/>
        </w:rPr>
        <w:t xml:space="preserve">#&gt;  factoextra    * 1.0.7   2020-04-01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foreach         1.5.2   2022-02-02 [2] CRAN (R 4.1.2)</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geomorph      * 4.0.1   2021-10-13 [2] CRAN (R 4.1.0)</w:t>
      </w:r>
      <w:r>
        <w:br/>
      </w:r>
      <w:r>
        <w:rPr>
          <w:rStyle w:val="VerbatimChar"/>
        </w:rPr>
        <w:t xml:space="preserve">#&gt;  ggplot2       * 3.3.5   2021-06-25 [2] CRAN (R 4.1.0)</w:t>
      </w:r>
      <w:r>
        <w:br/>
      </w:r>
      <w:r>
        <w:rPr>
          <w:rStyle w:val="VerbatimChar"/>
        </w:rPr>
        <w:t xml:space="preserve">#&gt;  ggpubr          0.4.0   2020-06-27 [2] CRAN (R 4.1.0)</w:t>
      </w:r>
      <w:r>
        <w:br/>
      </w:r>
      <w:r>
        <w:rPr>
          <w:rStyle w:val="VerbatimChar"/>
        </w:rPr>
        <w:t xml:space="preserve">#&gt;  ggrepel         0.9.1   2021-01-15 [2] CRAN (R 4.1.0)</w:t>
      </w:r>
      <w:r>
        <w:br/>
      </w:r>
      <w:r>
        <w:rPr>
          <w:rStyle w:val="VerbatimChar"/>
        </w:rPr>
        <w:t xml:space="preserve">#&gt;  ggsci           2.9     2018-05-14 [2] CRAN (R 4.1.0)</w:t>
      </w:r>
      <w:r>
        <w:br/>
      </w:r>
      <w:r>
        <w:rPr>
          <w:rStyle w:val="VerbatimChar"/>
        </w:rPr>
        <w:t xml:space="preserve">#&gt;  ggsignif        0.6.3   2021-09-09 [2] CRAN (R 4.1.0)</w:t>
      </w:r>
      <w:r>
        <w:br/>
      </w:r>
      <w:r>
        <w:rPr>
          <w:rStyle w:val="VerbatimChar"/>
        </w:rPr>
        <w:t xml:space="preserve">#&gt;  glue            1.6.1   2022-01-22 [2] CRAN (R 4.1.2)</w:t>
      </w:r>
      <w:r>
        <w:br/>
      </w:r>
      <w:r>
        <w:rPr>
          <w:rStyle w:val="VerbatimChar"/>
        </w:rPr>
        <w:t xml:space="preserve">#&gt;  gridExtra       2.3     2017-09-09 [2] CRAN (R 4.1.0)</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htmlwidgets     1.5.4   2021-09-08 [2] CRAN (R 4.1.0)</w:t>
      </w:r>
      <w:r>
        <w:br/>
      </w:r>
      <w:r>
        <w:rPr>
          <w:rStyle w:val="VerbatimChar"/>
        </w:rPr>
        <w:t xml:space="preserve">#&gt;  httr            1.4.2   2020-07-20 [2] CRAN (R 4.1.0)</w:t>
      </w:r>
      <w:r>
        <w:br/>
      </w:r>
      <w:r>
        <w:rPr>
          <w:rStyle w:val="VerbatimChar"/>
        </w:rPr>
        <w:t xml:space="preserve">#&gt;  iterators       1.0.14  2022-02-05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MASS            7.3-55  2022-01-13 [2] CRAN (R 4.1.2)</w:t>
      </w:r>
      <w:r>
        <w:br/>
      </w:r>
      <w:r>
        <w:rPr>
          <w:rStyle w:val="VerbatimChar"/>
        </w:rPr>
        <w:t xml:space="preserve">#&gt;  Matrix        * 1.4-0   2021-12-08 [2] CRAN (R 4.1.0)</w:t>
      </w:r>
      <w:r>
        <w:br/>
      </w:r>
      <w:r>
        <w:rPr>
          <w:rStyle w:val="VerbatimChar"/>
        </w:rPr>
        <w:t xml:space="preserve">#&gt;  mclust        * 5.4.9   2021-12-17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Morpho        * 2.9     2021-09-09 [2] CRAN (R 4.1.0)</w:t>
      </w:r>
      <w:r>
        <w:br/>
      </w:r>
      <w:r>
        <w:rPr>
          <w:rStyle w:val="VerbatimChar"/>
        </w:rPr>
        <w:t xml:space="preserve">#&gt;  munsell         0.5.0   2018-06-12 [2] CRAN (R 4.1.0)</w:t>
      </w:r>
      <w:r>
        <w:br/>
      </w:r>
      <w:r>
        <w:rPr>
          <w:rStyle w:val="VerbatimChar"/>
        </w:rPr>
        <w:t xml:space="preserve">#&gt;  nlme            3.1-155 2022-01-13 [2] CRAN (R 4.1.2)</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rbibutils       2.2.7   2021-12-07 [2] CRAN (R 4.1.0)</w:t>
      </w:r>
      <w:r>
        <w:br/>
      </w:r>
      <w:r>
        <w:rPr>
          <w:rStyle w:val="VerbatimChar"/>
        </w:rPr>
        <w:t xml:space="preserve">#&gt;  Rcpp            1.0.8   2022-01-13 [2] CRAN (R 4.1.2)</w:t>
      </w:r>
      <w:r>
        <w:br/>
      </w:r>
      <w:r>
        <w:rPr>
          <w:rStyle w:val="VerbatimChar"/>
        </w:rPr>
        <w:t xml:space="preserve">#&gt;  Rdpack          2.1.3   2021-12-08 [2] CRAN (R 4.1.0)</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rgl           * 0.108.3 2021-11-21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RRPP          * 1.1.2   2021-11-04 [2] CRAN (R 4.1.0)</w:t>
      </w:r>
      <w:r>
        <w:br/>
      </w:r>
      <w:r>
        <w:rPr>
          <w:rStyle w:val="VerbatimChar"/>
        </w:rPr>
        <w:t xml:space="preserve">#&gt;  rstatix         0.7.0   2021-02-13 [2] CRAN (R 4.1.0)</w:t>
      </w:r>
      <w:r>
        <w:br/>
      </w:r>
      <w:r>
        <w:rPr>
          <w:rStyle w:val="VerbatimChar"/>
        </w:rPr>
        <w:t xml:space="preserve">#&gt;  rstudioapi      0.13    2020-11-12 [2] CRAN (R 4.1.0)</w:t>
      </w:r>
      <w:r>
        <w:br/>
      </w:r>
      <w:r>
        <w:rPr>
          <w:rStyle w:val="VerbatimChar"/>
        </w:rPr>
        <w:t xml:space="preserve">#&gt;  Rttf2pt1        1.3.10  2022-02-07 [2] CRAN (R 4.1.2)</w:t>
      </w:r>
      <w:r>
        <w:br/>
      </w:r>
      <w:r>
        <w:rPr>
          <w:rStyle w:val="VerbatimChar"/>
        </w:rPr>
        <w:t xml:space="preserve">#&gt;  Rvcg            0.20.2  2021-09-08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viridis         0.6.2   2021-10-13 [2] CRAN (R 4.1.0)</w:t>
      </w:r>
      <w:r>
        <w:br/>
      </w:r>
      <w:r>
        <w:rPr>
          <w:rStyle w:val="VerbatimChar"/>
        </w:rPr>
        <w:t xml:space="preserve">#&gt;  viridisLite     0.4.0   2021-04-13 [2] CRAN (R 4.1.0)</w:t>
      </w:r>
      <w:r>
        <w:br/>
      </w:r>
      <w:r>
        <w:rPr>
          <w:rStyle w:val="VerbatimChar"/>
        </w:rPr>
        <w:t xml:space="preserve">#&gt;  vroom           1.5.7   2021-11-30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2.3.4   2022-02-17 [1] CRAN (R 4.1.2)</w:t>
      </w:r>
      <w:r>
        <w:br/>
      </w:r>
      <w:r>
        <w:rPr>
          <w:rStyle w:val="VerbatimChar"/>
        </w:rPr>
        <w:t xml:space="preserve">#&gt; </w:t>
      </w:r>
      <w:r>
        <w:br/>
      </w:r>
      <w:r>
        <w:rPr>
          <w:rStyle w:val="VerbatimChar"/>
        </w:rPr>
        <w:t xml:space="preserve">#&gt;  [1] /Users/bmarwick/Library/Caches/org.R-project.R/R/renv/library/maualithicspaper-79ebe2c8/R-4.1/x86_64-apple-darwin17.0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/Users/bmarwick/Desktop/maualithicspaper</w:t>
      </w:r>
      <w:r>
        <w:br/>
      </w:r>
      <w:r>
        <w:rPr>
          <w:rStyle w:val="VerbatimChar"/>
        </w:rPr>
        <w:t xml:space="preserve">#&gt; Remote:   master @ origin (https://github.com/benmarwick/maualithicspaper)</w:t>
      </w:r>
      <w:r>
        <w:br/>
      </w:r>
      <w:r>
        <w:rPr>
          <w:rStyle w:val="VerbatimChar"/>
        </w:rPr>
        <w:t xml:space="preserve">#&gt; Head:     [aaabcd3] 2022-03-04: Added more text to the discussion section</w:t>
      </w:r>
    </w:p>
    <w:bookmarkEnd w:id="52"/>
    <w:bookmarkEnd w:id="53"/>
    <w:bookmarkEnd w:id="5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hyperlink" Id="rId37" Target="http://www.jstor.org/stable/23273168" TargetMode="External" /><Relationship Type="http://schemas.openxmlformats.org/officeDocument/2006/relationships/hyperlink" Id="rId40" Target="https://doi.org/10.1002/gea.21758" TargetMode="External" /><Relationship Type="http://schemas.openxmlformats.org/officeDocument/2006/relationships/hyperlink" Id="rId45" Target="https://doi.org/10.1007/s10745-017-9964-8" TargetMode="External" /><Relationship Type="http://schemas.openxmlformats.org/officeDocument/2006/relationships/hyperlink" Id="rId41" Target="https://doi.org/10.1007/s10814-011-9056-z" TargetMode="External" /><Relationship Type="http://schemas.openxmlformats.org/officeDocument/2006/relationships/hyperlink" Id="rId39" Target="https://doi.org/10.1007/s10816-011-9103-6" TargetMode="External" /><Relationship Type="http://schemas.openxmlformats.org/officeDocument/2006/relationships/hyperlink" Id="rId49"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43" Target="https://doi.org/10.1016/j.jas.2014.02.009" TargetMode="External" /><Relationship Type="http://schemas.openxmlformats.org/officeDocument/2006/relationships/hyperlink" Id="rId44"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6" Target="https://doi.org/10.1017/S0003598X00092619" TargetMode="External" /><Relationship Type="http://schemas.openxmlformats.org/officeDocument/2006/relationships/hyperlink" Id="rId48" Target="https://doi.org/10.1038/s41596-020-0347-z" TargetMode="External" /><Relationship Type="http://schemas.openxmlformats.org/officeDocument/2006/relationships/hyperlink" Id="rId42" Target="https://doi.org/10.1080/01977261.2001.11720983" TargetMode="External" /><Relationship Type="http://schemas.openxmlformats.org/officeDocument/2006/relationships/hyperlink" Id="rId47"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7" Target="http://www.jstor.org/stable/23273168" TargetMode="External" /><Relationship Type="http://schemas.openxmlformats.org/officeDocument/2006/relationships/hyperlink" Id="rId40" Target="https://doi.org/10.1002/gea.21758" TargetMode="External" /><Relationship Type="http://schemas.openxmlformats.org/officeDocument/2006/relationships/hyperlink" Id="rId45" Target="https://doi.org/10.1007/s10745-017-9964-8" TargetMode="External" /><Relationship Type="http://schemas.openxmlformats.org/officeDocument/2006/relationships/hyperlink" Id="rId41" Target="https://doi.org/10.1007/s10814-011-9056-z" TargetMode="External" /><Relationship Type="http://schemas.openxmlformats.org/officeDocument/2006/relationships/hyperlink" Id="rId39" Target="https://doi.org/10.1007/s10816-011-9103-6" TargetMode="External" /><Relationship Type="http://schemas.openxmlformats.org/officeDocument/2006/relationships/hyperlink" Id="rId49"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43" Target="https://doi.org/10.1016/j.jas.2014.02.009" TargetMode="External" /><Relationship Type="http://schemas.openxmlformats.org/officeDocument/2006/relationships/hyperlink" Id="rId44"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6" Target="https://doi.org/10.1017/S0003598X00092619" TargetMode="External" /><Relationship Type="http://schemas.openxmlformats.org/officeDocument/2006/relationships/hyperlink" Id="rId48" Target="https://doi.org/10.1038/s41596-020-0347-z" TargetMode="External" /><Relationship Type="http://schemas.openxmlformats.org/officeDocument/2006/relationships/hyperlink" Id="rId42" Target="https://doi.org/10.1080/01977261.2001.11720983" TargetMode="External" /><Relationship Type="http://schemas.openxmlformats.org/officeDocument/2006/relationships/hyperlink" Id="rId47"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2022-03-04T19:44:02Z</dcterms:created>
  <dcterms:modified xsi:type="dcterms:W3CDTF">2022-03-04T19:44:02Z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04 March, 2022</vt:lpwstr>
  </property>
  <property fmtid="{D5CDD505-2E9C-101B-9397-08002B2CF9AE}" pid="6" name="highlights">
    <vt:lpwstr>These are the highlights.</vt:lpwstr>
  </property>
  <property fmtid="{D5CDD505-2E9C-101B-9397-08002B2CF9AE}" pid="7" name="output">
    <vt:lpwstr/>
  </property>
</Properties>
</file>