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90BCA" w14:textId="5279BA71" w:rsidR="00280926" w:rsidRPr="004E5334" w:rsidRDefault="00280926" w:rsidP="00743D50">
      <w:pPr>
        <w:rPr>
          <w:b/>
        </w:rPr>
      </w:pPr>
      <w:bookmarkStart w:id="0" w:name="_GoBack"/>
      <w:bookmarkEnd w:id="0"/>
      <w:r w:rsidRPr="004E5334">
        <w:rPr>
          <w:b/>
        </w:rPr>
        <w:t xml:space="preserve">Reply to </w:t>
      </w:r>
      <w:r w:rsidR="008A539F" w:rsidRPr="004E5334">
        <w:rPr>
          <w:b/>
        </w:rPr>
        <w:t>c</w:t>
      </w:r>
      <w:r w:rsidRPr="004E5334">
        <w:rPr>
          <w:b/>
        </w:rPr>
        <w:t>omments on Clarkson et al. (2017) “Human Occupation of Northern Australia by 65</w:t>
      </w:r>
      <w:r w:rsidR="008A539F" w:rsidRPr="004E5334">
        <w:rPr>
          <w:b/>
        </w:rPr>
        <w:t>,000 years ago</w:t>
      </w:r>
      <w:r w:rsidRPr="004E5334">
        <w:rPr>
          <w:b/>
        </w:rPr>
        <w:t>”</w:t>
      </w:r>
    </w:p>
    <w:p w14:paraId="782031A8" w14:textId="1523A163" w:rsidR="00280926" w:rsidRPr="004E5334" w:rsidRDefault="00280926" w:rsidP="00280926">
      <w:pPr>
        <w:jc w:val="center"/>
        <w:rPr>
          <w:vertAlign w:val="superscript"/>
        </w:rPr>
      </w:pPr>
      <w:r w:rsidRPr="004E5334">
        <w:t>Chris Clarkson</w:t>
      </w:r>
      <w:r w:rsidR="007B3B59" w:rsidRPr="004E5334">
        <w:rPr>
          <w:vertAlign w:val="superscript"/>
        </w:rPr>
        <w:t>1</w:t>
      </w:r>
      <w:r w:rsidRPr="004E5334">
        <w:t xml:space="preserve">, </w:t>
      </w:r>
      <w:r w:rsidR="008A539F" w:rsidRPr="004E5334">
        <w:t>Richard</w:t>
      </w:r>
      <w:r w:rsidR="006D015D" w:rsidRPr="004E5334">
        <w:t xml:space="preserve"> G.</w:t>
      </w:r>
      <w:r w:rsidR="008A539F" w:rsidRPr="004E5334">
        <w:t xml:space="preserve"> Roberts</w:t>
      </w:r>
      <w:r w:rsidR="007B3B59" w:rsidRPr="004E5334">
        <w:rPr>
          <w:vertAlign w:val="superscript"/>
        </w:rPr>
        <w:t>2,3</w:t>
      </w:r>
      <w:r w:rsidR="008A539F" w:rsidRPr="004E5334">
        <w:t xml:space="preserve">, </w:t>
      </w:r>
      <w:r w:rsidRPr="004E5334">
        <w:t>Zenobia Jacobs</w:t>
      </w:r>
      <w:r w:rsidR="007B3B59" w:rsidRPr="004E5334">
        <w:rPr>
          <w:vertAlign w:val="superscript"/>
        </w:rPr>
        <w:t>2,3</w:t>
      </w:r>
      <w:r w:rsidRPr="004E5334">
        <w:t>, Ben Marwick</w:t>
      </w:r>
      <w:r w:rsidR="003928A6" w:rsidRPr="004E5334">
        <w:rPr>
          <w:vertAlign w:val="superscript"/>
        </w:rPr>
        <w:t>3</w:t>
      </w:r>
      <w:r w:rsidR="00E7004E" w:rsidRPr="004E5334">
        <w:rPr>
          <w:vertAlign w:val="superscript"/>
        </w:rPr>
        <w:t>,</w:t>
      </w:r>
      <w:r w:rsidR="003928A6" w:rsidRPr="004E5334">
        <w:rPr>
          <w:vertAlign w:val="superscript"/>
        </w:rPr>
        <w:t>4</w:t>
      </w:r>
      <w:r w:rsidRPr="004E5334">
        <w:t>, Richard Fullagar</w:t>
      </w:r>
      <w:r w:rsidR="003928A6" w:rsidRPr="004E5334">
        <w:rPr>
          <w:vertAlign w:val="superscript"/>
        </w:rPr>
        <w:t>3</w:t>
      </w:r>
      <w:r w:rsidRPr="004E5334">
        <w:t xml:space="preserve">, Lee </w:t>
      </w:r>
      <w:r w:rsidR="006D015D" w:rsidRPr="004E5334">
        <w:t xml:space="preserve">J. </w:t>
      </w:r>
      <w:r w:rsidRPr="004E5334">
        <w:t>Arnold</w:t>
      </w:r>
      <w:r w:rsidR="003928A6" w:rsidRPr="004E5334">
        <w:rPr>
          <w:vertAlign w:val="superscript"/>
        </w:rPr>
        <w:t>5</w:t>
      </w:r>
      <w:r w:rsidRPr="004E5334">
        <w:t xml:space="preserve"> and Quan Hua</w:t>
      </w:r>
      <w:r w:rsidR="003928A6" w:rsidRPr="004E5334">
        <w:rPr>
          <w:vertAlign w:val="superscript"/>
        </w:rPr>
        <w:t>6</w:t>
      </w:r>
    </w:p>
    <w:p w14:paraId="029DCA08" w14:textId="77777777" w:rsidR="00E7004E" w:rsidRPr="004E5334" w:rsidRDefault="00E7004E" w:rsidP="00E7004E">
      <w:pPr>
        <w:jc w:val="both"/>
        <w:rPr>
          <w:rFonts w:cs="NewsGothicMTStd"/>
        </w:rPr>
      </w:pPr>
      <w:r w:rsidRPr="004E5334">
        <w:rPr>
          <w:rFonts w:cs="NewsGothicMTStd"/>
          <w:vertAlign w:val="superscript"/>
        </w:rPr>
        <w:t>1</w:t>
      </w:r>
      <w:r w:rsidRPr="004E5334">
        <w:rPr>
          <w:rFonts w:cs="NewsGothicMTStd"/>
        </w:rPr>
        <w:t>School of Social Science, University of Queensland, Brisbane, Queensland 4072, Australia.</w:t>
      </w:r>
    </w:p>
    <w:p w14:paraId="052CE5A6" w14:textId="77777777" w:rsidR="00E7004E" w:rsidRPr="004E5334" w:rsidRDefault="00E7004E" w:rsidP="00E7004E">
      <w:pPr>
        <w:jc w:val="both"/>
        <w:rPr>
          <w:rFonts w:cs="NewsGothicMTStd"/>
        </w:rPr>
      </w:pPr>
      <w:r w:rsidRPr="004E5334">
        <w:rPr>
          <w:rFonts w:cs="NewsGothicMTStd"/>
          <w:vertAlign w:val="superscript"/>
        </w:rPr>
        <w:t>2</w:t>
      </w:r>
      <w:r w:rsidRPr="004E5334">
        <w:rPr>
          <w:rFonts w:cs="NewsGothicMTStd"/>
        </w:rPr>
        <w:t xml:space="preserve">Australian Research Council (ARC) Centre of Excellence for Australian Biodiversity and Heritage, University of Wollongong, Wollongong, New South Wales 2522, Australia. </w:t>
      </w:r>
    </w:p>
    <w:p w14:paraId="5B847C05" w14:textId="77777777" w:rsidR="00E7004E" w:rsidRPr="004E5334" w:rsidRDefault="00E7004E" w:rsidP="00E7004E">
      <w:pPr>
        <w:jc w:val="both"/>
        <w:rPr>
          <w:rFonts w:cs="NewsGothicMTStd"/>
        </w:rPr>
      </w:pPr>
      <w:r w:rsidRPr="004E5334">
        <w:rPr>
          <w:rFonts w:cs="NewsGothicMTStd"/>
          <w:vertAlign w:val="superscript"/>
        </w:rPr>
        <w:t>3</w:t>
      </w:r>
      <w:r w:rsidRPr="004E5334">
        <w:rPr>
          <w:rFonts w:cs="NewsGothicMTStd"/>
        </w:rPr>
        <w:t xml:space="preserve">Centre for Archaeological Science, School of Earth and Environmental Sciences, University of Wollongong, Wollongong, New South Wales 2522, Australia. </w:t>
      </w:r>
    </w:p>
    <w:p w14:paraId="231642A9" w14:textId="77777777" w:rsidR="003928A6" w:rsidRPr="004E5334" w:rsidRDefault="00E7004E" w:rsidP="003928A6">
      <w:pPr>
        <w:jc w:val="both"/>
        <w:rPr>
          <w:rFonts w:cs="NewsGothicMTStd"/>
        </w:rPr>
      </w:pPr>
      <w:r w:rsidRPr="004E5334">
        <w:rPr>
          <w:rFonts w:cs="NewsGothicMTStd"/>
          <w:vertAlign w:val="superscript"/>
        </w:rPr>
        <w:t>4</w:t>
      </w:r>
      <w:r w:rsidRPr="004E5334">
        <w:rPr>
          <w:rFonts w:cs="NewsGothicMTStd"/>
        </w:rPr>
        <w:t>Department of Anthropology, University of Washington, Seattle, Washington 98195, USA.</w:t>
      </w:r>
    </w:p>
    <w:p w14:paraId="0667D035" w14:textId="5FED0644" w:rsidR="003928A6" w:rsidRPr="004E5334" w:rsidRDefault="003928A6" w:rsidP="003928A6">
      <w:pPr>
        <w:jc w:val="both"/>
        <w:rPr>
          <w:rFonts w:cs="NewsGothicMTStd"/>
        </w:rPr>
      </w:pPr>
      <w:r w:rsidRPr="004E5334">
        <w:rPr>
          <w:rFonts w:cs="NewsGothicMTStd"/>
          <w:vertAlign w:val="superscript"/>
        </w:rPr>
        <w:t>5</w:t>
      </w:r>
      <w:r w:rsidRPr="004E5334">
        <w:rPr>
          <w:rFonts w:cs="NewsGothicMTStd"/>
        </w:rPr>
        <w:t>School of Physical Sciences, the Environment Institute and the Institute for Photonics and Advanced Sensing, University of Adelaide, Adelaide, South Australia 5005, Australia.</w:t>
      </w:r>
    </w:p>
    <w:p w14:paraId="04A63B37" w14:textId="57DC6840" w:rsidR="003928A6" w:rsidRPr="004E5334" w:rsidRDefault="003928A6" w:rsidP="003928A6">
      <w:pPr>
        <w:autoSpaceDE w:val="0"/>
        <w:autoSpaceDN w:val="0"/>
        <w:adjustRightInd w:val="0"/>
        <w:spacing w:after="0" w:line="240" w:lineRule="auto"/>
        <w:rPr>
          <w:rFonts w:cs="NewsGothicMTStd"/>
        </w:rPr>
      </w:pPr>
      <w:r w:rsidRPr="004E5334">
        <w:rPr>
          <w:rFonts w:cs="NewsGothicMTStd"/>
          <w:vertAlign w:val="superscript"/>
        </w:rPr>
        <w:t>6</w:t>
      </w:r>
      <w:r w:rsidRPr="004E5334">
        <w:rPr>
          <w:rFonts w:cs="NewsGothicMTStd"/>
        </w:rPr>
        <w:t>Australian Nuclear Science and Technology Organisation, Lucas Heights, New South Wales 2234, Australia.</w:t>
      </w:r>
    </w:p>
    <w:p w14:paraId="742AB2A8" w14:textId="2514C028" w:rsidR="003928A6" w:rsidRPr="004E5334" w:rsidRDefault="003928A6" w:rsidP="003928A6">
      <w:pPr>
        <w:autoSpaceDE w:val="0"/>
        <w:autoSpaceDN w:val="0"/>
        <w:adjustRightInd w:val="0"/>
        <w:spacing w:after="0" w:line="240" w:lineRule="auto"/>
        <w:rPr>
          <w:rFonts w:cs="NewsGothicMTStd"/>
        </w:rPr>
      </w:pPr>
    </w:p>
    <w:p w14:paraId="281C9261" w14:textId="77777777" w:rsidR="003928A6" w:rsidRPr="004E5334" w:rsidRDefault="003928A6" w:rsidP="003928A6">
      <w:pPr>
        <w:autoSpaceDE w:val="0"/>
        <w:autoSpaceDN w:val="0"/>
        <w:adjustRightInd w:val="0"/>
        <w:spacing w:after="0" w:line="240" w:lineRule="auto"/>
      </w:pPr>
    </w:p>
    <w:p w14:paraId="5D103C27" w14:textId="32239818" w:rsidR="00407012" w:rsidRPr="004E5334" w:rsidRDefault="00434F51" w:rsidP="00743D50">
      <w:r w:rsidRPr="004E5334">
        <w:t>We thank the authors for their comments</w:t>
      </w:r>
      <w:r w:rsidR="00D779CA" w:rsidRPr="004E5334">
        <w:t xml:space="preserve"> in the </w:t>
      </w:r>
      <w:r w:rsidR="006303E4" w:rsidRPr="004E5334">
        <w:t xml:space="preserve">previous </w:t>
      </w:r>
      <w:r w:rsidR="00D779CA" w:rsidRPr="004E5334">
        <w:t>issue</w:t>
      </w:r>
      <w:r w:rsidR="006303E4" w:rsidRPr="004E5334">
        <w:t xml:space="preserve"> of </w:t>
      </w:r>
      <w:r w:rsidR="000E5D72" w:rsidRPr="004E5334">
        <w:rPr>
          <w:i/>
        </w:rPr>
        <w:t>Australian Archaeology</w:t>
      </w:r>
      <w:r w:rsidR="000C5BDE" w:rsidRPr="004E5334">
        <w:t>.</w:t>
      </w:r>
      <w:r w:rsidRPr="004E5334">
        <w:t xml:space="preserve"> </w:t>
      </w:r>
      <w:r w:rsidR="008460E0" w:rsidRPr="004E5334">
        <w:t>The 2012</w:t>
      </w:r>
      <w:r w:rsidR="00407012" w:rsidRPr="004E5334">
        <w:t>–</w:t>
      </w:r>
      <w:r w:rsidR="008460E0" w:rsidRPr="004E5334">
        <w:t xml:space="preserve">2015 research at </w:t>
      </w:r>
      <w:r w:rsidR="000C5BDE" w:rsidRPr="004E5334">
        <w:t>Madjedbebe offer</w:t>
      </w:r>
      <w:r w:rsidR="008460E0" w:rsidRPr="004E5334">
        <w:t xml:space="preserve">s </w:t>
      </w:r>
      <w:r w:rsidR="00DA60A4" w:rsidRPr="004E5334">
        <w:t>a new and</w:t>
      </w:r>
      <w:r w:rsidR="000C5BDE" w:rsidRPr="004E5334">
        <w:t xml:space="preserve"> comprehensive </w:t>
      </w:r>
      <w:r w:rsidR="00DA60A4" w:rsidRPr="004E5334">
        <w:t>look at the</w:t>
      </w:r>
      <w:r w:rsidR="000C5BDE" w:rsidRPr="004E5334">
        <w:t xml:space="preserve"> early occupation </w:t>
      </w:r>
      <w:r w:rsidR="00DA60A4" w:rsidRPr="004E5334">
        <w:t xml:space="preserve">of </w:t>
      </w:r>
      <w:r w:rsidR="008460E0" w:rsidRPr="004E5334">
        <w:t>Sahul</w:t>
      </w:r>
      <w:r w:rsidR="000C5BDE" w:rsidRPr="004E5334">
        <w:t xml:space="preserve"> and adds substantially to our knowledge of the timing of that event </w:t>
      </w:r>
      <w:r w:rsidR="00711B9D" w:rsidRPr="004E5334">
        <w:t>and</w:t>
      </w:r>
      <w:r w:rsidR="000C5BDE" w:rsidRPr="004E5334">
        <w:t xml:space="preserve"> the behaviour of the first</w:t>
      </w:r>
      <w:r w:rsidR="00DA60A4" w:rsidRPr="004E5334">
        <w:t xml:space="preserve"> people to enter </w:t>
      </w:r>
      <w:r w:rsidR="008460E0" w:rsidRPr="004E5334">
        <w:t>the region</w:t>
      </w:r>
      <w:r w:rsidR="000C5BDE" w:rsidRPr="004E5334">
        <w:t xml:space="preserve">. Establishing occupation of northern Australia by </w:t>
      </w:r>
      <w:commentRangeStart w:id="1"/>
      <w:r w:rsidR="00D779CA" w:rsidRPr="004E5334">
        <w:t>65</w:t>
      </w:r>
      <w:r w:rsidR="00407012" w:rsidRPr="004E5334">
        <w:t xml:space="preserve"> </w:t>
      </w:r>
      <w:r w:rsidR="00D779CA" w:rsidRPr="004E5334">
        <w:t>±</w:t>
      </w:r>
      <w:r w:rsidR="00407012" w:rsidRPr="004E5334">
        <w:t xml:space="preserve"> </w:t>
      </w:r>
      <w:r w:rsidR="001805FD" w:rsidRPr="004E5334">
        <w:t xml:space="preserve">6 </w:t>
      </w:r>
      <w:commentRangeEnd w:id="1"/>
      <w:r w:rsidR="005443CE" w:rsidRPr="004E5334">
        <w:rPr>
          <w:rStyle w:val="CommentReference"/>
          <w:lang w:val="en-GB"/>
        </w:rPr>
        <w:commentReference w:id="1"/>
      </w:r>
      <w:r w:rsidR="00407012" w:rsidRPr="004E5334">
        <w:t>thousand years ago (ka</w:t>
      </w:r>
      <w:r w:rsidR="001805FD" w:rsidRPr="004E5334">
        <w:rPr>
          <w:rFonts w:cstheme="minorHAnsi"/>
        </w:rPr>
        <w:t>, with the uncertainty expressed at 95.4% probability</w:t>
      </w:r>
      <w:r w:rsidR="00407012" w:rsidRPr="004E5334">
        <w:t xml:space="preserve">) </w:t>
      </w:r>
      <w:r w:rsidR="000C5BDE" w:rsidRPr="004E5334">
        <w:t xml:space="preserve">pushes </w:t>
      </w:r>
      <w:r w:rsidR="00DA60A4" w:rsidRPr="004E5334">
        <w:t xml:space="preserve">human presence </w:t>
      </w:r>
      <w:r w:rsidR="00711B9D" w:rsidRPr="004E5334">
        <w:t xml:space="preserve">in the Top End </w:t>
      </w:r>
      <w:r w:rsidR="000C5BDE" w:rsidRPr="004E5334">
        <w:t>back</w:t>
      </w:r>
      <w:r w:rsidR="00DA60A4" w:rsidRPr="004E5334">
        <w:t xml:space="preserve"> beyond</w:t>
      </w:r>
      <w:r w:rsidR="000C5BDE" w:rsidRPr="004E5334">
        <w:t xml:space="preserve"> the earliest ages</w:t>
      </w:r>
      <w:r w:rsidR="00DA60A4" w:rsidRPr="004E5334">
        <w:t xml:space="preserve"> </w:t>
      </w:r>
      <w:r w:rsidR="00711B9D" w:rsidRPr="004E5334">
        <w:t xml:space="preserve">so far reported </w:t>
      </w:r>
      <w:r w:rsidR="00407012" w:rsidRPr="004E5334">
        <w:t>for other Australian</w:t>
      </w:r>
      <w:r w:rsidR="000C5BDE" w:rsidRPr="004E5334">
        <w:t xml:space="preserve"> </w:t>
      </w:r>
      <w:r w:rsidR="00407012" w:rsidRPr="004E5334">
        <w:t xml:space="preserve">sites </w:t>
      </w:r>
      <w:r w:rsidR="000C5BDE" w:rsidRPr="004E5334">
        <w:t>by</w:t>
      </w:r>
      <w:r w:rsidR="00DA60A4" w:rsidRPr="004E5334">
        <w:t xml:space="preserve"> c.</w:t>
      </w:r>
      <w:r w:rsidR="00407012" w:rsidRPr="004E5334">
        <w:t xml:space="preserve"> 5,000–</w:t>
      </w:r>
      <w:r w:rsidR="006F6779" w:rsidRPr="004E5334">
        <w:t>15</w:t>
      </w:r>
      <w:r w:rsidR="00DA60A4" w:rsidRPr="004E5334">
        <w:t>,000 years (</w:t>
      </w:r>
      <w:r w:rsidR="00615E7B" w:rsidRPr="004E5334">
        <w:t xml:space="preserve">Hamm et al. 2016; </w:t>
      </w:r>
      <w:r w:rsidR="00407012" w:rsidRPr="004E5334">
        <w:t>Roberts et al. 1994; Veth et al. 2017</w:t>
      </w:r>
      <w:r w:rsidR="00DA60A4" w:rsidRPr="004E5334">
        <w:t>)</w:t>
      </w:r>
      <w:r w:rsidR="00711B9D" w:rsidRPr="004E5334">
        <w:t>, thus raising</w:t>
      </w:r>
      <w:r w:rsidR="00DA60A4" w:rsidRPr="004E5334">
        <w:t xml:space="preserve"> interesting questions as to the </w:t>
      </w:r>
      <w:r w:rsidR="00711B9D" w:rsidRPr="004E5334">
        <w:t xml:space="preserve">latitudinal extent </w:t>
      </w:r>
      <w:r w:rsidR="00DA60A4" w:rsidRPr="004E5334">
        <w:t xml:space="preserve">of </w:t>
      </w:r>
      <w:r w:rsidR="00407012" w:rsidRPr="004E5334">
        <w:t xml:space="preserve">continental </w:t>
      </w:r>
      <w:r w:rsidR="00DA60A4" w:rsidRPr="004E5334">
        <w:t>occupation</w:t>
      </w:r>
      <w:r w:rsidR="00711B9D" w:rsidRPr="004E5334">
        <w:t xml:space="preserve"> prior to 50</w:t>
      </w:r>
      <w:r w:rsidR="00D779CA" w:rsidRPr="004E5334">
        <w:t xml:space="preserve"> </w:t>
      </w:r>
      <w:r w:rsidR="00711B9D" w:rsidRPr="004E5334">
        <w:t>ka</w:t>
      </w:r>
      <w:r w:rsidR="00DA60A4" w:rsidRPr="004E5334">
        <w:t>.</w:t>
      </w:r>
    </w:p>
    <w:p w14:paraId="6D3FB2F6" w14:textId="04712275" w:rsidR="007F6B22" w:rsidRPr="004E5334" w:rsidRDefault="007F6B22" w:rsidP="007F6B22">
      <w:r w:rsidRPr="004E5334">
        <w:t>At Madjedbebe, a dense and diverse lithic assemblage, the oldest edge-ground tools in the world, the earliest seed grinding outside Africa, and a</w:t>
      </w:r>
      <w:r w:rsidR="00B131E0" w:rsidRPr="004E5334">
        <w:t>n</w:t>
      </w:r>
      <w:r w:rsidRPr="004E5334">
        <w:t xml:space="preserve"> abundance of ground ochre in the lowest dense artefact band (termed Phase 2), all point to an innovative and expressive culture that had developed many iconic aspects of Aboriginal </w:t>
      </w:r>
      <w:r w:rsidR="00B131E0" w:rsidRPr="004E5334">
        <w:t>technology and economy</w:t>
      </w:r>
      <w:r w:rsidRPr="004E5334">
        <w:t xml:space="preserve"> by 65 ± 6 ka. The detailed documentation of dense pulses of artefacts (each containing different technologies and raw materials), intact site structures (such as hearths comprising diverse carbonised food remains), bands of refitting artefacts and no evidence of extensive bioturbation provides, in our view, the best evidence yet reported for multiple intact phases of occupation in Australia beginning c. 65 ka.</w:t>
      </w:r>
    </w:p>
    <w:p w14:paraId="21D3FB5D" w14:textId="03B6FF5E" w:rsidR="000D4602" w:rsidRPr="004E5334" w:rsidRDefault="007F6B22" w:rsidP="00280926">
      <w:r w:rsidRPr="004E5334">
        <w:t>W</w:t>
      </w:r>
      <w:r w:rsidR="00434F51" w:rsidRPr="004E5334">
        <w:t xml:space="preserve">e take this opportunity to respond to queries </w:t>
      </w:r>
      <w:r w:rsidR="00DA60A4" w:rsidRPr="004E5334">
        <w:t xml:space="preserve">raised in the </w:t>
      </w:r>
      <w:r w:rsidR="006303E4" w:rsidRPr="004E5334">
        <w:t xml:space="preserve">previous </w:t>
      </w:r>
      <w:r w:rsidR="00DA60A4" w:rsidRPr="004E5334">
        <w:t xml:space="preserve">issue of AA </w:t>
      </w:r>
      <w:r w:rsidR="00434F51" w:rsidRPr="004E5334">
        <w:t xml:space="preserve">and </w:t>
      </w:r>
      <w:r w:rsidR="006303E4" w:rsidRPr="004E5334">
        <w:t xml:space="preserve">attempt to clarify some </w:t>
      </w:r>
      <w:r w:rsidR="000D4602" w:rsidRPr="004E5334">
        <w:t xml:space="preserve">key </w:t>
      </w:r>
      <w:r w:rsidR="00434F51" w:rsidRPr="004E5334">
        <w:t xml:space="preserve">points </w:t>
      </w:r>
      <w:r w:rsidR="00DA60A4" w:rsidRPr="004E5334">
        <w:t>to avoid</w:t>
      </w:r>
      <w:r w:rsidR="00434F51" w:rsidRPr="004E5334">
        <w:t xml:space="preserve"> misunderstandings. </w:t>
      </w:r>
      <w:r w:rsidR="006303E4" w:rsidRPr="004E5334">
        <w:t xml:space="preserve">We respond below to </w:t>
      </w:r>
      <w:r w:rsidR="00F26F37" w:rsidRPr="004E5334">
        <w:t>four</w:t>
      </w:r>
      <w:r w:rsidR="000D4602" w:rsidRPr="004E5334">
        <w:t xml:space="preserve"> issues</w:t>
      </w:r>
      <w:r w:rsidR="00B4182A" w:rsidRPr="004E5334">
        <w:t>:</w:t>
      </w:r>
      <w:r w:rsidR="000D4602" w:rsidRPr="004E5334">
        <w:t xml:space="preserve"> </w:t>
      </w:r>
      <w:r w:rsidR="00B4182A" w:rsidRPr="004E5334">
        <w:t>1</w:t>
      </w:r>
      <w:r w:rsidR="006303E4" w:rsidRPr="004E5334">
        <w:t>)</w:t>
      </w:r>
      <w:r w:rsidR="000D4602" w:rsidRPr="004E5334">
        <w:t xml:space="preserve"> radiocarbon</w:t>
      </w:r>
      <w:r w:rsidR="00AF4D3A" w:rsidRPr="004E5334">
        <w:t xml:space="preserve"> </w:t>
      </w:r>
      <w:r w:rsidR="00B4182A" w:rsidRPr="004E5334">
        <w:t>dating of</w:t>
      </w:r>
      <w:r w:rsidR="000D4602" w:rsidRPr="004E5334">
        <w:t xml:space="preserve"> the lowest hearth</w:t>
      </w:r>
      <w:r w:rsidR="00B4182A" w:rsidRPr="004E5334">
        <w:t>;</w:t>
      </w:r>
      <w:r w:rsidR="000D4602" w:rsidRPr="004E5334">
        <w:t xml:space="preserve"> </w:t>
      </w:r>
      <w:r w:rsidR="00B4182A" w:rsidRPr="004E5334">
        <w:t>2</w:t>
      </w:r>
      <w:r w:rsidR="006303E4" w:rsidRPr="004E5334">
        <w:t>)</w:t>
      </w:r>
      <w:r w:rsidR="000D4602" w:rsidRPr="004E5334">
        <w:t xml:space="preserve"> the </w:t>
      </w:r>
      <w:r w:rsidR="005D0198" w:rsidRPr="004E5334">
        <w:t xml:space="preserve">distribution of artefacts </w:t>
      </w:r>
      <w:r w:rsidR="000D4602" w:rsidRPr="004E5334">
        <w:t xml:space="preserve">in </w:t>
      </w:r>
      <w:r w:rsidR="00280926" w:rsidRPr="004E5334">
        <w:t>Phase</w:t>
      </w:r>
      <w:r w:rsidR="00DF06F3" w:rsidRPr="004E5334">
        <w:t>s 1 and</w:t>
      </w:r>
      <w:r w:rsidR="00280926" w:rsidRPr="004E5334">
        <w:t xml:space="preserve"> </w:t>
      </w:r>
      <w:r w:rsidR="000D4602" w:rsidRPr="004E5334">
        <w:t>2</w:t>
      </w:r>
      <w:r w:rsidR="00B4182A" w:rsidRPr="004E5334">
        <w:t xml:space="preserve">; </w:t>
      </w:r>
      <w:r w:rsidR="008A654B" w:rsidRPr="004E5334">
        <w:t>3</w:t>
      </w:r>
      <w:r w:rsidR="006303E4" w:rsidRPr="004E5334">
        <w:t>)</w:t>
      </w:r>
      <w:r w:rsidR="000D4602" w:rsidRPr="004E5334">
        <w:t xml:space="preserve"> </w:t>
      </w:r>
      <w:r w:rsidR="00D40543" w:rsidRPr="004E5334">
        <w:t xml:space="preserve">the OSL </w:t>
      </w:r>
      <w:r w:rsidR="000D4602" w:rsidRPr="004E5334">
        <w:t xml:space="preserve">chronology </w:t>
      </w:r>
      <w:r w:rsidR="00D40543" w:rsidRPr="004E5334">
        <w:t xml:space="preserve">for </w:t>
      </w:r>
      <w:r w:rsidR="000D4602" w:rsidRPr="004E5334">
        <w:t>Phase 2</w:t>
      </w:r>
      <w:r w:rsidR="00280926" w:rsidRPr="004E5334">
        <w:t xml:space="preserve">; and </w:t>
      </w:r>
      <w:r w:rsidR="00F26F37" w:rsidRPr="004E5334">
        <w:t xml:space="preserve">4) </w:t>
      </w:r>
      <w:r w:rsidR="005D0198" w:rsidRPr="004E5334">
        <w:t xml:space="preserve">the implications of our results for genetic analyses and </w:t>
      </w:r>
      <w:r w:rsidR="00CC3CAF" w:rsidRPr="004E5334">
        <w:t>archaeological signature</w:t>
      </w:r>
      <w:r w:rsidR="00627265" w:rsidRPr="004E5334">
        <w:t>s</w:t>
      </w:r>
      <w:r w:rsidR="00CC3CAF" w:rsidRPr="004E5334">
        <w:t xml:space="preserve"> of </w:t>
      </w:r>
      <w:r w:rsidR="00627265" w:rsidRPr="004E5334">
        <w:t xml:space="preserve">human dispersal </w:t>
      </w:r>
      <w:r w:rsidR="00CC3CAF" w:rsidRPr="004E5334">
        <w:t>Out of Africa and into Sahul.</w:t>
      </w:r>
      <w:r w:rsidR="00280926" w:rsidRPr="004E5334">
        <w:t xml:space="preserve"> We also correct a presentation error in Supplementary Table 15 </w:t>
      </w:r>
      <w:r w:rsidR="00BF4F87" w:rsidRPr="004E5334">
        <w:t>of Clarkson et al. (2017)</w:t>
      </w:r>
      <w:r w:rsidR="00280926" w:rsidRPr="004E5334">
        <w:t>.</w:t>
      </w:r>
    </w:p>
    <w:p w14:paraId="43E1BE79" w14:textId="68F133A9" w:rsidR="007246A7" w:rsidRPr="004E5334" w:rsidRDefault="00B70A85" w:rsidP="00795745">
      <w:r w:rsidRPr="004E5334">
        <w:t xml:space="preserve">1. </w:t>
      </w:r>
      <w:r w:rsidR="007F6B22" w:rsidRPr="004E5334">
        <w:t>Radiocarbon (</w:t>
      </w:r>
      <w:r w:rsidR="007F6B22" w:rsidRPr="004E5334">
        <w:rPr>
          <w:vertAlign w:val="superscript"/>
        </w:rPr>
        <w:t>14</w:t>
      </w:r>
      <w:r w:rsidR="007F6B22" w:rsidRPr="004E5334">
        <w:t xml:space="preserve">C) dating. </w:t>
      </w:r>
      <w:r w:rsidR="00795745" w:rsidRPr="004E5334">
        <w:t>Veth</w:t>
      </w:r>
      <w:r w:rsidR="00B319AF" w:rsidRPr="004E5334">
        <w:t xml:space="preserve"> </w:t>
      </w:r>
      <w:r w:rsidR="00AF4D3A" w:rsidRPr="004E5334">
        <w:t xml:space="preserve">(2017) </w:t>
      </w:r>
      <w:r w:rsidR="007246A7" w:rsidRPr="004E5334">
        <w:t xml:space="preserve">asks </w:t>
      </w:r>
      <w:r w:rsidR="00B319AF" w:rsidRPr="004E5334">
        <w:t xml:space="preserve">why charcoal from the lowest hearth (C1/43a) was not submitted for </w:t>
      </w:r>
      <w:r w:rsidR="00AF4D3A" w:rsidRPr="004E5334">
        <w:rPr>
          <w:vertAlign w:val="superscript"/>
        </w:rPr>
        <w:t>14</w:t>
      </w:r>
      <w:r w:rsidR="00AF4D3A" w:rsidRPr="004E5334">
        <w:t xml:space="preserve">C </w:t>
      </w:r>
      <w:r w:rsidR="00B319AF" w:rsidRPr="004E5334">
        <w:t xml:space="preserve">dating. </w:t>
      </w:r>
      <w:r w:rsidR="00AF4D3A" w:rsidRPr="004E5334">
        <w:t>In fact, a</w:t>
      </w:r>
      <w:r w:rsidR="00B319AF" w:rsidRPr="004E5334">
        <w:t xml:space="preserve"> sample of charcoal from C1/43a was submitted for </w:t>
      </w:r>
      <w:r w:rsidR="00AF4D3A" w:rsidRPr="004E5334">
        <w:rPr>
          <w:vertAlign w:val="superscript"/>
        </w:rPr>
        <w:t>14</w:t>
      </w:r>
      <w:r w:rsidR="00AF4D3A" w:rsidRPr="004E5334">
        <w:t xml:space="preserve">C </w:t>
      </w:r>
      <w:r w:rsidR="00B319AF" w:rsidRPr="004E5334">
        <w:t>dating at ANSTO</w:t>
      </w:r>
      <w:r w:rsidR="00AF4D3A" w:rsidRPr="004E5334">
        <w:t>, but i</w:t>
      </w:r>
      <w:r w:rsidR="007F6B22" w:rsidRPr="004E5334">
        <w:t xml:space="preserve">t did not survive </w:t>
      </w:r>
      <w:r w:rsidR="009C4A75" w:rsidRPr="004E5334">
        <w:t xml:space="preserve">chemical </w:t>
      </w:r>
      <w:r w:rsidR="007F6B22" w:rsidRPr="004E5334">
        <w:t>pre</w:t>
      </w:r>
      <w:r w:rsidR="003A6E70" w:rsidRPr="004E5334">
        <w:t>-</w:t>
      </w:r>
      <w:r w:rsidR="007F6B22" w:rsidRPr="004E5334">
        <w:t>treatment</w:t>
      </w:r>
      <w:r w:rsidR="007F6B22" w:rsidRPr="004E5334">
        <w:softHyphen/>
        <w:t xml:space="preserve"> - </w:t>
      </w:r>
      <w:r w:rsidR="00AF4D3A" w:rsidRPr="004E5334">
        <w:t xml:space="preserve">as was the case for most of the other samples </w:t>
      </w:r>
      <w:r w:rsidR="00B319AF" w:rsidRPr="004E5334">
        <w:t xml:space="preserve">collected </w:t>
      </w:r>
      <w:r w:rsidR="00AF4D3A" w:rsidRPr="004E5334">
        <w:t xml:space="preserve">from </w:t>
      </w:r>
      <w:r w:rsidR="00B319AF" w:rsidRPr="004E5334">
        <w:t xml:space="preserve">depths below 1.5 m, due to the </w:t>
      </w:r>
      <w:r w:rsidR="005443CE" w:rsidRPr="004E5334">
        <w:t xml:space="preserve">generally </w:t>
      </w:r>
      <w:r w:rsidR="00B319AF" w:rsidRPr="004E5334">
        <w:t>poor preservation of organic remains in tropical sandy sediments. This is well illustrated by the fact that</w:t>
      </w:r>
      <w:r w:rsidR="006A6499" w:rsidRPr="004E5334">
        <w:t xml:space="preserve"> </w:t>
      </w:r>
      <w:r w:rsidR="00115940" w:rsidRPr="004E5334">
        <w:t xml:space="preserve">16 of </w:t>
      </w:r>
      <w:r w:rsidR="007D17FD" w:rsidRPr="004E5334">
        <w:t>40</w:t>
      </w:r>
      <w:r w:rsidR="006A6499" w:rsidRPr="004E5334">
        <w:t xml:space="preserve"> </w:t>
      </w:r>
      <w:r w:rsidR="00C42334" w:rsidRPr="004E5334">
        <w:t xml:space="preserve">radiocarbon </w:t>
      </w:r>
      <w:r w:rsidR="00115940" w:rsidRPr="004E5334">
        <w:t>samples</w:t>
      </w:r>
      <w:r w:rsidR="00C42334" w:rsidRPr="004E5334">
        <w:t xml:space="preserve"> </w:t>
      </w:r>
      <w:r w:rsidR="00115940" w:rsidRPr="004E5334">
        <w:lastRenderedPageBreak/>
        <w:t xml:space="preserve">submitted </w:t>
      </w:r>
      <w:r w:rsidR="00B319AF" w:rsidRPr="004E5334">
        <w:t>did not survive</w:t>
      </w:r>
      <w:r w:rsidR="009C4A75" w:rsidRPr="004E5334">
        <w:t xml:space="preserve"> chemical</w:t>
      </w:r>
      <w:r w:rsidR="00B319AF" w:rsidRPr="004E5334">
        <w:t xml:space="preserve"> pre</w:t>
      </w:r>
      <w:r w:rsidR="003A6E70" w:rsidRPr="004E5334">
        <w:t>-</w:t>
      </w:r>
      <w:r w:rsidR="00B319AF" w:rsidRPr="004E5334">
        <w:t xml:space="preserve">treatment, with the </w:t>
      </w:r>
      <w:r w:rsidR="009C4A75" w:rsidRPr="004E5334">
        <w:t xml:space="preserve">number of samples dissolved increasing with depth </w:t>
      </w:r>
      <w:r w:rsidR="00B319AF" w:rsidRPr="004E5334">
        <w:t xml:space="preserve">(see Fig. 1 below). This poor preservation highlights the difficulties of developing reliable </w:t>
      </w:r>
      <w:r w:rsidR="00F307CF" w:rsidRPr="004E5334">
        <w:t>radiocarbon</w:t>
      </w:r>
      <w:r w:rsidR="00B319AF" w:rsidRPr="004E5334">
        <w:t xml:space="preserve"> chronologies older than about 20</w:t>
      </w:r>
      <w:r w:rsidR="007246A7" w:rsidRPr="004E5334">
        <w:t xml:space="preserve"> ka</w:t>
      </w:r>
      <w:r w:rsidR="00B319AF" w:rsidRPr="004E5334">
        <w:t xml:space="preserve"> in environmental settings such as Madjedbebe, where organic remains are intensively weathered.</w:t>
      </w:r>
    </w:p>
    <w:p w14:paraId="38B180B3" w14:textId="5C5A3556" w:rsidR="00F26F37" w:rsidRPr="004E5334" w:rsidRDefault="00F26F37" w:rsidP="00F26F37">
      <w:r w:rsidRPr="004E5334">
        <w:t>Detailed study of these ‘old’ charcoal pieces shows that their original morphological appearance (i.e., the physical structure) has been faithfully preserved</w:t>
      </w:r>
      <w:r w:rsidR="009C4A75" w:rsidRPr="004E5334">
        <w:t xml:space="preserve">. However, </w:t>
      </w:r>
      <w:r w:rsidRPr="004E5334">
        <w:t>the original chemical composition has been altered and the elemental carbon required for radiocarbon dating has not been retained. The chemical alteration of charcoal, in a setting similar to Madjedbebe, has been reported previously in a radiocarbon dating study at the nearby site of Nauwalabila I (Bird et al. 2002). Extreme environmental conditions (e.g., high ambient temperature) can accelerate charcoal alteration and degradation (Braadbaart et al. 2009). Biotic processes may also alter charcoal chemistry in the environment via microbial mediation of degradation (</w:t>
      </w:r>
      <w:r w:rsidR="00615E7B" w:rsidRPr="004E5334">
        <w:t xml:space="preserve">Ascough et al. 2011; </w:t>
      </w:r>
      <w:r w:rsidRPr="004E5334">
        <w:t>Bird et a</w:t>
      </w:r>
      <w:r w:rsidR="00615E7B" w:rsidRPr="004E5334">
        <w:t>l. 2002; Cheng and Lehmann 2009</w:t>
      </w:r>
      <w:r w:rsidRPr="004E5334">
        <w:t xml:space="preserve">). Similarly, charcoal that was produced at lower temperatures (&lt;400 </w:t>
      </w:r>
      <w:r w:rsidRPr="004E5334">
        <w:rPr>
          <w:rFonts w:cstheme="minorHAnsi"/>
        </w:rPr>
        <w:t>°</w:t>
      </w:r>
      <w:r w:rsidRPr="004E5334">
        <w:t xml:space="preserve">C) or that has undergone incomplete thermal conversion is more susceptible to both chemical attack and post-depositional alteration (Ascough et al. 2011). Thus a combination of factors </w:t>
      </w:r>
      <w:r w:rsidR="005443CE" w:rsidRPr="004E5334">
        <w:t xml:space="preserve">probably </w:t>
      </w:r>
      <w:r w:rsidRPr="004E5334">
        <w:t xml:space="preserve">contributed to poor </w:t>
      </w:r>
      <w:r w:rsidR="002F1309" w:rsidRPr="004E5334">
        <w:t>pre</w:t>
      </w:r>
      <w:r w:rsidR="003A6E70" w:rsidRPr="004E5334">
        <w:t>-</w:t>
      </w:r>
      <w:r w:rsidR="002F1309" w:rsidRPr="004E5334">
        <w:t xml:space="preserve">treatment </w:t>
      </w:r>
      <w:r w:rsidRPr="004E5334">
        <w:t xml:space="preserve">survival </w:t>
      </w:r>
      <w:r w:rsidR="001F2472" w:rsidRPr="004E5334">
        <w:t>of</w:t>
      </w:r>
      <w:r w:rsidRPr="004E5334">
        <w:t xml:space="preserve"> charcoal </w:t>
      </w:r>
      <w:r w:rsidR="001F2472" w:rsidRPr="004E5334">
        <w:t xml:space="preserve">found </w:t>
      </w:r>
      <w:r w:rsidRPr="004E5334">
        <w:t xml:space="preserve">below 1.5m depth. We reiterate, however, that although </w:t>
      </w:r>
      <w:r w:rsidR="00614585" w:rsidRPr="004E5334">
        <w:t>sample survival during chemical pre</w:t>
      </w:r>
      <w:r w:rsidR="003A6E70" w:rsidRPr="004E5334">
        <w:t>-</w:t>
      </w:r>
      <w:r w:rsidR="00614585" w:rsidRPr="004E5334">
        <w:t>treatment was</w:t>
      </w:r>
      <w:r w:rsidRPr="004E5334">
        <w:t xml:space="preserve"> a pervasive problem at MJB, we were able to obtain a consistent series of radiocarbon ages that are in close agreement with OSL ages (Clarkson et al. 2017: Extended Data Fig. 8g).</w:t>
      </w:r>
    </w:p>
    <w:p w14:paraId="0D1DFDA2" w14:textId="33F9E66E" w:rsidR="00EB1E0B" w:rsidRPr="004E5334" w:rsidRDefault="00EB1E0B" w:rsidP="00EB1E0B">
      <w:pPr>
        <w:autoSpaceDE w:val="0"/>
        <w:autoSpaceDN w:val="0"/>
        <w:adjustRightInd w:val="0"/>
        <w:spacing w:after="0" w:line="240" w:lineRule="auto"/>
        <w:rPr>
          <w:rFonts w:cs="Times New Roman"/>
          <w:sz w:val="24"/>
          <w:szCs w:val="24"/>
        </w:rPr>
      </w:pPr>
    </w:p>
    <w:p w14:paraId="4A678F4C" w14:textId="055D092E" w:rsidR="00DD1A05" w:rsidRPr="004E5334" w:rsidRDefault="001042E3" w:rsidP="003074A3">
      <w:pPr>
        <w:autoSpaceDE w:val="0"/>
        <w:autoSpaceDN w:val="0"/>
        <w:adjustRightInd w:val="0"/>
        <w:spacing w:after="0" w:line="240" w:lineRule="auto"/>
        <w:jc w:val="center"/>
        <w:rPr>
          <w:rFonts w:cs="Times New Roman"/>
          <w:sz w:val="24"/>
          <w:szCs w:val="24"/>
        </w:rPr>
      </w:pPr>
      <w:r w:rsidRPr="004E5334">
        <w:rPr>
          <w:rFonts w:cs="Times New Roman"/>
          <w:noProof/>
          <w:sz w:val="24"/>
          <w:szCs w:val="24"/>
          <w:lang w:eastAsia="en-AU"/>
        </w:rPr>
        <w:drawing>
          <wp:inline distT="0" distB="0" distL="0" distR="0" wp14:anchorId="7DA81E5A" wp14:editId="20EEFD77">
            <wp:extent cx="4419600" cy="4419600"/>
            <wp:effectExtent l="0" t="0" r="0" b="0"/>
            <wp:docPr id="5" name="Picture 5" descr="C:\Users\uqcclar1\AppData\Local\Microsoft\Windows\Temporary Internet Files\Content.Outlook\CSZ619FZ\percentage_of_charcoal_samples_that_failed_pretreatment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qcclar1\AppData\Local\Microsoft\Windows\Temporary Internet Files\Content.Outlook\CSZ619FZ\percentage_of_charcoal_samples_that_failed_pretreatment (0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3FA43718" w14:textId="3C644EC7" w:rsidR="00B319AF" w:rsidRPr="004E5334" w:rsidRDefault="00B319AF" w:rsidP="00EB1E0B">
      <w:pPr>
        <w:autoSpaceDE w:val="0"/>
        <w:autoSpaceDN w:val="0"/>
        <w:adjustRightInd w:val="0"/>
        <w:spacing w:after="0" w:line="240" w:lineRule="auto"/>
        <w:jc w:val="both"/>
        <w:rPr>
          <w:rFonts w:cstheme="minorHAnsi"/>
          <w:b/>
        </w:rPr>
      </w:pPr>
      <w:r w:rsidRPr="004E5334">
        <w:rPr>
          <w:rFonts w:cstheme="minorHAnsi"/>
          <w:b/>
        </w:rPr>
        <w:t xml:space="preserve">Figure 1. Percentage of charcoal samples that </w:t>
      </w:r>
      <w:r w:rsidR="003A6E70" w:rsidRPr="004E5334">
        <w:rPr>
          <w:rFonts w:cstheme="minorHAnsi"/>
          <w:b/>
        </w:rPr>
        <w:t>did not</w:t>
      </w:r>
      <w:r w:rsidRPr="004E5334">
        <w:rPr>
          <w:rFonts w:cstheme="minorHAnsi"/>
          <w:b/>
        </w:rPr>
        <w:t xml:space="preserve"> survive chemical (ABA or ABOX) pre</w:t>
      </w:r>
      <w:r w:rsidR="003A6E70" w:rsidRPr="004E5334">
        <w:rPr>
          <w:rFonts w:cstheme="minorHAnsi"/>
          <w:b/>
        </w:rPr>
        <w:t>-</w:t>
      </w:r>
      <w:r w:rsidRPr="004E5334">
        <w:rPr>
          <w:rFonts w:cstheme="minorHAnsi"/>
          <w:b/>
        </w:rPr>
        <w:t xml:space="preserve">treatment for </w:t>
      </w:r>
      <w:r w:rsidRPr="004E5334">
        <w:rPr>
          <w:rFonts w:cstheme="minorHAnsi"/>
          <w:b/>
          <w:vertAlign w:val="superscript"/>
        </w:rPr>
        <w:t>14</w:t>
      </w:r>
      <w:r w:rsidRPr="004E5334">
        <w:rPr>
          <w:rFonts w:cstheme="minorHAnsi"/>
          <w:b/>
        </w:rPr>
        <w:t>C dating, plotted against sample depth.</w:t>
      </w:r>
      <w:r w:rsidRPr="004E5334">
        <w:rPr>
          <w:b/>
        </w:rPr>
        <w:t xml:space="preserve"> </w:t>
      </w:r>
      <w:r w:rsidR="001042E3" w:rsidRPr="004E5334">
        <w:rPr>
          <w:b/>
        </w:rPr>
        <w:t>Note ‘n’ equals the number of samples submitted in each depth bracket.</w:t>
      </w:r>
    </w:p>
    <w:p w14:paraId="19E26BC3" w14:textId="77777777" w:rsidR="00B319AF" w:rsidRPr="004E5334" w:rsidRDefault="00B319AF" w:rsidP="008F52C8">
      <w:pPr>
        <w:pStyle w:val="ListParagraph"/>
        <w:ind w:left="360"/>
      </w:pPr>
    </w:p>
    <w:p w14:paraId="0A355DC8" w14:textId="0837913E" w:rsidR="00BF4F87" w:rsidRPr="004E5334" w:rsidRDefault="00BF4F87" w:rsidP="00BF4F87">
      <w:r w:rsidRPr="004E5334">
        <w:t>2. Distribution of artefacts in Phase</w:t>
      </w:r>
      <w:r w:rsidR="00DF06F3" w:rsidRPr="004E5334">
        <w:t>s 1 and</w:t>
      </w:r>
      <w:r w:rsidRPr="004E5334">
        <w:t xml:space="preserve"> 2.  Individual artefacts excavated in 1989 (Roberts et al. 1990) could not be shown in Extended Data Figs 1a or 2a, because they were not piece plotted using a total station, like those collected in 2012 and 2015. We show in Figure 2 below, the artefact densities in squares B4–B6 and C4–C6 and the corresponding OSL ages for Phase 2, which is br</w:t>
      </w:r>
      <w:r w:rsidR="003074A3" w:rsidRPr="004E5334">
        <w:t xml:space="preserve">acketed by depths of 2.15 and </w:t>
      </w:r>
      <w:r w:rsidRPr="004E5334">
        <w:t xml:space="preserve">2.60 m. The OSL age estimates for Phase 2 are consistent between the different squares: ages for square B4 range between c. 52 and 63 ka (2.16–2.45 m), for B5 between c. 63 and 65 ka (2.39–2.54 m) and C5 between c. 53 and 63 ka (2.20–2.50 m). In each square, a distinct pulse in artefact deposition is evident in Phase 2. </w:t>
      </w:r>
    </w:p>
    <w:p w14:paraId="4D94BAD6" w14:textId="5FBD7D0E" w:rsidR="0021257F" w:rsidRPr="004E5334" w:rsidRDefault="00B21778" w:rsidP="00332545">
      <w:pPr>
        <w:jc w:val="center"/>
      </w:pPr>
      <w:r w:rsidRPr="004E5334">
        <w:rPr>
          <w:noProof/>
          <w:lang w:eastAsia="en-AU"/>
        </w:rPr>
        <w:drawing>
          <wp:inline distT="0" distB="0" distL="0" distR="0" wp14:anchorId="14AF5E09" wp14:editId="416DBE66">
            <wp:extent cx="5495925" cy="5286396"/>
            <wp:effectExtent l="0" t="0" r="0" b="9525"/>
            <wp:docPr id="1" name="Picture 1" descr="C:\Users\uqcclar1\AppData\Local\Microsoft\Windows\Temporary Internet Files\Content.Outlook\CSZ619FZ\Artefact density by depth in various squares with 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qcclar1\AppData\Local\Microsoft\Windows\Temporary Internet Files\Content.Outlook\CSZ619FZ\Artefact density by depth in various squares with date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257"/>
                    <a:stretch/>
                  </pic:blipFill>
                  <pic:spPr bwMode="auto">
                    <a:xfrm>
                      <a:off x="0" y="0"/>
                      <a:ext cx="5524941" cy="5314306"/>
                    </a:xfrm>
                    <a:prstGeom prst="rect">
                      <a:avLst/>
                    </a:prstGeom>
                    <a:noFill/>
                    <a:ln>
                      <a:noFill/>
                    </a:ln>
                    <a:extLst>
                      <a:ext uri="{53640926-AAD7-44D8-BBD7-CCE9431645EC}">
                        <a14:shadowObscured xmlns:a14="http://schemas.microsoft.com/office/drawing/2010/main"/>
                      </a:ext>
                    </a:extLst>
                  </pic:spPr>
                </pic:pic>
              </a:graphicData>
            </a:graphic>
          </wp:inline>
        </w:drawing>
      </w:r>
    </w:p>
    <w:p w14:paraId="18824BDA" w14:textId="59A4B619" w:rsidR="00B21778" w:rsidRPr="004E5334" w:rsidRDefault="00B21778" w:rsidP="00B21778">
      <w:pPr>
        <w:spacing w:after="0" w:line="240" w:lineRule="auto"/>
        <w:rPr>
          <w:b/>
        </w:rPr>
      </w:pPr>
      <w:r w:rsidRPr="004E5334">
        <w:rPr>
          <w:b/>
        </w:rPr>
        <w:t>Figure 2. Artefact densities for squares B4–B6 and C4–C6. Phase 2 (2.15–2.60 m depth in squares B4–B6 and C4–C6) is bracketed by the red lines and the OSL ages (in ka) are shown along the top of each panel.</w:t>
      </w:r>
    </w:p>
    <w:p w14:paraId="1EEAB700" w14:textId="77777777" w:rsidR="00B21778" w:rsidRPr="004E5334" w:rsidRDefault="00B21778" w:rsidP="00B21778">
      <w:pPr>
        <w:spacing w:after="0" w:line="240" w:lineRule="auto"/>
        <w:rPr>
          <w:b/>
        </w:rPr>
      </w:pPr>
    </w:p>
    <w:p w14:paraId="1E901897" w14:textId="246D0471" w:rsidR="002C6FA2" w:rsidRPr="004E5334" w:rsidRDefault="002C6FA2" w:rsidP="00B70A85">
      <w:r w:rsidRPr="004E5334">
        <w:t xml:space="preserve">We used an objective measure </w:t>
      </w:r>
      <w:r w:rsidR="0021257F" w:rsidRPr="004E5334">
        <w:t xml:space="preserve">– </w:t>
      </w:r>
      <w:r w:rsidRPr="004E5334">
        <w:t>artefact frequency per litre (artefact density) of excavated sediment</w:t>
      </w:r>
      <w:r w:rsidR="0021257F" w:rsidRPr="004E5334">
        <w:t xml:space="preserve"> –</w:t>
      </w:r>
      <w:r w:rsidRPr="004E5334">
        <w:t xml:space="preserve"> together with assemblage composition </w:t>
      </w:r>
      <w:r w:rsidR="00795745" w:rsidRPr="004E5334">
        <w:t>(pulses in exotic silcrete, fine quartzite and chert</w:t>
      </w:r>
      <w:r w:rsidR="0021257F" w:rsidRPr="004E5334">
        <w:t>,</w:t>
      </w:r>
      <w:r w:rsidR="00795745" w:rsidRPr="004E5334">
        <w:t xml:space="preserve"> </w:t>
      </w:r>
      <w:r w:rsidR="0021257F" w:rsidRPr="004E5334">
        <w:t>and</w:t>
      </w:r>
      <w:r w:rsidR="00795745" w:rsidRPr="004E5334">
        <w:t xml:space="preserve"> the occurrence of thinning flakes) </w:t>
      </w:r>
      <w:r w:rsidRPr="004E5334">
        <w:t xml:space="preserve">to define the Phase boundaries. The resulting lower boundary of Phase 2 (2.60 m depth in squares B4–B6 and C4–C6) is, therefore, a conservative estimate for the lowest </w:t>
      </w:r>
      <w:r w:rsidRPr="004E5334">
        <w:rPr>
          <w:i/>
        </w:rPr>
        <w:t>in situ</w:t>
      </w:r>
      <w:r w:rsidRPr="004E5334">
        <w:t xml:space="preserve"> artefacts at Madjedbebe.</w:t>
      </w:r>
      <w:r w:rsidR="00003B84" w:rsidRPr="004E5334" w:rsidDel="00003B84">
        <w:t xml:space="preserve"> </w:t>
      </w:r>
    </w:p>
    <w:p w14:paraId="456399E3" w14:textId="7C6C13B5" w:rsidR="00BF4F87" w:rsidRPr="004E5334" w:rsidRDefault="00BF4F87" w:rsidP="00BF4F87">
      <w:r w:rsidRPr="004E5334">
        <w:t xml:space="preserve">In response to Allen (2017), we note that the numbers of artefacts from square B6 attributed to the different Phases are listed incorrectly in Supplementary Table 15 of Clarkson et al. (2017). The correct numbers are listed in Table 1 below. The chi-square test results for this corrected table are similar to those reported in Clarkson et al. (2017), </w:t>
      </w:r>
      <w:r w:rsidRPr="004E5334">
        <w:rPr>
          <w:rFonts w:cstheme="minorHAnsi"/>
        </w:rPr>
        <w:t>χ</w:t>
      </w:r>
      <w:r w:rsidRPr="004E5334">
        <w:rPr>
          <w:vertAlign w:val="superscript"/>
        </w:rPr>
        <w:t>2</w:t>
      </w:r>
      <w:r w:rsidRPr="004E5334">
        <w:t xml:space="preserve"> = 1118.5, df = 15, p-value &lt; 2.2e-16, so the interpretation and conclusions therein are unaffected. The raw materials and technological composition of the Phase 1 and 2 assemblages are</w:t>
      </w:r>
      <w:r w:rsidR="00DF06F3" w:rsidRPr="004E5334">
        <w:t xml:space="preserve"> very similar</w:t>
      </w:r>
      <w:r w:rsidRPr="004E5334">
        <w:t>, so we consider Phase 1 artefacts most likely represent the result of post-depositional displacement from Phase 2 deposits, although the possibility remains that they reflect an earlier occupation pulse.</w:t>
      </w:r>
      <w:r w:rsidR="002D216F" w:rsidRPr="004E5334">
        <w:t xml:space="preserve"> Ongoing analysis of the Phase 1 and 2 lithics will help resolve this issue.</w:t>
      </w:r>
    </w:p>
    <w:p w14:paraId="05E88953" w14:textId="3E336B89" w:rsidR="00EB1E0B" w:rsidRPr="004E5334" w:rsidRDefault="00EB1E0B" w:rsidP="00EB1E0B">
      <w:pPr>
        <w:rPr>
          <w:b/>
        </w:rPr>
      </w:pPr>
      <w:r w:rsidRPr="004E5334">
        <w:rPr>
          <w:b/>
        </w:rPr>
        <w:t xml:space="preserve">Table 1. Summary of stone artefact counts by Phase in </w:t>
      </w:r>
      <w:r w:rsidR="00332545" w:rsidRPr="004E5334">
        <w:rPr>
          <w:b/>
        </w:rPr>
        <w:t>s</w:t>
      </w:r>
      <w:r w:rsidRPr="004E5334">
        <w:rPr>
          <w:b/>
        </w:rPr>
        <w:t>quare B6, for the four dominant raw materials only.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960"/>
        <w:gridCol w:w="960"/>
        <w:gridCol w:w="1077"/>
        <w:gridCol w:w="960"/>
      </w:tblGrid>
      <w:tr w:rsidR="001E5F5E" w:rsidRPr="004E5334" w14:paraId="32EC9C65" w14:textId="77777777" w:rsidTr="00332545">
        <w:trPr>
          <w:trHeight w:val="300"/>
          <w:jc w:val="center"/>
        </w:trPr>
        <w:tc>
          <w:tcPr>
            <w:tcW w:w="960" w:type="dxa"/>
            <w:tcBorders>
              <w:bottom w:val="single" w:sz="4" w:space="0" w:color="auto"/>
            </w:tcBorders>
            <w:shd w:val="clear" w:color="auto" w:fill="auto"/>
            <w:noWrap/>
            <w:hideMark/>
          </w:tcPr>
          <w:p w14:paraId="75153B3D" w14:textId="77777777" w:rsidR="001E5F5E" w:rsidRPr="004E5334" w:rsidRDefault="001E5F5E" w:rsidP="001E5F5E">
            <w:pPr>
              <w:tabs>
                <w:tab w:val="center" w:pos="284"/>
                <w:tab w:val="center" w:pos="1418"/>
                <w:tab w:val="center" w:pos="2268"/>
                <w:tab w:val="center" w:pos="3261"/>
                <w:tab w:val="center" w:pos="4253"/>
              </w:tabs>
              <w:rPr>
                <w:b/>
                <w:bCs/>
              </w:rPr>
            </w:pPr>
            <w:r w:rsidRPr="004E5334">
              <w:rPr>
                <w:b/>
                <w:bCs/>
              </w:rPr>
              <w:t>Phase</w:t>
            </w:r>
          </w:p>
        </w:tc>
        <w:tc>
          <w:tcPr>
            <w:tcW w:w="960" w:type="dxa"/>
            <w:tcBorders>
              <w:bottom w:val="single" w:sz="4" w:space="0" w:color="auto"/>
            </w:tcBorders>
            <w:shd w:val="clear" w:color="auto" w:fill="auto"/>
            <w:noWrap/>
            <w:hideMark/>
          </w:tcPr>
          <w:p w14:paraId="4A8E7671" w14:textId="77777777" w:rsidR="001E5F5E" w:rsidRPr="004E5334" w:rsidRDefault="001E5F5E" w:rsidP="001E5F5E">
            <w:pPr>
              <w:tabs>
                <w:tab w:val="center" w:pos="284"/>
                <w:tab w:val="center" w:pos="1418"/>
                <w:tab w:val="center" w:pos="2268"/>
                <w:tab w:val="center" w:pos="3261"/>
                <w:tab w:val="center" w:pos="4253"/>
              </w:tabs>
              <w:rPr>
                <w:b/>
                <w:bCs/>
              </w:rPr>
            </w:pPr>
            <w:r w:rsidRPr="004E5334">
              <w:rPr>
                <w:b/>
                <w:bCs/>
              </w:rPr>
              <w:t>Chert</w:t>
            </w:r>
          </w:p>
        </w:tc>
        <w:tc>
          <w:tcPr>
            <w:tcW w:w="960" w:type="dxa"/>
            <w:tcBorders>
              <w:bottom w:val="single" w:sz="4" w:space="0" w:color="auto"/>
            </w:tcBorders>
            <w:shd w:val="clear" w:color="auto" w:fill="auto"/>
            <w:noWrap/>
            <w:hideMark/>
          </w:tcPr>
          <w:p w14:paraId="56629A73" w14:textId="77777777" w:rsidR="001E5F5E" w:rsidRPr="004E5334" w:rsidRDefault="001E5F5E" w:rsidP="001E5F5E">
            <w:pPr>
              <w:tabs>
                <w:tab w:val="center" w:pos="284"/>
                <w:tab w:val="center" w:pos="1418"/>
                <w:tab w:val="center" w:pos="2268"/>
                <w:tab w:val="center" w:pos="3261"/>
                <w:tab w:val="center" w:pos="4253"/>
              </w:tabs>
              <w:rPr>
                <w:b/>
                <w:bCs/>
              </w:rPr>
            </w:pPr>
            <w:r w:rsidRPr="004E5334">
              <w:rPr>
                <w:b/>
                <w:bCs/>
              </w:rPr>
              <w:t>Quartz</w:t>
            </w:r>
          </w:p>
        </w:tc>
        <w:tc>
          <w:tcPr>
            <w:tcW w:w="1077" w:type="dxa"/>
            <w:tcBorders>
              <w:bottom w:val="single" w:sz="4" w:space="0" w:color="auto"/>
            </w:tcBorders>
            <w:shd w:val="clear" w:color="auto" w:fill="auto"/>
            <w:noWrap/>
            <w:hideMark/>
          </w:tcPr>
          <w:p w14:paraId="1FCC1FF8" w14:textId="77777777" w:rsidR="001E5F5E" w:rsidRPr="004E5334" w:rsidRDefault="001E5F5E" w:rsidP="001E5F5E">
            <w:pPr>
              <w:tabs>
                <w:tab w:val="center" w:pos="284"/>
                <w:tab w:val="center" w:pos="1418"/>
                <w:tab w:val="center" w:pos="2268"/>
                <w:tab w:val="center" w:pos="3261"/>
                <w:tab w:val="center" w:pos="4253"/>
              </w:tabs>
              <w:rPr>
                <w:b/>
                <w:bCs/>
              </w:rPr>
            </w:pPr>
            <w:r w:rsidRPr="004E5334">
              <w:rPr>
                <w:b/>
                <w:bCs/>
              </w:rPr>
              <w:t>Quartzite</w:t>
            </w:r>
          </w:p>
        </w:tc>
        <w:tc>
          <w:tcPr>
            <w:tcW w:w="960" w:type="dxa"/>
            <w:tcBorders>
              <w:bottom w:val="single" w:sz="4" w:space="0" w:color="auto"/>
            </w:tcBorders>
            <w:shd w:val="clear" w:color="auto" w:fill="auto"/>
            <w:noWrap/>
            <w:hideMark/>
          </w:tcPr>
          <w:p w14:paraId="74F34009" w14:textId="77777777" w:rsidR="001E5F5E" w:rsidRPr="004E5334" w:rsidRDefault="001E5F5E" w:rsidP="001E5F5E">
            <w:pPr>
              <w:tabs>
                <w:tab w:val="center" w:pos="284"/>
                <w:tab w:val="center" w:pos="1418"/>
                <w:tab w:val="center" w:pos="2268"/>
                <w:tab w:val="center" w:pos="3261"/>
                <w:tab w:val="center" w:pos="4253"/>
              </w:tabs>
              <w:rPr>
                <w:b/>
                <w:bCs/>
              </w:rPr>
            </w:pPr>
            <w:r w:rsidRPr="004E5334">
              <w:rPr>
                <w:b/>
                <w:bCs/>
              </w:rPr>
              <w:t>Silcrete</w:t>
            </w:r>
          </w:p>
        </w:tc>
      </w:tr>
      <w:tr w:rsidR="001E5F5E" w:rsidRPr="004E5334" w14:paraId="49A69B16" w14:textId="77777777" w:rsidTr="00332545">
        <w:trPr>
          <w:trHeight w:val="300"/>
          <w:jc w:val="center"/>
        </w:trPr>
        <w:tc>
          <w:tcPr>
            <w:tcW w:w="960" w:type="dxa"/>
            <w:tcBorders>
              <w:top w:val="single" w:sz="4" w:space="0" w:color="auto"/>
            </w:tcBorders>
            <w:shd w:val="clear" w:color="auto" w:fill="auto"/>
            <w:noWrap/>
            <w:hideMark/>
          </w:tcPr>
          <w:p w14:paraId="3A38A396"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1</w:t>
            </w:r>
          </w:p>
        </w:tc>
        <w:tc>
          <w:tcPr>
            <w:tcW w:w="960" w:type="dxa"/>
            <w:tcBorders>
              <w:top w:val="single" w:sz="4" w:space="0" w:color="auto"/>
            </w:tcBorders>
            <w:shd w:val="clear" w:color="auto" w:fill="auto"/>
            <w:noWrap/>
            <w:hideMark/>
          </w:tcPr>
          <w:p w14:paraId="29E8839E"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1</w:t>
            </w:r>
          </w:p>
        </w:tc>
        <w:tc>
          <w:tcPr>
            <w:tcW w:w="960" w:type="dxa"/>
            <w:tcBorders>
              <w:top w:val="single" w:sz="4" w:space="0" w:color="auto"/>
            </w:tcBorders>
            <w:shd w:val="clear" w:color="auto" w:fill="auto"/>
            <w:noWrap/>
            <w:hideMark/>
          </w:tcPr>
          <w:p w14:paraId="580DFADF"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28</w:t>
            </w:r>
          </w:p>
        </w:tc>
        <w:tc>
          <w:tcPr>
            <w:tcW w:w="1077" w:type="dxa"/>
            <w:tcBorders>
              <w:top w:val="single" w:sz="4" w:space="0" w:color="auto"/>
            </w:tcBorders>
            <w:shd w:val="clear" w:color="auto" w:fill="auto"/>
            <w:noWrap/>
            <w:hideMark/>
          </w:tcPr>
          <w:p w14:paraId="2B5E18E0"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36</w:t>
            </w:r>
          </w:p>
        </w:tc>
        <w:tc>
          <w:tcPr>
            <w:tcW w:w="960" w:type="dxa"/>
            <w:tcBorders>
              <w:top w:val="single" w:sz="4" w:space="0" w:color="auto"/>
            </w:tcBorders>
            <w:shd w:val="clear" w:color="auto" w:fill="auto"/>
            <w:noWrap/>
            <w:hideMark/>
          </w:tcPr>
          <w:p w14:paraId="53ED1760"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3</w:t>
            </w:r>
          </w:p>
        </w:tc>
      </w:tr>
      <w:tr w:rsidR="001E5F5E" w:rsidRPr="004E5334" w14:paraId="01155025" w14:textId="77777777" w:rsidTr="00332545">
        <w:trPr>
          <w:trHeight w:val="300"/>
          <w:jc w:val="center"/>
        </w:trPr>
        <w:tc>
          <w:tcPr>
            <w:tcW w:w="960" w:type="dxa"/>
            <w:shd w:val="clear" w:color="auto" w:fill="auto"/>
            <w:noWrap/>
            <w:hideMark/>
          </w:tcPr>
          <w:p w14:paraId="17987356"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2</w:t>
            </w:r>
          </w:p>
        </w:tc>
        <w:tc>
          <w:tcPr>
            <w:tcW w:w="960" w:type="dxa"/>
            <w:shd w:val="clear" w:color="auto" w:fill="auto"/>
            <w:noWrap/>
            <w:hideMark/>
          </w:tcPr>
          <w:p w14:paraId="4E8D63A3"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69</w:t>
            </w:r>
          </w:p>
        </w:tc>
        <w:tc>
          <w:tcPr>
            <w:tcW w:w="960" w:type="dxa"/>
            <w:shd w:val="clear" w:color="auto" w:fill="auto"/>
            <w:noWrap/>
            <w:hideMark/>
          </w:tcPr>
          <w:p w14:paraId="2134434D"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1950</w:t>
            </w:r>
          </w:p>
        </w:tc>
        <w:tc>
          <w:tcPr>
            <w:tcW w:w="1077" w:type="dxa"/>
            <w:shd w:val="clear" w:color="auto" w:fill="auto"/>
            <w:noWrap/>
            <w:hideMark/>
          </w:tcPr>
          <w:p w14:paraId="6D06A7B4"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674</w:t>
            </w:r>
          </w:p>
        </w:tc>
        <w:tc>
          <w:tcPr>
            <w:tcW w:w="960" w:type="dxa"/>
            <w:shd w:val="clear" w:color="auto" w:fill="auto"/>
            <w:noWrap/>
            <w:hideMark/>
          </w:tcPr>
          <w:p w14:paraId="335C9037"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87</w:t>
            </w:r>
          </w:p>
        </w:tc>
      </w:tr>
      <w:tr w:rsidR="001E5F5E" w:rsidRPr="004E5334" w14:paraId="7729C6E2" w14:textId="77777777" w:rsidTr="00332545">
        <w:trPr>
          <w:trHeight w:val="300"/>
          <w:jc w:val="center"/>
        </w:trPr>
        <w:tc>
          <w:tcPr>
            <w:tcW w:w="960" w:type="dxa"/>
            <w:shd w:val="clear" w:color="auto" w:fill="auto"/>
            <w:noWrap/>
            <w:hideMark/>
          </w:tcPr>
          <w:p w14:paraId="29B05DD4"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3</w:t>
            </w:r>
          </w:p>
        </w:tc>
        <w:tc>
          <w:tcPr>
            <w:tcW w:w="960" w:type="dxa"/>
            <w:shd w:val="clear" w:color="auto" w:fill="auto"/>
            <w:noWrap/>
            <w:hideMark/>
          </w:tcPr>
          <w:p w14:paraId="6E0C654E"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51</w:t>
            </w:r>
          </w:p>
        </w:tc>
        <w:tc>
          <w:tcPr>
            <w:tcW w:w="960" w:type="dxa"/>
            <w:shd w:val="clear" w:color="auto" w:fill="auto"/>
            <w:noWrap/>
            <w:hideMark/>
          </w:tcPr>
          <w:p w14:paraId="6C975E20"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2551</w:t>
            </w:r>
          </w:p>
        </w:tc>
        <w:tc>
          <w:tcPr>
            <w:tcW w:w="1077" w:type="dxa"/>
            <w:shd w:val="clear" w:color="auto" w:fill="auto"/>
            <w:noWrap/>
            <w:hideMark/>
          </w:tcPr>
          <w:p w14:paraId="0602F2BB"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178</w:t>
            </w:r>
          </w:p>
        </w:tc>
        <w:tc>
          <w:tcPr>
            <w:tcW w:w="960" w:type="dxa"/>
            <w:shd w:val="clear" w:color="auto" w:fill="auto"/>
            <w:noWrap/>
            <w:hideMark/>
          </w:tcPr>
          <w:p w14:paraId="3A26A236"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11</w:t>
            </w:r>
          </w:p>
        </w:tc>
      </w:tr>
      <w:tr w:rsidR="001E5F5E" w:rsidRPr="004E5334" w14:paraId="66AF049E" w14:textId="77777777" w:rsidTr="00332545">
        <w:trPr>
          <w:trHeight w:val="300"/>
          <w:jc w:val="center"/>
        </w:trPr>
        <w:tc>
          <w:tcPr>
            <w:tcW w:w="960" w:type="dxa"/>
            <w:shd w:val="clear" w:color="auto" w:fill="auto"/>
            <w:noWrap/>
            <w:hideMark/>
          </w:tcPr>
          <w:p w14:paraId="18BFC111"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4</w:t>
            </w:r>
          </w:p>
        </w:tc>
        <w:tc>
          <w:tcPr>
            <w:tcW w:w="960" w:type="dxa"/>
            <w:shd w:val="clear" w:color="auto" w:fill="auto"/>
            <w:noWrap/>
            <w:hideMark/>
          </w:tcPr>
          <w:p w14:paraId="0F5E717C"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59</w:t>
            </w:r>
          </w:p>
        </w:tc>
        <w:tc>
          <w:tcPr>
            <w:tcW w:w="960" w:type="dxa"/>
            <w:shd w:val="clear" w:color="auto" w:fill="auto"/>
            <w:noWrap/>
            <w:hideMark/>
          </w:tcPr>
          <w:p w14:paraId="35346063"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3349</w:t>
            </w:r>
          </w:p>
        </w:tc>
        <w:tc>
          <w:tcPr>
            <w:tcW w:w="1077" w:type="dxa"/>
            <w:shd w:val="clear" w:color="auto" w:fill="auto"/>
            <w:noWrap/>
            <w:hideMark/>
          </w:tcPr>
          <w:p w14:paraId="3562949A"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278</w:t>
            </w:r>
          </w:p>
        </w:tc>
        <w:tc>
          <w:tcPr>
            <w:tcW w:w="960" w:type="dxa"/>
            <w:shd w:val="clear" w:color="auto" w:fill="auto"/>
            <w:noWrap/>
            <w:hideMark/>
          </w:tcPr>
          <w:p w14:paraId="21EB9B3C"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86</w:t>
            </w:r>
          </w:p>
        </w:tc>
      </w:tr>
      <w:tr w:rsidR="001E5F5E" w:rsidRPr="004E5334" w14:paraId="3234780B" w14:textId="77777777" w:rsidTr="00332545">
        <w:trPr>
          <w:trHeight w:val="300"/>
          <w:jc w:val="center"/>
        </w:trPr>
        <w:tc>
          <w:tcPr>
            <w:tcW w:w="960" w:type="dxa"/>
            <w:shd w:val="clear" w:color="auto" w:fill="auto"/>
            <w:noWrap/>
            <w:hideMark/>
          </w:tcPr>
          <w:p w14:paraId="63510799"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5</w:t>
            </w:r>
          </w:p>
        </w:tc>
        <w:tc>
          <w:tcPr>
            <w:tcW w:w="960" w:type="dxa"/>
            <w:shd w:val="clear" w:color="auto" w:fill="auto"/>
            <w:noWrap/>
            <w:hideMark/>
          </w:tcPr>
          <w:p w14:paraId="369D6F7E"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23</w:t>
            </w:r>
          </w:p>
        </w:tc>
        <w:tc>
          <w:tcPr>
            <w:tcW w:w="960" w:type="dxa"/>
            <w:shd w:val="clear" w:color="auto" w:fill="auto"/>
            <w:noWrap/>
            <w:hideMark/>
          </w:tcPr>
          <w:p w14:paraId="50CB18BA"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1009</w:t>
            </w:r>
          </w:p>
        </w:tc>
        <w:tc>
          <w:tcPr>
            <w:tcW w:w="1077" w:type="dxa"/>
            <w:shd w:val="clear" w:color="auto" w:fill="auto"/>
            <w:noWrap/>
            <w:hideMark/>
          </w:tcPr>
          <w:p w14:paraId="1A807D40"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13</w:t>
            </w:r>
          </w:p>
        </w:tc>
        <w:tc>
          <w:tcPr>
            <w:tcW w:w="960" w:type="dxa"/>
            <w:shd w:val="clear" w:color="auto" w:fill="auto"/>
            <w:noWrap/>
            <w:hideMark/>
          </w:tcPr>
          <w:p w14:paraId="4E51C662"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2</w:t>
            </w:r>
          </w:p>
        </w:tc>
      </w:tr>
      <w:tr w:rsidR="001E5F5E" w:rsidRPr="004E5334" w14:paraId="26598385" w14:textId="77777777" w:rsidTr="00332545">
        <w:trPr>
          <w:trHeight w:val="300"/>
          <w:jc w:val="center"/>
        </w:trPr>
        <w:tc>
          <w:tcPr>
            <w:tcW w:w="960" w:type="dxa"/>
            <w:shd w:val="clear" w:color="auto" w:fill="auto"/>
            <w:noWrap/>
            <w:hideMark/>
          </w:tcPr>
          <w:p w14:paraId="21EDFAB1"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6–7</w:t>
            </w:r>
          </w:p>
        </w:tc>
        <w:tc>
          <w:tcPr>
            <w:tcW w:w="960" w:type="dxa"/>
            <w:shd w:val="clear" w:color="auto" w:fill="auto"/>
            <w:noWrap/>
            <w:hideMark/>
          </w:tcPr>
          <w:p w14:paraId="41B710B9"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10</w:t>
            </w:r>
          </w:p>
        </w:tc>
        <w:tc>
          <w:tcPr>
            <w:tcW w:w="960" w:type="dxa"/>
            <w:shd w:val="clear" w:color="auto" w:fill="auto"/>
            <w:noWrap/>
            <w:hideMark/>
          </w:tcPr>
          <w:p w14:paraId="27095A6E"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1679</w:t>
            </w:r>
          </w:p>
        </w:tc>
        <w:tc>
          <w:tcPr>
            <w:tcW w:w="1077" w:type="dxa"/>
            <w:shd w:val="clear" w:color="auto" w:fill="auto"/>
            <w:noWrap/>
            <w:hideMark/>
          </w:tcPr>
          <w:p w14:paraId="2CDF03E8"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93</w:t>
            </w:r>
          </w:p>
        </w:tc>
        <w:tc>
          <w:tcPr>
            <w:tcW w:w="960" w:type="dxa"/>
            <w:shd w:val="clear" w:color="auto" w:fill="auto"/>
            <w:noWrap/>
            <w:hideMark/>
          </w:tcPr>
          <w:p w14:paraId="02A59BE0" w14:textId="77777777" w:rsidR="001E5F5E" w:rsidRPr="004E5334" w:rsidRDefault="001E5F5E" w:rsidP="001E5F5E">
            <w:pPr>
              <w:tabs>
                <w:tab w:val="center" w:pos="284"/>
                <w:tab w:val="center" w:pos="1418"/>
                <w:tab w:val="center" w:pos="2268"/>
                <w:tab w:val="center" w:pos="3261"/>
                <w:tab w:val="center" w:pos="4253"/>
              </w:tabs>
              <w:rPr>
                <w:b/>
              </w:rPr>
            </w:pPr>
            <w:r w:rsidRPr="004E5334">
              <w:rPr>
                <w:b/>
              </w:rPr>
              <w:t>3</w:t>
            </w:r>
          </w:p>
        </w:tc>
      </w:tr>
    </w:tbl>
    <w:p w14:paraId="31CBD40D" w14:textId="77777777" w:rsidR="00EB1E0B" w:rsidRPr="004E5334" w:rsidRDefault="00EB1E0B" w:rsidP="002C6FA2">
      <w:pPr>
        <w:rPr>
          <w:b/>
        </w:rPr>
      </w:pPr>
    </w:p>
    <w:p w14:paraId="33DDA24F" w14:textId="459CE7F6" w:rsidR="001805FD" w:rsidRPr="004E5334" w:rsidRDefault="00B70A85" w:rsidP="005A3A79">
      <w:pPr>
        <w:autoSpaceDE w:val="0"/>
        <w:autoSpaceDN w:val="0"/>
        <w:adjustRightInd w:val="0"/>
        <w:rPr>
          <w:rFonts w:cstheme="minorHAnsi"/>
        </w:rPr>
      </w:pPr>
      <w:r w:rsidRPr="004E5334">
        <w:rPr>
          <w:rFonts w:cstheme="minorHAnsi"/>
        </w:rPr>
        <w:t xml:space="preserve">3. </w:t>
      </w:r>
      <w:r w:rsidR="007F6B22" w:rsidRPr="004E5334">
        <w:t xml:space="preserve">OSL chronology for Phase 2. </w:t>
      </w:r>
      <w:r w:rsidRPr="004E5334">
        <w:rPr>
          <w:rFonts w:cstheme="minorHAnsi"/>
        </w:rPr>
        <w:t xml:space="preserve">Dortch and Malaspinas </w:t>
      </w:r>
      <w:r w:rsidR="00743D50" w:rsidRPr="004E5334">
        <w:rPr>
          <w:rFonts w:cstheme="minorHAnsi"/>
        </w:rPr>
        <w:t xml:space="preserve">(2017) </w:t>
      </w:r>
      <w:r w:rsidR="005A3A79" w:rsidRPr="004E5334">
        <w:rPr>
          <w:rFonts w:cstheme="minorHAnsi"/>
        </w:rPr>
        <w:t xml:space="preserve">note that our ages for </w:t>
      </w:r>
      <w:r w:rsidR="005A3A79" w:rsidRPr="004E5334">
        <w:t xml:space="preserve">Madjedbebe are consistent with </w:t>
      </w:r>
      <w:r w:rsidR="005A3A79" w:rsidRPr="004E5334">
        <w:rPr>
          <w:rFonts w:cstheme="minorHAnsi"/>
        </w:rPr>
        <w:t xml:space="preserve">genetic approaches to dating the appearance of distinctively Australian populations, but they </w:t>
      </w:r>
      <w:r w:rsidR="00743D50" w:rsidRPr="004E5334">
        <w:rPr>
          <w:rFonts w:cstheme="minorHAnsi"/>
        </w:rPr>
        <w:t>adopt a conservative view of the age of Phase 2 artefacts</w:t>
      </w:r>
      <w:r w:rsidR="005A3A79" w:rsidRPr="004E5334">
        <w:rPr>
          <w:rFonts w:cstheme="minorHAnsi"/>
        </w:rPr>
        <w:t>. They</w:t>
      </w:r>
      <w:r w:rsidR="00743D50" w:rsidRPr="004E5334">
        <w:rPr>
          <w:rFonts w:cstheme="minorHAnsi"/>
        </w:rPr>
        <w:t xml:space="preserve"> opt for the modelled end age</w:t>
      </w:r>
      <w:r w:rsidR="001805FD" w:rsidRPr="004E5334">
        <w:rPr>
          <w:rFonts w:cstheme="minorHAnsi"/>
        </w:rPr>
        <w:t xml:space="preserve"> of</w:t>
      </w:r>
      <w:r w:rsidR="00743D50" w:rsidRPr="004E5334">
        <w:rPr>
          <w:rFonts w:cstheme="minorHAnsi"/>
        </w:rPr>
        <w:t xml:space="preserve"> 53 ± 4 ka</w:t>
      </w:r>
      <w:r w:rsidR="001805FD" w:rsidRPr="004E5334">
        <w:rPr>
          <w:rFonts w:cstheme="minorHAnsi"/>
        </w:rPr>
        <w:t>, rather than the modelled start age of 65 ± 6 ka</w:t>
      </w:r>
      <w:r w:rsidR="00400A0F" w:rsidRPr="004E5334">
        <w:rPr>
          <w:rFonts w:cstheme="minorHAnsi"/>
        </w:rPr>
        <w:t xml:space="preserve">; these two modelled estimates represent the minimum and maximum ages for the archaeological materials in Phase 2 and </w:t>
      </w:r>
      <w:r w:rsidR="006D015D" w:rsidRPr="004E5334">
        <w:rPr>
          <w:rFonts w:cstheme="minorHAnsi"/>
        </w:rPr>
        <w:t xml:space="preserve">are </w:t>
      </w:r>
      <w:r w:rsidR="00400A0F" w:rsidRPr="004E5334">
        <w:rPr>
          <w:rFonts w:cstheme="minorHAnsi"/>
        </w:rPr>
        <w:t>based on a sequence of stratigraphically grouped ages that both overl</w:t>
      </w:r>
      <w:r w:rsidR="006D015D" w:rsidRPr="004E5334">
        <w:rPr>
          <w:rFonts w:cstheme="minorHAnsi"/>
        </w:rPr>
        <w:t>a</w:t>
      </w:r>
      <w:r w:rsidR="00400A0F" w:rsidRPr="004E5334">
        <w:rPr>
          <w:rFonts w:cstheme="minorHAnsi"/>
        </w:rPr>
        <w:t>y, span and underlie Phase 2</w:t>
      </w:r>
      <w:r w:rsidR="001805FD" w:rsidRPr="004E5334">
        <w:rPr>
          <w:rFonts w:cstheme="minorHAnsi"/>
        </w:rPr>
        <w:t>. There is</w:t>
      </w:r>
      <w:r w:rsidR="00400A0F" w:rsidRPr="004E5334">
        <w:rPr>
          <w:rFonts w:cstheme="minorHAnsi"/>
        </w:rPr>
        <w:t>, therefore,</w:t>
      </w:r>
      <w:r w:rsidR="001805FD" w:rsidRPr="004E5334">
        <w:rPr>
          <w:rFonts w:cstheme="minorHAnsi"/>
        </w:rPr>
        <w:t xml:space="preserve"> no sound statistical basis for rejecting the latter as the most reliable age </w:t>
      </w:r>
      <w:r w:rsidR="003B1FE7" w:rsidRPr="004E5334">
        <w:rPr>
          <w:rFonts w:cstheme="minorHAnsi"/>
        </w:rPr>
        <w:t xml:space="preserve">estimate </w:t>
      </w:r>
      <w:r w:rsidR="001805FD" w:rsidRPr="004E5334">
        <w:rPr>
          <w:rFonts w:cstheme="minorHAnsi"/>
        </w:rPr>
        <w:t xml:space="preserve">for the start of </w:t>
      </w:r>
      <w:r w:rsidR="00B14C6C" w:rsidRPr="004E5334">
        <w:rPr>
          <w:rFonts w:cstheme="minorHAnsi"/>
        </w:rPr>
        <w:t>Phase 2</w:t>
      </w:r>
      <w:r w:rsidR="00905529" w:rsidRPr="004E5334">
        <w:rPr>
          <w:rFonts w:cstheme="minorHAnsi"/>
        </w:rPr>
        <w:t>; this</w:t>
      </w:r>
      <w:r w:rsidR="00B14C6C" w:rsidRPr="004E5334">
        <w:rPr>
          <w:rFonts w:cstheme="minorHAnsi"/>
        </w:rPr>
        <w:t xml:space="preserve"> places initial </w:t>
      </w:r>
      <w:r w:rsidR="001805FD" w:rsidRPr="004E5334">
        <w:rPr>
          <w:rFonts w:cstheme="minorHAnsi"/>
        </w:rPr>
        <w:t xml:space="preserve">settlement </w:t>
      </w:r>
      <w:r w:rsidR="00B14C6C" w:rsidRPr="004E5334">
        <w:rPr>
          <w:rFonts w:cstheme="minorHAnsi"/>
        </w:rPr>
        <w:t>at between c. 71 and</w:t>
      </w:r>
      <w:r w:rsidR="001805FD" w:rsidRPr="004E5334">
        <w:rPr>
          <w:rFonts w:cstheme="minorHAnsi"/>
        </w:rPr>
        <w:t xml:space="preserve"> 59 ka</w:t>
      </w:r>
      <w:r w:rsidR="00B14C6C" w:rsidRPr="004E5334">
        <w:rPr>
          <w:rFonts w:cstheme="minorHAnsi"/>
        </w:rPr>
        <w:t xml:space="preserve"> </w:t>
      </w:r>
      <w:r w:rsidR="00905529" w:rsidRPr="004E5334">
        <w:rPr>
          <w:rFonts w:cstheme="minorHAnsi"/>
        </w:rPr>
        <w:t xml:space="preserve">ago </w:t>
      </w:r>
      <w:r w:rsidR="00B14C6C" w:rsidRPr="004E5334">
        <w:rPr>
          <w:rFonts w:cstheme="minorHAnsi"/>
        </w:rPr>
        <w:t>at the 95.4% confidence level.</w:t>
      </w:r>
    </w:p>
    <w:p w14:paraId="4CA54F98" w14:textId="4D073EB7" w:rsidR="003B1FE7" w:rsidRPr="004E5334" w:rsidRDefault="003B1FE7" w:rsidP="005A7DD0">
      <w:pPr>
        <w:rPr>
          <w:rFonts w:cstheme="minorHAnsi"/>
        </w:rPr>
      </w:pPr>
      <w:r w:rsidRPr="004E5334">
        <w:rPr>
          <w:rFonts w:cstheme="minorHAnsi"/>
        </w:rPr>
        <w:t>Although the c. 65 ka start age for Phase 2 has attracted the most attention, it should be borne in mind that this lowest dense band incorporates artefacts that were also deposited over the next 12</w:t>
      </w:r>
      <w:r w:rsidR="00905529" w:rsidRPr="004E5334">
        <w:rPr>
          <w:rFonts w:cstheme="minorHAnsi"/>
        </w:rPr>
        <w:t xml:space="preserve"> ka</w:t>
      </w:r>
      <w:r w:rsidRPr="004E5334">
        <w:rPr>
          <w:rFonts w:cstheme="minorHAnsi"/>
        </w:rPr>
        <w:t xml:space="preserve"> or so (see </w:t>
      </w:r>
      <w:r w:rsidR="00BA39CF" w:rsidRPr="004E5334">
        <w:rPr>
          <w:rFonts w:cstheme="minorHAnsi"/>
        </w:rPr>
        <w:t xml:space="preserve">Fig. 2 above and </w:t>
      </w:r>
      <w:r w:rsidRPr="004E5334">
        <w:rPr>
          <w:rFonts w:cstheme="minorHAnsi"/>
        </w:rPr>
        <w:t>Extended Data Figs 8c–f</w:t>
      </w:r>
      <w:r w:rsidR="00BA39CF" w:rsidRPr="004E5334">
        <w:rPr>
          <w:rFonts w:cstheme="minorHAnsi"/>
        </w:rPr>
        <w:t>)</w:t>
      </w:r>
      <w:r w:rsidRPr="004E5334">
        <w:rPr>
          <w:rFonts w:cstheme="minorHAnsi"/>
        </w:rPr>
        <w:t xml:space="preserve">. </w:t>
      </w:r>
      <w:r w:rsidR="005A60DC" w:rsidRPr="004E5334">
        <w:rPr>
          <w:rFonts w:cstheme="minorHAnsi"/>
        </w:rPr>
        <w:t>We note that the captions for Extended Data Figs 8c and 8d should indicate squares B4 and B</w:t>
      </w:r>
      <w:r w:rsidR="00D40543" w:rsidRPr="004E5334">
        <w:rPr>
          <w:rFonts w:cstheme="minorHAnsi"/>
        </w:rPr>
        <w:t xml:space="preserve">5 (not B5 and B6), respectively, and that </w:t>
      </w:r>
      <w:r w:rsidR="005A60DC" w:rsidRPr="004E5334">
        <w:rPr>
          <w:rFonts w:cstheme="minorHAnsi"/>
        </w:rPr>
        <w:t xml:space="preserve">the </w:t>
      </w:r>
      <w:r w:rsidR="00D40543" w:rsidRPr="004E5334">
        <w:rPr>
          <w:rFonts w:cstheme="minorHAnsi"/>
        </w:rPr>
        <w:t xml:space="preserve">position of the </w:t>
      </w:r>
      <w:r w:rsidR="005A60DC" w:rsidRPr="004E5334">
        <w:rPr>
          <w:rFonts w:cstheme="minorHAnsi"/>
        </w:rPr>
        <w:t xml:space="preserve">SW-B and SW-C OSL sample </w:t>
      </w:r>
      <w:r w:rsidR="00D40543" w:rsidRPr="004E5334">
        <w:rPr>
          <w:rFonts w:cstheme="minorHAnsi"/>
        </w:rPr>
        <w:t>sequence</w:t>
      </w:r>
      <w:r w:rsidR="005A60DC" w:rsidRPr="004E5334">
        <w:rPr>
          <w:rFonts w:cstheme="minorHAnsi"/>
        </w:rPr>
        <w:t xml:space="preserve"> </w:t>
      </w:r>
      <w:r w:rsidR="00D40543" w:rsidRPr="004E5334">
        <w:rPr>
          <w:rFonts w:cstheme="minorHAnsi"/>
        </w:rPr>
        <w:t xml:space="preserve">is laterally misplaced </w:t>
      </w:r>
      <w:r w:rsidR="005A60DC" w:rsidRPr="004E5334">
        <w:rPr>
          <w:rFonts w:cstheme="minorHAnsi"/>
        </w:rPr>
        <w:t>in Extended Data Fig. 8a</w:t>
      </w:r>
      <w:r w:rsidR="00400A0F" w:rsidRPr="004E5334">
        <w:rPr>
          <w:rFonts w:cstheme="minorHAnsi"/>
        </w:rPr>
        <w:t xml:space="preserve"> by 30 cm</w:t>
      </w:r>
      <w:r w:rsidR="00D40543" w:rsidRPr="004E5334">
        <w:rPr>
          <w:rFonts w:cstheme="minorHAnsi"/>
        </w:rPr>
        <w:t>, but is</w:t>
      </w:r>
      <w:r w:rsidR="005A60DC" w:rsidRPr="004E5334">
        <w:rPr>
          <w:rFonts w:cstheme="minorHAnsi"/>
        </w:rPr>
        <w:t xml:space="preserve"> correctly plotted in Extended Data Fig. 1a</w:t>
      </w:r>
      <w:r w:rsidR="00B64BB1" w:rsidRPr="004E5334">
        <w:rPr>
          <w:rFonts w:cstheme="minorHAnsi"/>
        </w:rPr>
        <w:t xml:space="preserve">. </w:t>
      </w:r>
      <w:r w:rsidRPr="004E5334">
        <w:rPr>
          <w:rFonts w:cstheme="minorHAnsi"/>
        </w:rPr>
        <w:t xml:space="preserve">Hence, </w:t>
      </w:r>
      <w:r w:rsidR="005A60DC" w:rsidRPr="004E5334">
        <w:rPr>
          <w:rFonts w:cstheme="minorHAnsi"/>
        </w:rPr>
        <w:t xml:space="preserve">Phase 2 does not constitute a single snapshot in time, c. 65 ka ago, but rather an assemblage </w:t>
      </w:r>
      <w:r w:rsidR="00D40543" w:rsidRPr="004E5334">
        <w:rPr>
          <w:rFonts w:cstheme="minorHAnsi"/>
        </w:rPr>
        <w:t xml:space="preserve">composed </w:t>
      </w:r>
      <w:r w:rsidR="005A60DC" w:rsidRPr="004E5334">
        <w:rPr>
          <w:rFonts w:cstheme="minorHAnsi"/>
        </w:rPr>
        <w:t xml:space="preserve">of more than 11,000 artefacts </w:t>
      </w:r>
      <w:r w:rsidR="007F6B22" w:rsidRPr="004E5334">
        <w:rPr>
          <w:rFonts w:cstheme="minorHAnsi"/>
        </w:rPr>
        <w:t>that</w:t>
      </w:r>
      <w:r w:rsidR="005A60DC" w:rsidRPr="004E5334">
        <w:rPr>
          <w:rFonts w:cstheme="minorHAnsi"/>
        </w:rPr>
        <w:t xml:space="preserve"> </w:t>
      </w:r>
      <w:r w:rsidR="00D40543" w:rsidRPr="004E5334">
        <w:rPr>
          <w:rFonts w:cstheme="minorHAnsi"/>
        </w:rPr>
        <w:t xml:space="preserve">have </w:t>
      </w:r>
      <w:r w:rsidR="005A60DC" w:rsidRPr="004E5334">
        <w:rPr>
          <w:rFonts w:cstheme="minorHAnsi"/>
        </w:rPr>
        <w:t>accumulated over twelve m</w:t>
      </w:r>
      <w:r w:rsidR="00D40543" w:rsidRPr="004E5334">
        <w:rPr>
          <w:rFonts w:cstheme="minorHAnsi"/>
        </w:rPr>
        <w:t xml:space="preserve">illennia. </w:t>
      </w:r>
      <w:r w:rsidR="005A60DC" w:rsidRPr="004E5334">
        <w:rPr>
          <w:rFonts w:cstheme="minorHAnsi"/>
        </w:rPr>
        <w:t>While the antiquity of the earliest Phase 2 artefacts precede</w:t>
      </w:r>
      <w:r w:rsidR="00D40543" w:rsidRPr="004E5334">
        <w:rPr>
          <w:rFonts w:cstheme="minorHAnsi"/>
        </w:rPr>
        <w:t>s</w:t>
      </w:r>
      <w:r w:rsidR="005A60DC" w:rsidRPr="004E5334">
        <w:rPr>
          <w:rFonts w:cstheme="minorHAnsi"/>
        </w:rPr>
        <w:t xml:space="preserve"> </w:t>
      </w:r>
      <w:r w:rsidR="00D40543" w:rsidRPr="004E5334">
        <w:rPr>
          <w:rFonts w:cstheme="minorHAnsi"/>
        </w:rPr>
        <w:t>other discoveries made</w:t>
      </w:r>
      <w:r w:rsidR="005A60DC" w:rsidRPr="004E5334">
        <w:rPr>
          <w:rFonts w:cstheme="minorHAnsi"/>
        </w:rPr>
        <w:t xml:space="preserve"> thus far elsewhere in Australia, the later Phase 2 artefacts coincide with a growing body of evidence for human occupation </w:t>
      </w:r>
      <w:r w:rsidR="002D216F" w:rsidRPr="004E5334">
        <w:rPr>
          <w:rFonts w:cstheme="minorHAnsi"/>
        </w:rPr>
        <w:t>in</w:t>
      </w:r>
      <w:r w:rsidR="005A60DC" w:rsidRPr="004E5334">
        <w:rPr>
          <w:rFonts w:cstheme="minorHAnsi"/>
        </w:rPr>
        <w:t xml:space="preserve"> other parts of the continent before 50 ka ago (</w:t>
      </w:r>
      <w:r w:rsidR="005A60DC" w:rsidRPr="004E5334">
        <w:t>Hamm et al. 2016; Veth et al. 2017</w:t>
      </w:r>
      <w:r w:rsidR="005A60DC" w:rsidRPr="004E5334">
        <w:rPr>
          <w:rFonts w:cstheme="minorHAnsi"/>
        </w:rPr>
        <w:t>).</w:t>
      </w:r>
    </w:p>
    <w:p w14:paraId="6297EE65" w14:textId="3CD8A774" w:rsidR="00AB799B" w:rsidRPr="004E5334" w:rsidRDefault="007F6B22" w:rsidP="005A7DD0">
      <w:pPr>
        <w:rPr>
          <w:rFonts w:cstheme="minorHAnsi"/>
        </w:rPr>
      </w:pPr>
      <w:r w:rsidRPr="004E5334">
        <w:rPr>
          <w:rFonts w:cstheme="minorHAnsi"/>
        </w:rPr>
        <w:t xml:space="preserve">4. </w:t>
      </w:r>
      <w:r w:rsidRPr="004E5334">
        <w:t xml:space="preserve">Archaeological signatures of human dispersal and genetic analyses. </w:t>
      </w:r>
      <w:r w:rsidR="00B1052C" w:rsidRPr="004E5334">
        <w:rPr>
          <w:rFonts w:cstheme="minorHAnsi"/>
        </w:rPr>
        <w:t xml:space="preserve">The findings from Phase 2 </w:t>
      </w:r>
      <w:r w:rsidR="00BA39CF" w:rsidRPr="004E5334">
        <w:rPr>
          <w:rFonts w:cstheme="minorHAnsi"/>
        </w:rPr>
        <w:t xml:space="preserve">at </w:t>
      </w:r>
      <w:r w:rsidR="00B1052C" w:rsidRPr="004E5334">
        <w:rPr>
          <w:rFonts w:cstheme="minorHAnsi"/>
        </w:rPr>
        <w:t xml:space="preserve">Madjedbebe have </w:t>
      </w:r>
      <w:r w:rsidR="002D216F" w:rsidRPr="004E5334">
        <w:rPr>
          <w:rFonts w:cstheme="minorHAnsi"/>
        </w:rPr>
        <w:t>interesting</w:t>
      </w:r>
      <w:r w:rsidR="00B1052C" w:rsidRPr="004E5334">
        <w:rPr>
          <w:rFonts w:cstheme="minorHAnsi"/>
        </w:rPr>
        <w:t xml:space="preserve"> implications for the Out of Africa story and the colonisation of Australia. </w:t>
      </w:r>
      <w:r w:rsidR="007D170B" w:rsidRPr="004E5334">
        <w:rPr>
          <w:rFonts w:cstheme="minorHAnsi"/>
        </w:rPr>
        <w:t>The oldest assembl</w:t>
      </w:r>
      <w:r w:rsidR="00BA39CF" w:rsidRPr="004E5334">
        <w:rPr>
          <w:rFonts w:cstheme="minorHAnsi"/>
        </w:rPr>
        <w:t>a</w:t>
      </w:r>
      <w:r w:rsidR="007D170B" w:rsidRPr="004E5334">
        <w:rPr>
          <w:rFonts w:cstheme="minorHAnsi"/>
        </w:rPr>
        <w:t>ge</w:t>
      </w:r>
      <w:r w:rsidR="00B1052C" w:rsidRPr="004E5334">
        <w:rPr>
          <w:rFonts w:cstheme="minorHAnsi"/>
        </w:rPr>
        <w:t xml:space="preserve"> </w:t>
      </w:r>
      <w:r w:rsidR="00BA39CF" w:rsidRPr="004E5334">
        <w:rPr>
          <w:rFonts w:cstheme="minorHAnsi"/>
        </w:rPr>
        <w:t xml:space="preserve">suggests </w:t>
      </w:r>
      <w:r w:rsidR="00B1052C" w:rsidRPr="004E5334">
        <w:rPr>
          <w:rFonts w:cstheme="minorHAnsi"/>
        </w:rPr>
        <w:t xml:space="preserve">an innovative and highly expressive </w:t>
      </w:r>
      <w:r w:rsidR="00BA39CF" w:rsidRPr="004E5334">
        <w:rPr>
          <w:rFonts w:cstheme="minorHAnsi"/>
        </w:rPr>
        <w:t>culture</w:t>
      </w:r>
      <w:r w:rsidR="00B1052C" w:rsidRPr="004E5334">
        <w:rPr>
          <w:rFonts w:cstheme="minorHAnsi"/>
        </w:rPr>
        <w:t xml:space="preserve"> engaged in symbolic and technological activities</w:t>
      </w:r>
      <w:r w:rsidR="00BA39CF" w:rsidRPr="004E5334">
        <w:rPr>
          <w:rFonts w:cstheme="minorHAnsi"/>
        </w:rPr>
        <w:t>, with</w:t>
      </w:r>
      <w:r w:rsidR="00BD3C6D" w:rsidRPr="004E5334">
        <w:rPr>
          <w:rFonts w:cstheme="minorHAnsi"/>
        </w:rPr>
        <w:t xml:space="preserve"> long</w:t>
      </w:r>
      <w:r w:rsidR="00BA39CF" w:rsidRPr="004E5334">
        <w:rPr>
          <w:rFonts w:cstheme="minorHAnsi"/>
        </w:rPr>
        <w:t>-</w:t>
      </w:r>
      <w:r w:rsidR="00BD3C6D" w:rsidRPr="004E5334">
        <w:rPr>
          <w:rFonts w:cstheme="minorHAnsi"/>
        </w:rPr>
        <w:t xml:space="preserve">distance </w:t>
      </w:r>
      <w:r w:rsidR="00A213BF" w:rsidRPr="004E5334">
        <w:rPr>
          <w:rFonts w:cstheme="minorHAnsi"/>
        </w:rPr>
        <w:t xml:space="preserve">(&gt;80 km) </w:t>
      </w:r>
      <w:r w:rsidR="00BD3C6D" w:rsidRPr="004E5334">
        <w:rPr>
          <w:rFonts w:cstheme="minorHAnsi"/>
        </w:rPr>
        <w:t xml:space="preserve">maritime voyaging </w:t>
      </w:r>
      <w:r w:rsidR="006D7A21" w:rsidRPr="004E5334">
        <w:rPr>
          <w:rFonts w:cstheme="minorHAnsi"/>
        </w:rPr>
        <w:t xml:space="preserve">required </w:t>
      </w:r>
      <w:r w:rsidR="00BD3C6D" w:rsidRPr="004E5334">
        <w:rPr>
          <w:rFonts w:cstheme="minorHAnsi"/>
        </w:rPr>
        <w:t xml:space="preserve">to reach </w:t>
      </w:r>
      <w:r w:rsidR="00F26F37" w:rsidRPr="004E5334">
        <w:rPr>
          <w:rFonts w:cstheme="minorHAnsi"/>
        </w:rPr>
        <w:t>the shores of northwest</w:t>
      </w:r>
      <w:r w:rsidR="00BA39CF" w:rsidRPr="004E5334">
        <w:rPr>
          <w:rFonts w:cstheme="minorHAnsi"/>
        </w:rPr>
        <w:t xml:space="preserve"> Australia</w:t>
      </w:r>
      <w:r w:rsidR="002D216F" w:rsidRPr="004E5334">
        <w:rPr>
          <w:rFonts w:cstheme="minorHAnsi"/>
        </w:rPr>
        <w:t xml:space="preserve"> </w:t>
      </w:r>
      <w:r w:rsidR="00F26F37" w:rsidRPr="004E5334">
        <w:rPr>
          <w:rFonts w:cstheme="minorHAnsi"/>
        </w:rPr>
        <w:t>at 65 ka</w:t>
      </w:r>
      <w:r w:rsidR="006D7A21" w:rsidRPr="004E5334">
        <w:rPr>
          <w:rFonts w:cstheme="minorHAnsi"/>
        </w:rPr>
        <w:t xml:space="preserve"> </w:t>
      </w:r>
      <w:r w:rsidR="00BD3C6D" w:rsidRPr="004E5334">
        <w:rPr>
          <w:rFonts w:cstheme="minorHAnsi"/>
        </w:rPr>
        <w:t>(Norman et al. 2018).</w:t>
      </w:r>
      <w:r w:rsidR="00B1052C" w:rsidRPr="004E5334">
        <w:rPr>
          <w:rFonts w:cstheme="minorHAnsi"/>
        </w:rPr>
        <w:t xml:space="preserve"> The first occupants of </w:t>
      </w:r>
      <w:r w:rsidR="00BA39CF" w:rsidRPr="004E5334">
        <w:rPr>
          <w:rFonts w:cstheme="minorHAnsi"/>
        </w:rPr>
        <w:t>Madjedbebe</w:t>
      </w:r>
      <w:r w:rsidR="00B1052C" w:rsidRPr="004E5334">
        <w:rPr>
          <w:rFonts w:cstheme="minorHAnsi"/>
        </w:rPr>
        <w:t xml:space="preserve"> exploit</w:t>
      </w:r>
      <w:r w:rsidR="00AB799B" w:rsidRPr="004E5334">
        <w:rPr>
          <w:rFonts w:cstheme="minorHAnsi"/>
        </w:rPr>
        <w:t>ed</w:t>
      </w:r>
      <w:r w:rsidR="00B1052C" w:rsidRPr="004E5334">
        <w:rPr>
          <w:rFonts w:cstheme="minorHAnsi"/>
        </w:rPr>
        <w:t xml:space="preserve"> the wide range of bush foods available in the </w:t>
      </w:r>
      <w:r w:rsidR="001B596A" w:rsidRPr="004E5334">
        <w:rPr>
          <w:rFonts w:cstheme="minorHAnsi"/>
        </w:rPr>
        <w:t xml:space="preserve">region </w:t>
      </w:r>
      <w:r w:rsidR="00AB799B" w:rsidRPr="004E5334">
        <w:rPr>
          <w:rFonts w:cstheme="minorHAnsi"/>
        </w:rPr>
        <w:t>(</w:t>
      </w:r>
      <w:r w:rsidR="001B596A" w:rsidRPr="004E5334">
        <w:rPr>
          <w:rFonts w:cstheme="minorHAnsi"/>
        </w:rPr>
        <w:t>including fruits,</w:t>
      </w:r>
      <w:r w:rsidR="00BD3C6D" w:rsidRPr="004E5334">
        <w:rPr>
          <w:rFonts w:cstheme="minorHAnsi"/>
        </w:rPr>
        <w:t xml:space="preserve"> nuts,</w:t>
      </w:r>
      <w:r w:rsidR="001B596A" w:rsidRPr="004E5334">
        <w:rPr>
          <w:rFonts w:cstheme="minorHAnsi"/>
        </w:rPr>
        <w:t xml:space="preserve"> seeds and</w:t>
      </w:r>
      <w:r w:rsidR="00B1052C" w:rsidRPr="004E5334">
        <w:rPr>
          <w:rFonts w:cstheme="minorHAnsi"/>
        </w:rPr>
        <w:t xml:space="preserve"> tubers</w:t>
      </w:r>
      <w:r w:rsidR="00AB799B" w:rsidRPr="004E5334">
        <w:rPr>
          <w:rFonts w:cstheme="minorHAnsi"/>
        </w:rPr>
        <w:t>)</w:t>
      </w:r>
      <w:r w:rsidR="00B1052C" w:rsidRPr="004E5334">
        <w:rPr>
          <w:rFonts w:cstheme="minorHAnsi"/>
        </w:rPr>
        <w:t xml:space="preserve"> and </w:t>
      </w:r>
      <w:r w:rsidR="00BD3C6D" w:rsidRPr="004E5334">
        <w:rPr>
          <w:rFonts w:cstheme="minorHAnsi"/>
        </w:rPr>
        <w:t xml:space="preserve">had </w:t>
      </w:r>
      <w:r w:rsidR="00B1052C" w:rsidRPr="004E5334">
        <w:rPr>
          <w:rFonts w:cstheme="minorHAnsi"/>
        </w:rPr>
        <w:t xml:space="preserve">invested in technologies such as axes </w:t>
      </w:r>
      <w:r w:rsidR="00AB799B" w:rsidRPr="004E5334">
        <w:rPr>
          <w:rFonts w:cstheme="minorHAnsi"/>
        </w:rPr>
        <w:t>(</w:t>
      </w:r>
      <w:r w:rsidR="00B1052C" w:rsidRPr="004E5334">
        <w:rPr>
          <w:rFonts w:cstheme="minorHAnsi"/>
        </w:rPr>
        <w:t xml:space="preserve">for </w:t>
      </w:r>
      <w:r w:rsidR="00AB799B" w:rsidRPr="004E5334">
        <w:rPr>
          <w:rFonts w:cstheme="minorHAnsi"/>
        </w:rPr>
        <w:t>acquiring</w:t>
      </w:r>
      <w:r w:rsidR="00B1052C" w:rsidRPr="004E5334">
        <w:rPr>
          <w:rFonts w:cstheme="minorHAnsi"/>
        </w:rPr>
        <w:t xml:space="preserve"> resources sequestered in trees</w:t>
      </w:r>
      <w:r w:rsidR="00AB799B" w:rsidRPr="004E5334">
        <w:rPr>
          <w:rFonts w:cstheme="minorHAnsi"/>
        </w:rPr>
        <w:t>)</w:t>
      </w:r>
      <w:r w:rsidR="00B1052C" w:rsidRPr="004E5334">
        <w:rPr>
          <w:rFonts w:cstheme="minorHAnsi"/>
        </w:rPr>
        <w:t xml:space="preserve"> and grinding stones </w:t>
      </w:r>
      <w:r w:rsidR="00AB799B" w:rsidRPr="004E5334">
        <w:rPr>
          <w:rFonts w:cstheme="minorHAnsi"/>
        </w:rPr>
        <w:t>(</w:t>
      </w:r>
      <w:r w:rsidR="00B1052C" w:rsidRPr="004E5334">
        <w:rPr>
          <w:rFonts w:cstheme="minorHAnsi"/>
        </w:rPr>
        <w:t xml:space="preserve">for processing of </w:t>
      </w:r>
      <w:r w:rsidR="001B596A" w:rsidRPr="004E5334">
        <w:rPr>
          <w:rFonts w:cstheme="minorHAnsi"/>
        </w:rPr>
        <w:t>labour-</w:t>
      </w:r>
      <w:r w:rsidR="00B1052C" w:rsidRPr="004E5334">
        <w:rPr>
          <w:rFonts w:cstheme="minorHAnsi"/>
        </w:rPr>
        <w:t xml:space="preserve">intensive </w:t>
      </w:r>
      <w:r w:rsidR="001B596A" w:rsidRPr="004E5334">
        <w:rPr>
          <w:rFonts w:cstheme="minorHAnsi"/>
        </w:rPr>
        <w:t xml:space="preserve">foods </w:t>
      </w:r>
      <w:r w:rsidR="00AB799B" w:rsidRPr="004E5334">
        <w:rPr>
          <w:rFonts w:cstheme="minorHAnsi"/>
        </w:rPr>
        <w:t>and for</w:t>
      </w:r>
      <w:r w:rsidR="001B596A" w:rsidRPr="004E5334">
        <w:rPr>
          <w:rFonts w:cstheme="minorHAnsi"/>
        </w:rPr>
        <w:t xml:space="preserve"> extracting pigment</w:t>
      </w:r>
      <w:r w:rsidR="00BD3C6D" w:rsidRPr="004E5334">
        <w:rPr>
          <w:rFonts w:cstheme="minorHAnsi"/>
        </w:rPr>
        <w:t xml:space="preserve"> powders</w:t>
      </w:r>
      <w:r w:rsidR="00AB799B" w:rsidRPr="004E5334">
        <w:rPr>
          <w:rFonts w:cstheme="minorHAnsi"/>
        </w:rPr>
        <w:t>)</w:t>
      </w:r>
      <w:r w:rsidR="00B1052C" w:rsidRPr="004E5334">
        <w:rPr>
          <w:rFonts w:cstheme="minorHAnsi"/>
        </w:rPr>
        <w:t>. The presence o</w:t>
      </w:r>
      <w:r w:rsidR="002A286E" w:rsidRPr="004E5334">
        <w:rPr>
          <w:rFonts w:cstheme="minorHAnsi"/>
        </w:rPr>
        <w:t>f possible point technology (as seen from abundant thinning flakes and tips of retouched convergent flakes</w:t>
      </w:r>
      <w:r w:rsidR="00FA73C2" w:rsidRPr="004E5334">
        <w:rPr>
          <w:rFonts w:cstheme="minorHAnsi"/>
        </w:rPr>
        <w:t xml:space="preserve"> in Phase 2</w:t>
      </w:r>
      <w:r w:rsidR="002A286E" w:rsidRPr="004E5334">
        <w:rPr>
          <w:rFonts w:cstheme="minorHAnsi"/>
        </w:rPr>
        <w:t>)</w:t>
      </w:r>
      <w:r w:rsidR="00AB799B" w:rsidRPr="004E5334">
        <w:rPr>
          <w:rFonts w:cstheme="minorHAnsi"/>
        </w:rPr>
        <w:t>,</w:t>
      </w:r>
      <w:r w:rsidR="002A286E" w:rsidRPr="004E5334">
        <w:rPr>
          <w:rFonts w:cstheme="minorHAnsi"/>
        </w:rPr>
        <w:t xml:space="preserve"> as well as faceted discoidal cores</w:t>
      </w:r>
      <w:r w:rsidR="00AB799B" w:rsidRPr="004E5334">
        <w:rPr>
          <w:rFonts w:cstheme="minorHAnsi"/>
        </w:rPr>
        <w:t>,</w:t>
      </w:r>
      <w:r w:rsidR="002A286E" w:rsidRPr="004E5334">
        <w:rPr>
          <w:rFonts w:cstheme="minorHAnsi"/>
        </w:rPr>
        <w:t xml:space="preserve"> also </w:t>
      </w:r>
      <w:r w:rsidR="00AB799B" w:rsidRPr="004E5334">
        <w:rPr>
          <w:rFonts w:cstheme="minorHAnsi"/>
        </w:rPr>
        <w:t xml:space="preserve">harks </w:t>
      </w:r>
      <w:r w:rsidR="002A286E" w:rsidRPr="004E5334">
        <w:rPr>
          <w:rFonts w:cstheme="minorHAnsi"/>
        </w:rPr>
        <w:t xml:space="preserve">beyond our region </w:t>
      </w:r>
      <w:r w:rsidR="001B596A" w:rsidRPr="004E5334">
        <w:rPr>
          <w:rFonts w:cstheme="minorHAnsi"/>
        </w:rPr>
        <w:t xml:space="preserve">back </w:t>
      </w:r>
      <w:r w:rsidR="002A286E" w:rsidRPr="004E5334">
        <w:rPr>
          <w:rFonts w:cstheme="minorHAnsi"/>
        </w:rPr>
        <w:t xml:space="preserve">to the </w:t>
      </w:r>
      <w:r w:rsidR="00AB799B" w:rsidRPr="004E5334">
        <w:rPr>
          <w:rFonts w:cstheme="minorHAnsi"/>
        </w:rPr>
        <w:t>Middle Stone Age (</w:t>
      </w:r>
      <w:r w:rsidR="002A286E" w:rsidRPr="004E5334">
        <w:rPr>
          <w:rFonts w:cstheme="minorHAnsi"/>
        </w:rPr>
        <w:t>MSA</w:t>
      </w:r>
      <w:r w:rsidR="00AB799B" w:rsidRPr="004E5334">
        <w:rPr>
          <w:rFonts w:cstheme="minorHAnsi"/>
        </w:rPr>
        <w:t>)</w:t>
      </w:r>
      <w:r w:rsidR="002A286E" w:rsidRPr="004E5334">
        <w:rPr>
          <w:rFonts w:cstheme="minorHAnsi"/>
        </w:rPr>
        <w:t xml:space="preserve"> of Africa, </w:t>
      </w:r>
      <w:r w:rsidR="00AB799B" w:rsidRPr="004E5334">
        <w:rPr>
          <w:rFonts w:cstheme="minorHAnsi"/>
        </w:rPr>
        <w:t xml:space="preserve">the </w:t>
      </w:r>
      <w:r w:rsidR="002A286E" w:rsidRPr="004E5334">
        <w:rPr>
          <w:rFonts w:cstheme="minorHAnsi"/>
        </w:rPr>
        <w:t>Levant, Arabia and India</w:t>
      </w:r>
      <w:r w:rsidR="00AB799B" w:rsidRPr="004E5334">
        <w:rPr>
          <w:rFonts w:cstheme="minorHAnsi"/>
        </w:rPr>
        <w:t>,</w:t>
      </w:r>
      <w:r w:rsidR="002A286E" w:rsidRPr="004E5334">
        <w:rPr>
          <w:rFonts w:cstheme="minorHAnsi"/>
        </w:rPr>
        <w:t xml:space="preserve"> w</w:t>
      </w:r>
      <w:r w:rsidR="001B596A" w:rsidRPr="004E5334">
        <w:rPr>
          <w:rFonts w:cstheme="minorHAnsi"/>
        </w:rPr>
        <w:t>h</w:t>
      </w:r>
      <w:r w:rsidR="002A286E" w:rsidRPr="004E5334">
        <w:rPr>
          <w:rFonts w:cstheme="minorHAnsi"/>
        </w:rPr>
        <w:t xml:space="preserve">ere such technologies are the mainstay of </w:t>
      </w:r>
      <w:r w:rsidR="001B596A" w:rsidRPr="004E5334">
        <w:rPr>
          <w:rFonts w:cstheme="minorHAnsi"/>
        </w:rPr>
        <w:t xml:space="preserve">modern </w:t>
      </w:r>
      <w:r w:rsidR="002A286E" w:rsidRPr="004E5334">
        <w:rPr>
          <w:rFonts w:cstheme="minorHAnsi"/>
        </w:rPr>
        <w:t>humans living 50</w:t>
      </w:r>
      <w:r w:rsidR="00AB799B" w:rsidRPr="004E5334">
        <w:rPr>
          <w:rFonts w:cstheme="minorHAnsi"/>
        </w:rPr>
        <w:t>–</w:t>
      </w:r>
      <w:r w:rsidR="002A286E" w:rsidRPr="004E5334">
        <w:rPr>
          <w:rFonts w:cstheme="minorHAnsi"/>
        </w:rPr>
        <w:t>100</w:t>
      </w:r>
      <w:r w:rsidR="00AB799B" w:rsidRPr="004E5334">
        <w:rPr>
          <w:rFonts w:cstheme="minorHAnsi"/>
        </w:rPr>
        <w:t xml:space="preserve"> </w:t>
      </w:r>
      <w:r w:rsidR="002A286E" w:rsidRPr="004E5334">
        <w:rPr>
          <w:rFonts w:cstheme="minorHAnsi"/>
        </w:rPr>
        <w:t>ka (Clarkson 201</w:t>
      </w:r>
      <w:r w:rsidRPr="004E5334">
        <w:rPr>
          <w:rFonts w:cstheme="minorHAnsi"/>
        </w:rPr>
        <w:t>4</w:t>
      </w:r>
      <w:r w:rsidR="002A286E" w:rsidRPr="004E5334">
        <w:rPr>
          <w:rFonts w:cstheme="minorHAnsi"/>
        </w:rPr>
        <w:t>).</w:t>
      </w:r>
      <w:r w:rsidR="001B596A" w:rsidRPr="004E5334">
        <w:rPr>
          <w:rFonts w:cstheme="minorHAnsi"/>
        </w:rPr>
        <w:t xml:space="preserve"> It is tempting</w:t>
      </w:r>
      <w:r w:rsidR="00AB799B" w:rsidRPr="004E5334">
        <w:rPr>
          <w:rFonts w:cstheme="minorHAnsi"/>
        </w:rPr>
        <w:t>, therefore,</w:t>
      </w:r>
      <w:r w:rsidR="001B596A" w:rsidRPr="004E5334">
        <w:rPr>
          <w:rFonts w:cstheme="minorHAnsi"/>
        </w:rPr>
        <w:t xml:space="preserve"> to see the </w:t>
      </w:r>
      <w:r w:rsidR="00FA73C2" w:rsidRPr="004E5334">
        <w:rPr>
          <w:rFonts w:cstheme="minorHAnsi"/>
        </w:rPr>
        <w:t xml:space="preserve">early </w:t>
      </w:r>
      <w:r w:rsidR="001B596A" w:rsidRPr="004E5334">
        <w:rPr>
          <w:rFonts w:cstheme="minorHAnsi"/>
        </w:rPr>
        <w:t xml:space="preserve">Madjedbebe assemblage as a final stage in </w:t>
      </w:r>
      <w:r w:rsidR="00FA73C2" w:rsidRPr="004E5334">
        <w:rPr>
          <w:rFonts w:cstheme="minorHAnsi"/>
        </w:rPr>
        <w:t>the</w:t>
      </w:r>
      <w:r w:rsidR="001B596A" w:rsidRPr="004E5334">
        <w:rPr>
          <w:rFonts w:cstheme="minorHAnsi"/>
        </w:rPr>
        <w:t xml:space="preserve"> chain of technological transmission</w:t>
      </w:r>
      <w:r w:rsidR="00AB799B" w:rsidRPr="004E5334">
        <w:rPr>
          <w:rFonts w:cstheme="minorHAnsi"/>
        </w:rPr>
        <w:t>,</w:t>
      </w:r>
      <w:r w:rsidR="001B596A" w:rsidRPr="004E5334">
        <w:rPr>
          <w:rFonts w:cstheme="minorHAnsi"/>
        </w:rPr>
        <w:t xml:space="preserve"> as early colonists blazed </w:t>
      </w:r>
      <w:r w:rsidR="00AB799B" w:rsidRPr="004E5334">
        <w:rPr>
          <w:rFonts w:cstheme="minorHAnsi"/>
        </w:rPr>
        <w:t xml:space="preserve">a trail </w:t>
      </w:r>
      <w:r w:rsidR="001B596A" w:rsidRPr="004E5334">
        <w:rPr>
          <w:rFonts w:cstheme="minorHAnsi"/>
        </w:rPr>
        <w:t>eastward through</w:t>
      </w:r>
      <w:r w:rsidR="00AB799B" w:rsidRPr="004E5334">
        <w:rPr>
          <w:rFonts w:cstheme="minorHAnsi"/>
        </w:rPr>
        <w:t xml:space="preserve"> Island Southeast Asia</w:t>
      </w:r>
      <w:r w:rsidR="001B596A" w:rsidRPr="004E5334">
        <w:rPr>
          <w:rFonts w:cstheme="minorHAnsi"/>
        </w:rPr>
        <w:t xml:space="preserve"> </w:t>
      </w:r>
      <w:r w:rsidR="00AB799B" w:rsidRPr="004E5334">
        <w:rPr>
          <w:rFonts w:cstheme="minorHAnsi"/>
        </w:rPr>
        <w:t>(</w:t>
      </w:r>
      <w:r w:rsidR="001B596A" w:rsidRPr="004E5334">
        <w:rPr>
          <w:rFonts w:cstheme="minorHAnsi"/>
        </w:rPr>
        <w:t>ISEA</w:t>
      </w:r>
      <w:r w:rsidR="00AB799B" w:rsidRPr="004E5334">
        <w:rPr>
          <w:rFonts w:cstheme="minorHAnsi"/>
        </w:rPr>
        <w:t>)</w:t>
      </w:r>
      <w:r w:rsidR="001B596A" w:rsidRPr="004E5334">
        <w:rPr>
          <w:rFonts w:cstheme="minorHAnsi"/>
        </w:rPr>
        <w:t xml:space="preserve"> </w:t>
      </w:r>
      <w:r w:rsidR="00AB799B" w:rsidRPr="004E5334">
        <w:rPr>
          <w:rFonts w:cstheme="minorHAnsi"/>
        </w:rPr>
        <w:t>towards</w:t>
      </w:r>
      <w:r w:rsidR="001B596A" w:rsidRPr="004E5334">
        <w:rPr>
          <w:rFonts w:cstheme="minorHAnsi"/>
        </w:rPr>
        <w:t xml:space="preserve"> Australia. </w:t>
      </w:r>
      <w:r w:rsidR="00FA73C2" w:rsidRPr="004E5334">
        <w:rPr>
          <w:rFonts w:cstheme="minorHAnsi"/>
        </w:rPr>
        <w:t>Unfortunately</w:t>
      </w:r>
      <w:r w:rsidR="001B596A" w:rsidRPr="004E5334">
        <w:rPr>
          <w:rFonts w:cstheme="minorHAnsi"/>
        </w:rPr>
        <w:t>, no</w:t>
      </w:r>
      <w:r w:rsidR="00FA73C2" w:rsidRPr="004E5334">
        <w:rPr>
          <w:rFonts w:cstheme="minorHAnsi"/>
        </w:rPr>
        <w:t>ne of the</w:t>
      </w:r>
      <w:r w:rsidR="001B596A" w:rsidRPr="004E5334">
        <w:rPr>
          <w:rFonts w:cstheme="minorHAnsi"/>
        </w:rPr>
        <w:t xml:space="preserve"> </w:t>
      </w:r>
      <w:r w:rsidR="00AB799B" w:rsidRPr="004E5334">
        <w:rPr>
          <w:rFonts w:cstheme="minorHAnsi"/>
        </w:rPr>
        <w:t xml:space="preserve">sites with </w:t>
      </w:r>
      <w:r w:rsidR="001B596A" w:rsidRPr="004E5334">
        <w:rPr>
          <w:rFonts w:cstheme="minorHAnsi"/>
        </w:rPr>
        <w:t xml:space="preserve">modern human </w:t>
      </w:r>
      <w:r w:rsidR="00AB799B" w:rsidRPr="004E5334">
        <w:rPr>
          <w:rFonts w:cstheme="minorHAnsi"/>
        </w:rPr>
        <w:t xml:space="preserve">fossils </w:t>
      </w:r>
      <w:r w:rsidR="001B596A" w:rsidRPr="004E5334">
        <w:rPr>
          <w:rFonts w:cstheme="minorHAnsi"/>
        </w:rPr>
        <w:t>dated</w:t>
      </w:r>
      <w:r w:rsidR="00FA73C2" w:rsidRPr="004E5334">
        <w:rPr>
          <w:rFonts w:cstheme="minorHAnsi"/>
        </w:rPr>
        <w:t xml:space="preserve"> ≥6</w:t>
      </w:r>
      <w:r w:rsidR="001B596A" w:rsidRPr="004E5334">
        <w:rPr>
          <w:rFonts w:cstheme="minorHAnsi"/>
        </w:rPr>
        <w:t>5</w:t>
      </w:r>
      <w:r w:rsidR="00FA73C2" w:rsidRPr="004E5334">
        <w:rPr>
          <w:rFonts w:cstheme="minorHAnsi"/>
        </w:rPr>
        <w:t xml:space="preserve"> </w:t>
      </w:r>
      <w:r w:rsidR="001B596A" w:rsidRPr="004E5334">
        <w:rPr>
          <w:rFonts w:cstheme="minorHAnsi"/>
        </w:rPr>
        <w:t>ka</w:t>
      </w:r>
      <w:r w:rsidR="00FA73C2" w:rsidRPr="004E5334">
        <w:rPr>
          <w:rFonts w:cstheme="minorHAnsi"/>
        </w:rPr>
        <w:t xml:space="preserve"> </w:t>
      </w:r>
      <w:r w:rsidR="001B596A" w:rsidRPr="004E5334">
        <w:rPr>
          <w:rFonts w:cstheme="minorHAnsi"/>
        </w:rPr>
        <w:t xml:space="preserve">in ISEA </w:t>
      </w:r>
      <w:r w:rsidR="00FA73C2" w:rsidRPr="004E5334">
        <w:rPr>
          <w:rFonts w:cstheme="minorHAnsi"/>
        </w:rPr>
        <w:t>and</w:t>
      </w:r>
      <w:r w:rsidR="001B596A" w:rsidRPr="004E5334">
        <w:rPr>
          <w:rFonts w:cstheme="minorHAnsi"/>
        </w:rPr>
        <w:t xml:space="preserve"> mainland Asia</w:t>
      </w:r>
      <w:r w:rsidR="00FA73C2" w:rsidRPr="004E5334">
        <w:rPr>
          <w:rFonts w:cstheme="minorHAnsi"/>
        </w:rPr>
        <w:t xml:space="preserve"> contain artefact assemblages with which to test this hypothesis</w:t>
      </w:r>
      <w:r w:rsidR="007D170B" w:rsidRPr="004E5334">
        <w:rPr>
          <w:rFonts w:cstheme="minorHAnsi"/>
        </w:rPr>
        <w:t xml:space="preserve"> of a MSA-like </w:t>
      </w:r>
      <w:r w:rsidR="00562B4E" w:rsidRPr="004E5334">
        <w:rPr>
          <w:rFonts w:cstheme="minorHAnsi"/>
        </w:rPr>
        <w:t xml:space="preserve">colonising </w:t>
      </w:r>
      <w:r w:rsidR="007D170B" w:rsidRPr="004E5334">
        <w:rPr>
          <w:rFonts w:cstheme="minorHAnsi"/>
        </w:rPr>
        <w:t>toolkit</w:t>
      </w:r>
      <w:r w:rsidR="00FA73C2" w:rsidRPr="004E5334">
        <w:rPr>
          <w:rFonts w:cstheme="minorHAnsi"/>
        </w:rPr>
        <w:t xml:space="preserve"> (</w:t>
      </w:r>
      <w:r w:rsidR="007D170B" w:rsidRPr="004E5334">
        <w:rPr>
          <w:rFonts w:cstheme="minorHAnsi"/>
        </w:rPr>
        <w:t>Liu et al. 2015; Westaway et al. 2017</w:t>
      </w:r>
      <w:r w:rsidR="00FA73C2" w:rsidRPr="004E5334">
        <w:rPr>
          <w:rFonts w:cstheme="minorHAnsi"/>
        </w:rPr>
        <w:t>).</w:t>
      </w:r>
    </w:p>
    <w:p w14:paraId="43E011E0" w14:textId="4681F3B7" w:rsidR="006D7A21" w:rsidRPr="004E5334" w:rsidRDefault="006D7A21" w:rsidP="005A7DD0">
      <w:pPr>
        <w:rPr>
          <w:rFonts w:cstheme="minorHAnsi"/>
        </w:rPr>
      </w:pPr>
      <w:r w:rsidRPr="004E5334">
        <w:rPr>
          <w:rFonts w:cstheme="minorHAnsi"/>
        </w:rPr>
        <w:t xml:space="preserve">Finally, </w:t>
      </w:r>
      <w:r w:rsidR="00B1052C" w:rsidRPr="004E5334">
        <w:rPr>
          <w:rFonts w:cstheme="minorHAnsi"/>
        </w:rPr>
        <w:t xml:space="preserve">first occupation of Australia by </w:t>
      </w:r>
      <w:r w:rsidR="00E92727" w:rsidRPr="004E5334">
        <w:rPr>
          <w:rFonts w:cstheme="minorHAnsi"/>
        </w:rPr>
        <w:t xml:space="preserve">c. </w:t>
      </w:r>
      <w:r w:rsidR="00B1052C" w:rsidRPr="004E5334">
        <w:rPr>
          <w:rFonts w:cstheme="minorHAnsi"/>
        </w:rPr>
        <w:t>65 k</w:t>
      </w:r>
      <w:r w:rsidR="00C176B7" w:rsidRPr="004E5334">
        <w:rPr>
          <w:rFonts w:cstheme="minorHAnsi"/>
        </w:rPr>
        <w:t>a</w:t>
      </w:r>
      <w:r w:rsidR="00B1052C" w:rsidRPr="004E5334">
        <w:rPr>
          <w:rFonts w:cstheme="minorHAnsi"/>
        </w:rPr>
        <w:t xml:space="preserve"> fits </w:t>
      </w:r>
      <w:r w:rsidR="00E92727" w:rsidRPr="004E5334">
        <w:rPr>
          <w:rFonts w:cstheme="minorHAnsi"/>
        </w:rPr>
        <w:t xml:space="preserve">comfortably </w:t>
      </w:r>
      <w:r w:rsidR="00B1052C" w:rsidRPr="004E5334">
        <w:rPr>
          <w:rFonts w:cstheme="minorHAnsi"/>
        </w:rPr>
        <w:t xml:space="preserve">within the confidence intervals </w:t>
      </w:r>
      <w:r w:rsidR="005C3CFF" w:rsidRPr="004E5334">
        <w:rPr>
          <w:rFonts w:cstheme="minorHAnsi"/>
        </w:rPr>
        <w:t>of 51</w:t>
      </w:r>
      <w:r w:rsidR="00E92727" w:rsidRPr="004E5334">
        <w:rPr>
          <w:rFonts w:cstheme="minorHAnsi"/>
        </w:rPr>
        <w:t>–</w:t>
      </w:r>
      <w:r w:rsidR="005C3CFF" w:rsidRPr="004E5334">
        <w:rPr>
          <w:rFonts w:cstheme="minorHAnsi"/>
        </w:rPr>
        <w:t>7</w:t>
      </w:r>
      <w:r w:rsidR="005C45FB" w:rsidRPr="004E5334">
        <w:rPr>
          <w:rFonts w:cstheme="minorHAnsi"/>
        </w:rPr>
        <w:t>2</w:t>
      </w:r>
      <w:r w:rsidR="005C3CFF" w:rsidRPr="004E5334">
        <w:rPr>
          <w:rFonts w:cstheme="minorHAnsi"/>
        </w:rPr>
        <w:t xml:space="preserve"> ka </w:t>
      </w:r>
      <w:r w:rsidR="00B1052C" w:rsidRPr="004E5334">
        <w:rPr>
          <w:rFonts w:cstheme="minorHAnsi"/>
        </w:rPr>
        <w:t>for</w:t>
      </w:r>
      <w:r w:rsidR="005C3CFF" w:rsidRPr="004E5334">
        <w:rPr>
          <w:rFonts w:cstheme="minorHAnsi"/>
        </w:rPr>
        <w:t xml:space="preserve"> the</w:t>
      </w:r>
      <w:r w:rsidR="00B1052C" w:rsidRPr="004E5334">
        <w:rPr>
          <w:rFonts w:cstheme="minorHAnsi"/>
        </w:rPr>
        <w:t xml:space="preserve"> genetic </w:t>
      </w:r>
      <w:r w:rsidR="005C3CFF" w:rsidRPr="004E5334">
        <w:rPr>
          <w:rFonts w:cstheme="minorHAnsi"/>
        </w:rPr>
        <w:t xml:space="preserve">split </w:t>
      </w:r>
      <w:r w:rsidR="00E92727" w:rsidRPr="004E5334">
        <w:rPr>
          <w:rFonts w:cstheme="minorHAnsi"/>
        </w:rPr>
        <w:t xml:space="preserve">of </w:t>
      </w:r>
      <w:r w:rsidR="005C3CFF" w:rsidRPr="004E5334">
        <w:rPr>
          <w:rFonts w:cstheme="minorHAnsi"/>
        </w:rPr>
        <w:t xml:space="preserve">Australians and Papua New Guineans from </w:t>
      </w:r>
      <w:r w:rsidR="00E92727" w:rsidRPr="004E5334">
        <w:rPr>
          <w:rFonts w:cstheme="minorHAnsi"/>
        </w:rPr>
        <w:t>their Eurasian ancestors</w:t>
      </w:r>
      <w:r w:rsidR="00D34916" w:rsidRPr="004E5334">
        <w:rPr>
          <w:rFonts w:cstheme="minorHAnsi"/>
        </w:rPr>
        <w:t xml:space="preserve"> (</w:t>
      </w:r>
      <w:r w:rsidR="00615E7B" w:rsidRPr="004E5334">
        <w:rPr>
          <w:rFonts w:cstheme="minorHAnsi"/>
        </w:rPr>
        <w:t xml:space="preserve">Dortch and Malaspinas, 2017; </w:t>
      </w:r>
      <w:r w:rsidR="005C45FB" w:rsidRPr="004E5334">
        <w:rPr>
          <w:rFonts w:cstheme="minorHAnsi"/>
        </w:rPr>
        <w:t>M</w:t>
      </w:r>
      <w:r w:rsidR="00615E7B" w:rsidRPr="004E5334">
        <w:rPr>
          <w:rFonts w:cstheme="minorHAnsi"/>
        </w:rPr>
        <w:t>alaspinas et al. 2016</w:t>
      </w:r>
      <w:r w:rsidR="00D34916" w:rsidRPr="004E5334">
        <w:rPr>
          <w:rFonts w:cstheme="minorHAnsi"/>
        </w:rPr>
        <w:t>)</w:t>
      </w:r>
      <w:r w:rsidR="00E92727" w:rsidRPr="004E5334">
        <w:rPr>
          <w:rFonts w:cstheme="minorHAnsi"/>
        </w:rPr>
        <w:t xml:space="preserve"> </w:t>
      </w:r>
      <w:r w:rsidR="005C3CFF" w:rsidRPr="004E5334">
        <w:rPr>
          <w:rFonts w:cstheme="minorHAnsi"/>
        </w:rPr>
        <w:t>and</w:t>
      </w:r>
      <w:r w:rsidR="00B1052C" w:rsidRPr="004E5334">
        <w:rPr>
          <w:rFonts w:cstheme="minorHAnsi"/>
        </w:rPr>
        <w:t xml:space="preserve"> </w:t>
      </w:r>
      <w:r w:rsidR="00D34916" w:rsidRPr="004E5334">
        <w:rPr>
          <w:rFonts w:cstheme="minorHAnsi"/>
        </w:rPr>
        <w:t xml:space="preserve">with genetic and fossil evidence for </w:t>
      </w:r>
      <w:r w:rsidR="00B1052C" w:rsidRPr="004E5334">
        <w:rPr>
          <w:rFonts w:cstheme="minorHAnsi"/>
        </w:rPr>
        <w:t xml:space="preserve">the </w:t>
      </w:r>
      <w:r w:rsidR="005C3CFF" w:rsidRPr="004E5334">
        <w:rPr>
          <w:rFonts w:cstheme="minorHAnsi"/>
        </w:rPr>
        <w:t xml:space="preserve">dispersal of modern humans </w:t>
      </w:r>
      <w:r w:rsidR="007D170B" w:rsidRPr="004E5334">
        <w:rPr>
          <w:rFonts w:cstheme="minorHAnsi"/>
        </w:rPr>
        <w:t>into Asia</w:t>
      </w:r>
      <w:r w:rsidR="00E92727" w:rsidRPr="004E5334">
        <w:rPr>
          <w:rFonts w:cstheme="minorHAnsi"/>
        </w:rPr>
        <w:t xml:space="preserve"> at least</w:t>
      </w:r>
      <w:r w:rsidR="007D170B" w:rsidRPr="004E5334">
        <w:rPr>
          <w:rFonts w:cstheme="minorHAnsi"/>
        </w:rPr>
        <w:t xml:space="preserve"> 62</w:t>
      </w:r>
      <w:r w:rsidR="00E92727" w:rsidRPr="004E5334">
        <w:rPr>
          <w:rFonts w:cstheme="minorHAnsi"/>
        </w:rPr>
        <w:t>–</w:t>
      </w:r>
      <w:r w:rsidR="007D170B" w:rsidRPr="004E5334">
        <w:rPr>
          <w:rFonts w:cstheme="minorHAnsi"/>
        </w:rPr>
        <w:t xml:space="preserve">75 ka </w:t>
      </w:r>
      <w:r w:rsidR="00E92727" w:rsidRPr="004E5334">
        <w:rPr>
          <w:rFonts w:cstheme="minorHAnsi"/>
        </w:rPr>
        <w:t xml:space="preserve">ago </w:t>
      </w:r>
      <w:r w:rsidR="007D170B" w:rsidRPr="004E5334">
        <w:rPr>
          <w:rFonts w:cstheme="minorHAnsi"/>
        </w:rPr>
        <w:t>(</w:t>
      </w:r>
      <w:r w:rsidR="00A10143" w:rsidRPr="004E5334">
        <w:rPr>
          <w:rFonts w:cstheme="minorHAnsi"/>
        </w:rPr>
        <w:t xml:space="preserve">Bae et al. 2018; Hershkovitz et al. 2018; </w:t>
      </w:r>
      <w:r w:rsidR="00615E7B" w:rsidRPr="004E5334">
        <w:rPr>
          <w:rFonts w:cstheme="minorHAnsi"/>
        </w:rPr>
        <w:t xml:space="preserve">Liu et al. 2015; Nielsen et al. 2017; </w:t>
      </w:r>
      <w:r w:rsidR="00A10143" w:rsidRPr="004E5334">
        <w:rPr>
          <w:rFonts w:cstheme="minorHAnsi"/>
        </w:rPr>
        <w:t xml:space="preserve">Pagani et al. 2016; Rabett 2018; </w:t>
      </w:r>
      <w:r w:rsidR="007D170B" w:rsidRPr="004E5334">
        <w:rPr>
          <w:rFonts w:cstheme="minorHAnsi"/>
        </w:rPr>
        <w:t>Rasmussen et al. 2011</w:t>
      </w:r>
      <w:r w:rsidR="00D34916" w:rsidRPr="004E5334">
        <w:rPr>
          <w:rFonts w:cstheme="minorHAnsi"/>
        </w:rPr>
        <w:t>;</w:t>
      </w:r>
      <w:r w:rsidR="00E92727" w:rsidRPr="004E5334">
        <w:rPr>
          <w:rFonts w:cstheme="minorHAnsi"/>
        </w:rPr>
        <w:t xml:space="preserve"> Westaway et al. 2017</w:t>
      </w:r>
      <w:r w:rsidR="00D34916" w:rsidRPr="004E5334">
        <w:rPr>
          <w:rFonts w:cstheme="minorHAnsi"/>
        </w:rPr>
        <w:t>)</w:t>
      </w:r>
      <w:r w:rsidR="00B1052C" w:rsidRPr="004E5334">
        <w:rPr>
          <w:rFonts w:cstheme="minorHAnsi"/>
        </w:rPr>
        <w:t>. Several</w:t>
      </w:r>
      <w:r w:rsidR="005C3CFF" w:rsidRPr="004E5334">
        <w:rPr>
          <w:rFonts w:cstheme="minorHAnsi"/>
        </w:rPr>
        <w:t xml:space="preserve"> </w:t>
      </w:r>
      <w:r w:rsidR="00B1052C" w:rsidRPr="004E5334">
        <w:rPr>
          <w:rFonts w:cstheme="minorHAnsi"/>
        </w:rPr>
        <w:t xml:space="preserve">recent studies of the mitochondrial and nuclear DNA of recent and living Aboriginal Australians have yielded estimates of the time to the most recent common ancestor of Aboriginal Australians </w:t>
      </w:r>
      <w:r w:rsidR="00C44891" w:rsidRPr="004E5334">
        <w:rPr>
          <w:rFonts w:cstheme="minorHAnsi"/>
        </w:rPr>
        <w:t>(Bergstrom et al. 2016; Malaspinas et al. 2016; Nagle et al. 2017; Tobler et al. 2017). The uncertainties</w:t>
      </w:r>
      <w:r w:rsidR="00B1052C" w:rsidRPr="004E5334">
        <w:rPr>
          <w:rFonts w:cstheme="minorHAnsi"/>
        </w:rPr>
        <w:t xml:space="preserve"> o</w:t>
      </w:r>
      <w:r w:rsidR="005443CE" w:rsidRPr="004E5334">
        <w:rPr>
          <w:rFonts w:cstheme="minorHAnsi"/>
        </w:rPr>
        <w:t>f</w:t>
      </w:r>
      <w:r w:rsidR="00C44891" w:rsidRPr="004E5334">
        <w:rPr>
          <w:rFonts w:cstheme="minorHAnsi"/>
        </w:rPr>
        <w:t xml:space="preserve"> these</w:t>
      </w:r>
      <w:r w:rsidR="00B1052C" w:rsidRPr="004E5334">
        <w:rPr>
          <w:rFonts w:cstheme="minorHAnsi"/>
        </w:rPr>
        <w:t xml:space="preserve"> </w:t>
      </w:r>
      <w:r w:rsidR="00C44891" w:rsidRPr="004E5334">
        <w:rPr>
          <w:rFonts w:cstheme="minorHAnsi"/>
        </w:rPr>
        <w:t xml:space="preserve">genetic clocks </w:t>
      </w:r>
      <w:r w:rsidR="0095108A" w:rsidRPr="004E5334">
        <w:rPr>
          <w:rFonts w:cstheme="minorHAnsi"/>
        </w:rPr>
        <w:t xml:space="preserve">associated with mutation rate and generation interval </w:t>
      </w:r>
      <w:r w:rsidR="00C44891" w:rsidRPr="004E5334">
        <w:rPr>
          <w:rFonts w:cstheme="minorHAnsi"/>
        </w:rPr>
        <w:t xml:space="preserve">may be on the order of ± 30% at the 95.4% confidence interval (Fu </w:t>
      </w:r>
      <w:r w:rsidR="00C44891" w:rsidRPr="004E5334">
        <w:rPr>
          <w:rFonts w:cstheme="minorHAnsi"/>
          <w:i/>
        </w:rPr>
        <w:t>et al</w:t>
      </w:r>
      <w:r w:rsidR="00C44891" w:rsidRPr="004E5334">
        <w:rPr>
          <w:rFonts w:cstheme="minorHAnsi"/>
        </w:rPr>
        <w:t xml:space="preserve">., 2014; Mallick </w:t>
      </w:r>
      <w:r w:rsidR="00C44891" w:rsidRPr="004E5334">
        <w:rPr>
          <w:rFonts w:cstheme="minorHAnsi"/>
          <w:i/>
        </w:rPr>
        <w:t>et al</w:t>
      </w:r>
      <w:r w:rsidR="00C44891" w:rsidRPr="004E5334">
        <w:rPr>
          <w:rFonts w:cstheme="minorHAnsi"/>
        </w:rPr>
        <w:t xml:space="preserve">., 2016). If these uncertainties are taken </w:t>
      </w:r>
      <w:r w:rsidR="00B1052C" w:rsidRPr="004E5334">
        <w:rPr>
          <w:rFonts w:cstheme="minorHAnsi"/>
        </w:rPr>
        <w:t xml:space="preserve">into account, </w:t>
      </w:r>
      <w:r w:rsidR="0095108A" w:rsidRPr="004E5334">
        <w:rPr>
          <w:rFonts w:cstheme="minorHAnsi"/>
        </w:rPr>
        <w:t xml:space="preserve">then </w:t>
      </w:r>
      <w:r w:rsidR="00B1052C" w:rsidRPr="004E5334">
        <w:rPr>
          <w:rFonts w:cstheme="minorHAnsi"/>
        </w:rPr>
        <w:t xml:space="preserve">all current genetic </w:t>
      </w:r>
      <w:r w:rsidR="0095108A" w:rsidRPr="004E5334">
        <w:rPr>
          <w:rFonts w:cstheme="minorHAnsi"/>
        </w:rPr>
        <w:t xml:space="preserve">age </w:t>
      </w:r>
      <w:r w:rsidR="00B1052C" w:rsidRPr="004E5334">
        <w:rPr>
          <w:rFonts w:cstheme="minorHAnsi"/>
        </w:rPr>
        <w:t xml:space="preserve">estimates for the </w:t>
      </w:r>
      <w:r w:rsidR="0095108A" w:rsidRPr="004E5334">
        <w:rPr>
          <w:rFonts w:cstheme="minorHAnsi"/>
        </w:rPr>
        <w:t xml:space="preserve">first </w:t>
      </w:r>
      <w:r w:rsidR="00B1052C" w:rsidRPr="004E5334">
        <w:rPr>
          <w:rFonts w:cstheme="minorHAnsi"/>
        </w:rPr>
        <w:t>Aboriginal Australian</w:t>
      </w:r>
      <w:r w:rsidR="0095108A" w:rsidRPr="004E5334">
        <w:rPr>
          <w:rFonts w:cstheme="minorHAnsi"/>
        </w:rPr>
        <w:t>s</w:t>
      </w:r>
      <w:r w:rsidR="00B1052C" w:rsidRPr="004E5334">
        <w:rPr>
          <w:rFonts w:cstheme="minorHAnsi"/>
        </w:rPr>
        <w:t xml:space="preserve"> are consistent with an age of </w:t>
      </w:r>
      <w:r w:rsidR="00476EFB" w:rsidRPr="004E5334">
        <w:rPr>
          <w:rFonts w:cstheme="minorHAnsi"/>
        </w:rPr>
        <w:t xml:space="preserve">c. </w:t>
      </w:r>
      <w:r w:rsidR="00B1052C" w:rsidRPr="004E5334">
        <w:rPr>
          <w:rFonts w:cstheme="minorHAnsi"/>
        </w:rPr>
        <w:t>65 ka for</w:t>
      </w:r>
      <w:r w:rsidR="00476EFB" w:rsidRPr="004E5334">
        <w:rPr>
          <w:rFonts w:cstheme="minorHAnsi"/>
        </w:rPr>
        <w:t xml:space="preserve"> modern humans at </w:t>
      </w:r>
      <w:r w:rsidR="00B1052C" w:rsidRPr="004E5334">
        <w:rPr>
          <w:rFonts w:cstheme="minorHAnsi"/>
        </w:rPr>
        <w:t>Madjedbebe.</w:t>
      </w:r>
      <w:r w:rsidR="008C78A8" w:rsidRPr="004E5334">
        <w:rPr>
          <w:rFonts w:cstheme="minorHAnsi"/>
        </w:rPr>
        <w:t xml:space="preserve"> </w:t>
      </w:r>
      <w:r w:rsidR="00476EFB" w:rsidRPr="004E5334">
        <w:rPr>
          <w:rFonts w:cstheme="minorHAnsi"/>
        </w:rPr>
        <w:t xml:space="preserve">The latter is </w:t>
      </w:r>
      <w:r w:rsidR="0095108A" w:rsidRPr="004E5334">
        <w:rPr>
          <w:rFonts w:cstheme="minorHAnsi"/>
        </w:rPr>
        <w:t>also</w:t>
      </w:r>
      <w:r w:rsidR="00476EFB" w:rsidRPr="004E5334">
        <w:rPr>
          <w:rFonts w:cstheme="minorHAnsi"/>
        </w:rPr>
        <w:t xml:space="preserve"> compatible with genetic estimates of </w:t>
      </w:r>
      <w:r w:rsidR="0095108A" w:rsidRPr="004E5334">
        <w:rPr>
          <w:rFonts w:cstheme="minorHAnsi"/>
        </w:rPr>
        <w:t xml:space="preserve">the time of incorporation of </w:t>
      </w:r>
      <w:r w:rsidR="008C78A8" w:rsidRPr="004E5334">
        <w:rPr>
          <w:rFonts w:cstheme="minorHAnsi"/>
        </w:rPr>
        <w:t xml:space="preserve">Neanderthal </w:t>
      </w:r>
      <w:r w:rsidR="0095108A" w:rsidRPr="004E5334">
        <w:rPr>
          <w:rFonts w:cstheme="minorHAnsi"/>
        </w:rPr>
        <w:t xml:space="preserve">genes </w:t>
      </w:r>
      <w:r w:rsidR="006F6779" w:rsidRPr="004E5334">
        <w:rPr>
          <w:rFonts w:cstheme="minorHAnsi"/>
        </w:rPr>
        <w:t xml:space="preserve">into the </w:t>
      </w:r>
      <w:r w:rsidR="008C78A8" w:rsidRPr="004E5334">
        <w:rPr>
          <w:rFonts w:cstheme="minorHAnsi"/>
        </w:rPr>
        <w:t>modern human</w:t>
      </w:r>
      <w:r w:rsidR="006F6779" w:rsidRPr="004E5334">
        <w:rPr>
          <w:rFonts w:cstheme="minorHAnsi"/>
        </w:rPr>
        <w:t xml:space="preserve"> genome</w:t>
      </w:r>
      <w:r w:rsidR="005C45FB" w:rsidRPr="004E5334">
        <w:rPr>
          <w:rFonts w:cstheme="minorHAnsi"/>
        </w:rPr>
        <w:t xml:space="preserve">, </w:t>
      </w:r>
      <w:r w:rsidR="006F6779" w:rsidRPr="004E5334">
        <w:rPr>
          <w:rFonts w:cstheme="minorHAnsi"/>
        </w:rPr>
        <w:t xml:space="preserve">and vice versa, </w:t>
      </w:r>
      <w:r w:rsidR="005C45FB" w:rsidRPr="004E5334">
        <w:rPr>
          <w:rFonts w:cstheme="minorHAnsi"/>
        </w:rPr>
        <w:t>which</w:t>
      </w:r>
      <w:r w:rsidR="008C78A8" w:rsidRPr="004E5334">
        <w:rPr>
          <w:rFonts w:cstheme="minorHAnsi"/>
        </w:rPr>
        <w:t xml:space="preserve"> </w:t>
      </w:r>
      <w:r w:rsidR="005C45FB" w:rsidRPr="004E5334">
        <w:rPr>
          <w:rFonts w:cstheme="minorHAnsi"/>
        </w:rPr>
        <w:t xml:space="preserve">are </w:t>
      </w:r>
      <w:r w:rsidR="008C78A8" w:rsidRPr="004E5334">
        <w:rPr>
          <w:rFonts w:cstheme="minorHAnsi"/>
        </w:rPr>
        <w:t>constrained to no better than 37–86 ka (</w:t>
      </w:r>
      <w:r w:rsidR="0095108A" w:rsidRPr="004E5334">
        <w:rPr>
          <w:rFonts w:cstheme="minorHAnsi"/>
        </w:rPr>
        <w:t xml:space="preserve">Sankararaman et al. 2012; </w:t>
      </w:r>
      <w:r w:rsidR="008C78A8" w:rsidRPr="004E5334">
        <w:rPr>
          <w:rFonts w:cstheme="minorHAnsi"/>
        </w:rPr>
        <w:t>Bae  et al. 2017)</w:t>
      </w:r>
      <w:r w:rsidR="0095108A" w:rsidRPr="004E5334">
        <w:rPr>
          <w:rFonts w:cstheme="minorHAnsi"/>
        </w:rPr>
        <w:t xml:space="preserve"> and possibly much earlier (</w:t>
      </w:r>
      <w:r w:rsidR="008C78A8" w:rsidRPr="004E5334">
        <w:rPr>
          <w:rFonts w:cstheme="minorHAnsi"/>
        </w:rPr>
        <w:t>Prüfer et al. 2017).</w:t>
      </w:r>
    </w:p>
    <w:p w14:paraId="061A985E" w14:textId="1C2FAF77" w:rsidR="006D7A21" w:rsidRPr="004E5334" w:rsidRDefault="006F6779" w:rsidP="005A7DD0">
      <w:pPr>
        <w:rPr>
          <w:rFonts w:cstheme="minorHAnsi"/>
        </w:rPr>
      </w:pPr>
      <w:r w:rsidRPr="004E5334">
        <w:rPr>
          <w:rFonts w:cstheme="minorHAnsi"/>
        </w:rPr>
        <w:t xml:space="preserve">The age of c. 65 ka for first occupation of Madjedbebe opens up several new lines of enquiry into the history of </w:t>
      </w:r>
      <w:r w:rsidR="00534A70" w:rsidRPr="004E5334">
        <w:rPr>
          <w:rFonts w:cstheme="minorHAnsi"/>
        </w:rPr>
        <w:t>the human colonisation of Australia</w:t>
      </w:r>
      <w:r w:rsidRPr="004E5334">
        <w:rPr>
          <w:rFonts w:cstheme="minorHAnsi"/>
        </w:rPr>
        <w:t xml:space="preserve">. </w:t>
      </w:r>
      <w:r w:rsidR="006D7A21" w:rsidRPr="004E5334">
        <w:rPr>
          <w:rFonts w:cstheme="minorHAnsi"/>
        </w:rPr>
        <w:t>The search is on</w:t>
      </w:r>
      <w:r w:rsidR="00562B4E" w:rsidRPr="004E5334">
        <w:rPr>
          <w:rFonts w:cstheme="minorHAnsi"/>
        </w:rPr>
        <w:t xml:space="preserve"> </w:t>
      </w:r>
      <w:r w:rsidR="006D7A21" w:rsidRPr="004E5334">
        <w:rPr>
          <w:rFonts w:cstheme="minorHAnsi"/>
        </w:rPr>
        <w:t xml:space="preserve">for other </w:t>
      </w:r>
      <w:r w:rsidR="00534A70" w:rsidRPr="004E5334">
        <w:rPr>
          <w:rFonts w:cstheme="minorHAnsi"/>
        </w:rPr>
        <w:t xml:space="preserve">sites that are similarly </w:t>
      </w:r>
      <w:r w:rsidRPr="004E5334">
        <w:rPr>
          <w:rFonts w:cstheme="minorHAnsi"/>
        </w:rPr>
        <w:t>early</w:t>
      </w:r>
      <w:r w:rsidR="00534A70" w:rsidRPr="004E5334">
        <w:rPr>
          <w:rFonts w:cstheme="minorHAnsi"/>
        </w:rPr>
        <w:t>,</w:t>
      </w:r>
      <w:r w:rsidRPr="004E5334">
        <w:rPr>
          <w:rFonts w:cstheme="minorHAnsi"/>
        </w:rPr>
        <w:t xml:space="preserve"> </w:t>
      </w:r>
      <w:r w:rsidR="00534A70" w:rsidRPr="004E5334">
        <w:rPr>
          <w:rFonts w:cstheme="minorHAnsi"/>
        </w:rPr>
        <w:t>or even earlier,</w:t>
      </w:r>
      <w:r w:rsidRPr="004E5334">
        <w:rPr>
          <w:rFonts w:cstheme="minorHAnsi"/>
        </w:rPr>
        <w:t xml:space="preserve"> as well </w:t>
      </w:r>
      <w:r w:rsidR="00534A70" w:rsidRPr="004E5334">
        <w:rPr>
          <w:rFonts w:cstheme="minorHAnsi"/>
        </w:rPr>
        <w:t>as sites that can</w:t>
      </w:r>
      <w:r w:rsidRPr="004E5334">
        <w:rPr>
          <w:rFonts w:cstheme="minorHAnsi"/>
        </w:rPr>
        <w:t xml:space="preserve"> close</w:t>
      </w:r>
      <w:r w:rsidR="00534A70" w:rsidRPr="004E5334">
        <w:rPr>
          <w:rFonts w:cstheme="minorHAnsi"/>
        </w:rPr>
        <w:t xml:space="preserve"> the </w:t>
      </w:r>
      <w:r w:rsidR="00280926" w:rsidRPr="004E5334">
        <w:t xml:space="preserve">c. 5,000–15,000 </w:t>
      </w:r>
      <w:r w:rsidR="00534A70" w:rsidRPr="004E5334">
        <w:rPr>
          <w:rFonts w:cstheme="minorHAnsi"/>
        </w:rPr>
        <w:t>year gap between the oldest Phase 2 artefacts at Madjedbebe and the earliest artefacts reported elsewhere</w:t>
      </w:r>
      <w:r w:rsidR="006D7A21" w:rsidRPr="004E5334">
        <w:rPr>
          <w:rFonts w:cstheme="minorHAnsi"/>
        </w:rPr>
        <w:t xml:space="preserve">. Nauwalabila </w:t>
      </w:r>
      <w:r w:rsidR="00534A70" w:rsidRPr="004E5334">
        <w:rPr>
          <w:rFonts w:cstheme="minorHAnsi"/>
        </w:rPr>
        <w:t xml:space="preserve">I (Roberts et al. 1994) </w:t>
      </w:r>
      <w:r w:rsidR="006D7A21" w:rsidRPr="004E5334">
        <w:rPr>
          <w:rFonts w:cstheme="minorHAnsi"/>
        </w:rPr>
        <w:t xml:space="preserve">remains </w:t>
      </w:r>
      <w:r w:rsidR="00534A70" w:rsidRPr="004E5334">
        <w:rPr>
          <w:rFonts w:cstheme="minorHAnsi"/>
        </w:rPr>
        <w:t>a prospective</w:t>
      </w:r>
      <w:r w:rsidR="006D7A21" w:rsidRPr="004E5334">
        <w:rPr>
          <w:rFonts w:cstheme="minorHAnsi"/>
        </w:rPr>
        <w:t xml:space="preserve"> candidate</w:t>
      </w:r>
      <w:r w:rsidR="008C78A8" w:rsidRPr="004E5334">
        <w:rPr>
          <w:rFonts w:cstheme="minorHAnsi"/>
        </w:rPr>
        <w:t xml:space="preserve"> </w:t>
      </w:r>
      <w:r w:rsidR="00534A70" w:rsidRPr="004E5334">
        <w:rPr>
          <w:rFonts w:cstheme="minorHAnsi"/>
        </w:rPr>
        <w:t>for</w:t>
      </w:r>
      <w:r w:rsidR="006D7A21" w:rsidRPr="004E5334">
        <w:rPr>
          <w:rFonts w:cstheme="minorHAnsi"/>
        </w:rPr>
        <w:t xml:space="preserve"> </w:t>
      </w:r>
      <w:r w:rsidR="00534A70" w:rsidRPr="004E5334">
        <w:rPr>
          <w:rFonts w:cstheme="minorHAnsi"/>
        </w:rPr>
        <w:t xml:space="preserve">further </w:t>
      </w:r>
      <w:r w:rsidR="006D7A21" w:rsidRPr="004E5334">
        <w:rPr>
          <w:rFonts w:cstheme="minorHAnsi"/>
        </w:rPr>
        <w:t>work</w:t>
      </w:r>
      <w:r w:rsidR="00534A70" w:rsidRPr="004E5334">
        <w:rPr>
          <w:rFonts w:cstheme="minorHAnsi"/>
        </w:rPr>
        <w:t>, which</w:t>
      </w:r>
      <w:r w:rsidR="006D7A21" w:rsidRPr="004E5334">
        <w:rPr>
          <w:rFonts w:cstheme="minorHAnsi"/>
        </w:rPr>
        <w:t xml:space="preserve"> is in progress. Likewise, we </w:t>
      </w:r>
      <w:r w:rsidR="00534A70" w:rsidRPr="004E5334">
        <w:rPr>
          <w:rFonts w:cstheme="minorHAnsi"/>
        </w:rPr>
        <w:t xml:space="preserve">have begun an intensive program of exploration </w:t>
      </w:r>
      <w:r w:rsidR="006D7A21" w:rsidRPr="004E5334">
        <w:rPr>
          <w:rFonts w:cstheme="minorHAnsi"/>
        </w:rPr>
        <w:t xml:space="preserve">around Madjedbebe for </w:t>
      </w:r>
      <w:r w:rsidR="00534A70" w:rsidRPr="004E5334">
        <w:rPr>
          <w:rFonts w:cstheme="minorHAnsi"/>
        </w:rPr>
        <w:t xml:space="preserve">sites with </w:t>
      </w:r>
      <w:r w:rsidR="006D7A21" w:rsidRPr="004E5334">
        <w:rPr>
          <w:rFonts w:cstheme="minorHAnsi"/>
        </w:rPr>
        <w:t xml:space="preserve">equivalent sequences and ages. </w:t>
      </w:r>
      <w:r w:rsidR="00F0595B" w:rsidRPr="004E5334">
        <w:rPr>
          <w:rFonts w:cstheme="minorHAnsi"/>
        </w:rPr>
        <w:t xml:space="preserve">These are important steps to assess the </w:t>
      </w:r>
      <w:r w:rsidR="00D127A2" w:rsidRPr="004E5334">
        <w:rPr>
          <w:rFonts w:cstheme="minorHAnsi"/>
        </w:rPr>
        <w:t xml:space="preserve">empirical </w:t>
      </w:r>
      <w:r w:rsidR="00F0595B" w:rsidRPr="004E5334">
        <w:rPr>
          <w:rFonts w:cstheme="minorHAnsi"/>
        </w:rPr>
        <w:t>reproducibility of our results from Madjedbebe. As Allen (2017) notes, reproducibility of results is a ‘fundamental cornerstone of the scientific</w:t>
      </w:r>
      <w:r w:rsidR="00D127A2" w:rsidRPr="004E5334">
        <w:rPr>
          <w:rFonts w:cstheme="minorHAnsi"/>
        </w:rPr>
        <w:t xml:space="preserve"> method</w:t>
      </w:r>
      <w:r w:rsidR="00F0595B" w:rsidRPr="004E5334">
        <w:rPr>
          <w:rFonts w:cstheme="minorHAnsi"/>
        </w:rPr>
        <w:t xml:space="preserve">’, and one </w:t>
      </w:r>
      <w:r w:rsidR="00D127A2" w:rsidRPr="004E5334">
        <w:rPr>
          <w:rFonts w:cstheme="minorHAnsi"/>
        </w:rPr>
        <w:t xml:space="preserve">major </w:t>
      </w:r>
      <w:r w:rsidR="00F0595B" w:rsidRPr="004E5334">
        <w:rPr>
          <w:rFonts w:cstheme="minorHAnsi"/>
        </w:rPr>
        <w:t xml:space="preserve">commitment we have made to this is to openly share many of the raw data files and code </w:t>
      </w:r>
      <w:r w:rsidR="00D127A2" w:rsidRPr="004E5334">
        <w:rPr>
          <w:rFonts w:cstheme="minorHAnsi"/>
        </w:rPr>
        <w:t xml:space="preserve">from our analysis to enable others to inspect the details of our claims. </w:t>
      </w:r>
      <w:r w:rsidR="007F0D16" w:rsidRPr="004E5334">
        <w:rPr>
          <w:rFonts w:cstheme="minorHAnsi"/>
        </w:rPr>
        <w:t>S</w:t>
      </w:r>
      <w:r w:rsidR="006D7A21" w:rsidRPr="004E5334">
        <w:rPr>
          <w:rFonts w:cstheme="minorHAnsi"/>
        </w:rPr>
        <w:t xml:space="preserve">ignificant effort </w:t>
      </w:r>
      <w:r w:rsidR="007F0D16" w:rsidRPr="004E5334">
        <w:rPr>
          <w:rFonts w:cstheme="minorHAnsi"/>
        </w:rPr>
        <w:t>must now be</w:t>
      </w:r>
      <w:r w:rsidR="006D7A21" w:rsidRPr="004E5334">
        <w:rPr>
          <w:rFonts w:cstheme="minorHAnsi"/>
        </w:rPr>
        <w:t xml:space="preserve"> invested in generating detailed and robust chronologies </w:t>
      </w:r>
      <w:r w:rsidR="007F0D16" w:rsidRPr="004E5334">
        <w:rPr>
          <w:rFonts w:cstheme="minorHAnsi"/>
        </w:rPr>
        <w:t xml:space="preserve">across northern Australia </w:t>
      </w:r>
      <w:r w:rsidR="006D7A21" w:rsidRPr="004E5334">
        <w:rPr>
          <w:rFonts w:cstheme="minorHAnsi"/>
        </w:rPr>
        <w:t xml:space="preserve">based on OSL and other techniques capable of extending beyond the </w:t>
      </w:r>
      <w:r w:rsidR="00AF4D3A" w:rsidRPr="004E5334">
        <w:rPr>
          <w:rFonts w:cstheme="minorHAnsi"/>
          <w:vertAlign w:val="superscript"/>
        </w:rPr>
        <w:t>14</w:t>
      </w:r>
      <w:r w:rsidR="00AF4D3A" w:rsidRPr="004E5334">
        <w:rPr>
          <w:rFonts w:cstheme="minorHAnsi"/>
        </w:rPr>
        <w:t xml:space="preserve">C </w:t>
      </w:r>
      <w:r w:rsidR="006D7A21" w:rsidRPr="004E5334">
        <w:rPr>
          <w:rFonts w:cstheme="minorHAnsi"/>
        </w:rPr>
        <w:t>barrier</w:t>
      </w:r>
      <w:r w:rsidR="007F0D16" w:rsidRPr="004E5334">
        <w:rPr>
          <w:rFonts w:cstheme="minorHAnsi"/>
        </w:rPr>
        <w:t xml:space="preserve">, coupled with site formation and artefact provenance analyses. As Hiscock </w:t>
      </w:r>
      <w:r w:rsidR="00534A70" w:rsidRPr="004E5334">
        <w:rPr>
          <w:rFonts w:cstheme="minorHAnsi"/>
        </w:rPr>
        <w:t xml:space="preserve">(2017) </w:t>
      </w:r>
      <w:r w:rsidR="007F0D16" w:rsidRPr="004E5334">
        <w:rPr>
          <w:rFonts w:cstheme="minorHAnsi"/>
        </w:rPr>
        <w:t>argues, only then</w:t>
      </w:r>
      <w:r w:rsidR="006D7A21" w:rsidRPr="004E5334">
        <w:rPr>
          <w:rFonts w:cstheme="minorHAnsi"/>
        </w:rPr>
        <w:t xml:space="preserve"> will we be in a position to reflect on whether we have truly discovered the oldest sites in Australia.</w:t>
      </w:r>
    </w:p>
    <w:p w14:paraId="45540765" w14:textId="77777777" w:rsidR="00795745" w:rsidRPr="004E5334" w:rsidRDefault="00795745" w:rsidP="002C6FA2">
      <w:pPr>
        <w:spacing w:after="0" w:line="240" w:lineRule="auto"/>
      </w:pPr>
    </w:p>
    <w:p w14:paraId="4317ED43" w14:textId="77777777" w:rsidR="00F852BF" w:rsidRPr="004E5334" w:rsidRDefault="00F852BF">
      <w:pPr>
        <w:rPr>
          <w:b/>
        </w:rPr>
      </w:pPr>
      <w:r w:rsidRPr="004E5334">
        <w:rPr>
          <w:b/>
        </w:rPr>
        <w:br w:type="page"/>
      </w:r>
    </w:p>
    <w:p w14:paraId="43AC7ED7" w14:textId="6D146948" w:rsidR="008F52C8" w:rsidRPr="004E5334" w:rsidRDefault="005C3CFF" w:rsidP="0041186A">
      <w:pPr>
        <w:rPr>
          <w:b/>
        </w:rPr>
      </w:pPr>
      <w:r w:rsidRPr="004E5334">
        <w:rPr>
          <w:b/>
        </w:rPr>
        <w:t>References</w:t>
      </w:r>
    </w:p>
    <w:p w14:paraId="41BFD44D" w14:textId="2E12AB53" w:rsidR="003074A3" w:rsidRPr="004E5334" w:rsidRDefault="00B566B7" w:rsidP="00D5094B">
      <w:pPr>
        <w:spacing w:after="0"/>
        <w:ind w:left="567" w:hanging="567"/>
        <w:rPr>
          <w:rFonts w:cs="Arial"/>
          <w:color w:val="222222"/>
          <w:shd w:val="clear" w:color="auto" w:fill="FFFFFF"/>
        </w:rPr>
      </w:pPr>
      <w:r w:rsidRPr="004E5334">
        <w:rPr>
          <w:rFonts w:cs="Arial"/>
          <w:color w:val="222222"/>
          <w:shd w:val="clear" w:color="auto" w:fill="FFFFFF"/>
        </w:rPr>
        <w:t>Allen, J.</w:t>
      </w:r>
      <w:r w:rsidR="00082652" w:rsidRPr="004E5334">
        <w:rPr>
          <w:rFonts w:cs="Arial"/>
          <w:color w:val="222222"/>
          <w:shd w:val="clear" w:color="auto" w:fill="FFFFFF"/>
        </w:rPr>
        <w:t xml:space="preserve"> 2017</w:t>
      </w:r>
      <w:r w:rsidR="003074A3" w:rsidRPr="004E5334">
        <w:rPr>
          <w:rFonts w:cs="Arial"/>
          <w:color w:val="222222"/>
          <w:shd w:val="clear" w:color="auto" w:fill="FFFFFF"/>
        </w:rPr>
        <w:t xml:space="preserve"> Yes, Virginia, there is a Santa Claus; He just doesn’t bring presents to children who don’t believe in him. </w:t>
      </w:r>
      <w:r w:rsidR="003074A3" w:rsidRPr="004E5334">
        <w:rPr>
          <w:rFonts w:cs="Arial"/>
          <w:i/>
          <w:iCs/>
          <w:color w:val="222222"/>
          <w:shd w:val="clear" w:color="auto" w:fill="FFFFFF"/>
        </w:rPr>
        <w:t>Australian Archaeology</w:t>
      </w:r>
      <w:r w:rsidR="003074A3" w:rsidRPr="004E5334">
        <w:rPr>
          <w:rFonts w:cs="Arial"/>
          <w:color w:val="222222"/>
          <w:shd w:val="clear" w:color="auto" w:fill="FFFFFF"/>
        </w:rPr>
        <w:t>, </w:t>
      </w:r>
      <w:r w:rsidR="003074A3" w:rsidRPr="004E5334">
        <w:rPr>
          <w:rFonts w:cs="Arial"/>
          <w:i/>
          <w:iCs/>
          <w:color w:val="222222"/>
          <w:shd w:val="clear" w:color="auto" w:fill="FFFFFF"/>
        </w:rPr>
        <w:t>83</w:t>
      </w:r>
      <w:r w:rsidR="003074A3" w:rsidRPr="004E5334">
        <w:rPr>
          <w:rFonts w:cs="Arial"/>
          <w:color w:val="222222"/>
          <w:shd w:val="clear" w:color="auto" w:fill="FFFFFF"/>
        </w:rPr>
        <w:t>(3)</w:t>
      </w:r>
      <w:r w:rsidRPr="004E5334">
        <w:rPr>
          <w:rFonts w:cs="Arial"/>
          <w:color w:val="222222"/>
          <w:shd w:val="clear" w:color="auto" w:fill="FFFFFF"/>
        </w:rPr>
        <w:t>:</w:t>
      </w:r>
      <w:r w:rsidR="003074A3" w:rsidRPr="004E5334">
        <w:rPr>
          <w:rFonts w:cs="Arial"/>
          <w:color w:val="222222"/>
          <w:shd w:val="clear" w:color="auto" w:fill="FFFFFF"/>
        </w:rPr>
        <w:t>163</w:t>
      </w:r>
      <w:r w:rsidRPr="004E5334">
        <w:rPr>
          <w:rFonts w:cs="Arial"/>
          <w:color w:val="222222"/>
          <w:shd w:val="clear" w:color="auto" w:fill="FFFFFF"/>
        </w:rPr>
        <w:softHyphen/>
      </w:r>
      <w:r w:rsidR="003074A3" w:rsidRPr="004E5334">
        <w:rPr>
          <w:rFonts w:cs="Arial"/>
          <w:color w:val="222222"/>
          <w:shd w:val="clear" w:color="auto" w:fill="FFFFFF"/>
        </w:rPr>
        <w:t>165.</w:t>
      </w:r>
    </w:p>
    <w:p w14:paraId="063BBB4B" w14:textId="6C89968E" w:rsidR="00D5094B" w:rsidRPr="004E5334" w:rsidRDefault="00D5094B" w:rsidP="00D5094B">
      <w:pPr>
        <w:spacing w:after="0"/>
        <w:ind w:left="567" w:hanging="567"/>
      </w:pPr>
      <w:r w:rsidRPr="004E5334">
        <w:t xml:space="preserve">Ascough, P.L., </w:t>
      </w:r>
      <w:r w:rsidR="00082652" w:rsidRPr="004E5334">
        <w:t xml:space="preserve">M.I. </w:t>
      </w:r>
      <w:r w:rsidRPr="004E5334">
        <w:t xml:space="preserve">Bird, </w:t>
      </w:r>
      <w:r w:rsidR="00082652" w:rsidRPr="004E5334">
        <w:t xml:space="preserve">S.M. </w:t>
      </w:r>
      <w:r w:rsidRPr="004E5334">
        <w:t xml:space="preserve">Francis, </w:t>
      </w:r>
      <w:r w:rsidR="00082652" w:rsidRPr="004E5334">
        <w:t xml:space="preserve">B. </w:t>
      </w:r>
      <w:r w:rsidRPr="004E5334">
        <w:t xml:space="preserve">Thornton, </w:t>
      </w:r>
      <w:r w:rsidR="00082652" w:rsidRPr="004E5334">
        <w:t xml:space="preserve">A.J. </w:t>
      </w:r>
      <w:r w:rsidRPr="004E5334">
        <w:t xml:space="preserve">Midwood, </w:t>
      </w:r>
      <w:r w:rsidR="00082652" w:rsidRPr="004E5334">
        <w:t xml:space="preserve">A.C. </w:t>
      </w:r>
      <w:r w:rsidRPr="004E5334">
        <w:t xml:space="preserve">Scott, </w:t>
      </w:r>
      <w:r w:rsidR="00082652" w:rsidRPr="004E5334">
        <w:t xml:space="preserve">D. </w:t>
      </w:r>
      <w:r w:rsidRPr="004E5334">
        <w:t>Apperl</w:t>
      </w:r>
      <w:r w:rsidR="00B566B7" w:rsidRPr="004E5334">
        <w:t>ey</w:t>
      </w:r>
      <w:r w:rsidRPr="004E5334">
        <w:t xml:space="preserve"> </w:t>
      </w:r>
      <w:r w:rsidR="00082652" w:rsidRPr="004E5334">
        <w:t>2011</w:t>
      </w:r>
      <w:r w:rsidRPr="004E5334">
        <w:t xml:space="preserve"> Variability in oxidative degradation of charcoal: Influence of production conditions and environmental exposure. </w:t>
      </w:r>
      <w:r w:rsidRPr="004E5334">
        <w:rPr>
          <w:i/>
        </w:rPr>
        <w:t>Geochimica et Cosmochimica Acta</w:t>
      </w:r>
      <w:r w:rsidRPr="004E5334">
        <w:t xml:space="preserve"> 75</w:t>
      </w:r>
      <w:r w:rsidR="00B566B7" w:rsidRPr="004E5334">
        <w:t>:</w:t>
      </w:r>
      <w:r w:rsidRPr="004E5334">
        <w:t>2361</w:t>
      </w:r>
      <w:r w:rsidR="00480B64" w:rsidRPr="004E5334">
        <w:t>–</w:t>
      </w:r>
      <w:r w:rsidR="00082652" w:rsidRPr="004E5334">
        <w:softHyphen/>
      </w:r>
      <w:r w:rsidRPr="004E5334">
        <w:t>2378.</w:t>
      </w:r>
    </w:p>
    <w:p w14:paraId="3C8CCE57" w14:textId="314E5482" w:rsidR="00D5094B" w:rsidRPr="004E5334" w:rsidRDefault="00D5094B" w:rsidP="00D5094B">
      <w:pPr>
        <w:spacing w:after="0" w:line="240" w:lineRule="auto"/>
        <w:ind w:left="567" w:hanging="567"/>
      </w:pPr>
      <w:r w:rsidRPr="004E5334">
        <w:t xml:space="preserve">Bae, C.J., </w:t>
      </w:r>
      <w:r w:rsidR="00B566B7" w:rsidRPr="004E5334">
        <w:t xml:space="preserve">K. </w:t>
      </w:r>
      <w:r w:rsidRPr="004E5334">
        <w:t>D</w:t>
      </w:r>
      <w:r w:rsidR="00234A6C" w:rsidRPr="004E5334">
        <w:t>ouka and</w:t>
      </w:r>
      <w:r w:rsidR="00A5278A" w:rsidRPr="004E5334">
        <w:t xml:space="preserve"> </w:t>
      </w:r>
      <w:r w:rsidR="00B566B7" w:rsidRPr="004E5334">
        <w:t>M.D. Petraglia</w:t>
      </w:r>
      <w:r w:rsidR="00A5278A" w:rsidRPr="004E5334">
        <w:t xml:space="preserve"> 2017</w:t>
      </w:r>
      <w:r w:rsidRPr="004E5334">
        <w:t xml:space="preserve"> On the origin of modern humans: Asian perspectives. </w:t>
      </w:r>
      <w:r w:rsidRPr="004E5334">
        <w:rPr>
          <w:i/>
        </w:rPr>
        <w:t>Science</w:t>
      </w:r>
      <w:r w:rsidRPr="004E5334">
        <w:t xml:space="preserve"> 358</w:t>
      </w:r>
      <w:r w:rsidR="00A5278A" w:rsidRPr="004E5334">
        <w:t>(6368)</w:t>
      </w:r>
      <w:r w:rsidRPr="004E5334">
        <w:t>, eaai9067.</w:t>
      </w:r>
    </w:p>
    <w:p w14:paraId="00D4ABE3" w14:textId="1790EBB7" w:rsidR="00D5094B" w:rsidRPr="004E5334" w:rsidRDefault="00D5094B" w:rsidP="00D5094B">
      <w:pPr>
        <w:spacing w:after="0"/>
        <w:ind w:left="567" w:hanging="567"/>
      </w:pPr>
      <w:r w:rsidRPr="004E5334">
        <w:rPr>
          <w:color w:val="222222"/>
        </w:rPr>
        <w:t xml:space="preserve">Bergström, A., </w:t>
      </w:r>
      <w:r w:rsidR="00B566B7" w:rsidRPr="004E5334">
        <w:rPr>
          <w:color w:val="222222"/>
        </w:rPr>
        <w:t xml:space="preserve">N. </w:t>
      </w:r>
      <w:r w:rsidRPr="004E5334">
        <w:rPr>
          <w:color w:val="222222"/>
        </w:rPr>
        <w:t xml:space="preserve">Nagle, </w:t>
      </w:r>
      <w:r w:rsidR="00B566B7" w:rsidRPr="004E5334">
        <w:rPr>
          <w:color w:val="222222"/>
        </w:rPr>
        <w:t xml:space="preserve">Y. </w:t>
      </w:r>
      <w:r w:rsidRPr="004E5334">
        <w:rPr>
          <w:color w:val="222222"/>
        </w:rPr>
        <w:t xml:space="preserve">Chen, </w:t>
      </w:r>
      <w:r w:rsidR="00B566B7" w:rsidRPr="004E5334">
        <w:rPr>
          <w:color w:val="222222"/>
        </w:rPr>
        <w:t xml:space="preserve">S. </w:t>
      </w:r>
      <w:r w:rsidRPr="004E5334">
        <w:rPr>
          <w:color w:val="222222"/>
        </w:rPr>
        <w:t xml:space="preserve">McCarthy, </w:t>
      </w:r>
      <w:r w:rsidR="00B566B7" w:rsidRPr="004E5334">
        <w:rPr>
          <w:color w:val="222222"/>
        </w:rPr>
        <w:t xml:space="preserve">M.O. </w:t>
      </w:r>
      <w:r w:rsidRPr="004E5334">
        <w:rPr>
          <w:color w:val="222222"/>
        </w:rPr>
        <w:t xml:space="preserve">Pollard, </w:t>
      </w:r>
      <w:r w:rsidR="00B566B7" w:rsidRPr="004E5334">
        <w:rPr>
          <w:color w:val="222222"/>
        </w:rPr>
        <w:t xml:space="preserve">Q. </w:t>
      </w:r>
      <w:r w:rsidRPr="004E5334">
        <w:rPr>
          <w:color w:val="222222"/>
        </w:rPr>
        <w:t xml:space="preserve">Ayub, </w:t>
      </w:r>
      <w:r w:rsidR="00B566B7" w:rsidRPr="004E5334">
        <w:rPr>
          <w:color w:val="222222"/>
        </w:rPr>
        <w:t xml:space="preserve">S. </w:t>
      </w:r>
      <w:r w:rsidRPr="004E5334">
        <w:rPr>
          <w:color w:val="222222"/>
        </w:rPr>
        <w:t xml:space="preserve">Wilcox, </w:t>
      </w:r>
      <w:r w:rsidR="00B566B7" w:rsidRPr="004E5334">
        <w:rPr>
          <w:color w:val="222222"/>
        </w:rPr>
        <w:t xml:space="preserve">L. </w:t>
      </w:r>
      <w:r w:rsidRPr="004E5334">
        <w:rPr>
          <w:color w:val="222222"/>
        </w:rPr>
        <w:t xml:space="preserve">Wilcox, </w:t>
      </w:r>
      <w:r w:rsidR="00B566B7" w:rsidRPr="004E5334">
        <w:rPr>
          <w:color w:val="222222"/>
        </w:rPr>
        <w:t xml:space="preserve">R.A. </w:t>
      </w:r>
      <w:r w:rsidRPr="004E5334">
        <w:rPr>
          <w:color w:val="222222"/>
        </w:rPr>
        <w:t xml:space="preserve">van Oorschot, </w:t>
      </w:r>
      <w:r w:rsidR="00B566B7" w:rsidRPr="004E5334">
        <w:rPr>
          <w:color w:val="222222"/>
        </w:rPr>
        <w:t>P. McAllister</w:t>
      </w:r>
      <w:r w:rsidRPr="004E5334">
        <w:rPr>
          <w:color w:val="222222"/>
        </w:rPr>
        <w:t xml:space="preserve"> and </w:t>
      </w:r>
      <w:r w:rsidR="00B566B7" w:rsidRPr="004E5334">
        <w:rPr>
          <w:color w:val="222222"/>
        </w:rPr>
        <w:t>L. Williams</w:t>
      </w:r>
      <w:r w:rsidRPr="004E5334">
        <w:rPr>
          <w:color w:val="222222"/>
        </w:rPr>
        <w:t xml:space="preserve"> </w:t>
      </w:r>
      <w:r w:rsidR="00B566B7" w:rsidRPr="004E5334">
        <w:rPr>
          <w:color w:val="222222"/>
        </w:rPr>
        <w:t>2016</w:t>
      </w:r>
      <w:r w:rsidRPr="004E5334">
        <w:rPr>
          <w:color w:val="222222"/>
        </w:rPr>
        <w:t xml:space="preserve"> Deep roots for Aboriginal Australian Y chromosomes. </w:t>
      </w:r>
      <w:r w:rsidRPr="004E5334">
        <w:rPr>
          <w:i/>
          <w:iCs/>
          <w:color w:val="222222"/>
        </w:rPr>
        <w:t>Current Biology</w:t>
      </w:r>
      <w:r w:rsidRPr="004E5334">
        <w:rPr>
          <w:color w:val="222222"/>
        </w:rPr>
        <w:t xml:space="preserve"> </w:t>
      </w:r>
      <w:r w:rsidRPr="004E5334">
        <w:rPr>
          <w:i/>
          <w:iCs/>
          <w:color w:val="222222"/>
        </w:rPr>
        <w:t>26</w:t>
      </w:r>
      <w:r w:rsidRPr="004E5334">
        <w:rPr>
          <w:color w:val="222222"/>
        </w:rPr>
        <w:t>(6)</w:t>
      </w:r>
      <w:r w:rsidR="00B566B7" w:rsidRPr="004E5334">
        <w:rPr>
          <w:color w:val="222222"/>
        </w:rPr>
        <w:t>:809–</w:t>
      </w:r>
      <w:r w:rsidRPr="004E5334">
        <w:rPr>
          <w:color w:val="222222"/>
        </w:rPr>
        <w:t>813.</w:t>
      </w:r>
    </w:p>
    <w:p w14:paraId="79D2D37E" w14:textId="3D99FDC3" w:rsidR="00D5094B" w:rsidRPr="004E5334" w:rsidRDefault="00D5094B" w:rsidP="00D5094B">
      <w:pPr>
        <w:spacing w:after="0"/>
        <w:ind w:left="567" w:hanging="567"/>
        <w:rPr>
          <w:color w:val="222222"/>
        </w:rPr>
      </w:pPr>
      <w:r w:rsidRPr="004E5334">
        <w:rPr>
          <w:color w:val="222222"/>
        </w:rPr>
        <w:t xml:space="preserve">Bird, M.I., </w:t>
      </w:r>
      <w:r w:rsidR="00480B64" w:rsidRPr="004E5334">
        <w:rPr>
          <w:color w:val="222222"/>
        </w:rPr>
        <w:t xml:space="preserve">C.S.M. </w:t>
      </w:r>
      <w:r w:rsidRPr="004E5334">
        <w:rPr>
          <w:color w:val="222222"/>
        </w:rPr>
        <w:t xml:space="preserve">Turney, </w:t>
      </w:r>
      <w:r w:rsidR="00480B64" w:rsidRPr="004E5334">
        <w:rPr>
          <w:color w:val="222222"/>
        </w:rPr>
        <w:t xml:space="preserve">L.K. </w:t>
      </w:r>
      <w:r w:rsidRPr="004E5334">
        <w:rPr>
          <w:color w:val="222222"/>
        </w:rPr>
        <w:t xml:space="preserve">Fifield, </w:t>
      </w:r>
      <w:r w:rsidR="00480B64" w:rsidRPr="004E5334">
        <w:rPr>
          <w:color w:val="222222"/>
        </w:rPr>
        <w:t xml:space="preserve">R. </w:t>
      </w:r>
      <w:r w:rsidRPr="004E5334">
        <w:rPr>
          <w:color w:val="222222"/>
        </w:rPr>
        <w:t xml:space="preserve">Jones, </w:t>
      </w:r>
      <w:r w:rsidR="00480B64" w:rsidRPr="004E5334">
        <w:rPr>
          <w:color w:val="222222"/>
        </w:rPr>
        <w:t xml:space="preserve">L.K. </w:t>
      </w:r>
      <w:r w:rsidRPr="004E5334">
        <w:rPr>
          <w:color w:val="222222"/>
        </w:rPr>
        <w:t xml:space="preserve">Ayliffe, </w:t>
      </w:r>
      <w:r w:rsidR="00480B64" w:rsidRPr="004E5334">
        <w:rPr>
          <w:color w:val="222222"/>
        </w:rPr>
        <w:t xml:space="preserve">A. Palmer, R. </w:t>
      </w:r>
      <w:r w:rsidRPr="004E5334">
        <w:rPr>
          <w:color w:val="222222"/>
        </w:rPr>
        <w:t>Cresswell</w:t>
      </w:r>
      <w:r w:rsidR="00480B64" w:rsidRPr="004E5334">
        <w:rPr>
          <w:color w:val="222222"/>
        </w:rPr>
        <w:t xml:space="preserve"> </w:t>
      </w:r>
      <w:r w:rsidRPr="004E5334">
        <w:rPr>
          <w:color w:val="222222"/>
        </w:rPr>
        <w:t xml:space="preserve">and </w:t>
      </w:r>
      <w:r w:rsidR="00480B64" w:rsidRPr="004E5334">
        <w:rPr>
          <w:color w:val="222222"/>
        </w:rPr>
        <w:t xml:space="preserve">S. </w:t>
      </w:r>
      <w:r w:rsidRPr="004E5334">
        <w:rPr>
          <w:color w:val="222222"/>
        </w:rPr>
        <w:t>Robertson</w:t>
      </w:r>
      <w:r w:rsidR="00480B64" w:rsidRPr="004E5334">
        <w:rPr>
          <w:color w:val="222222"/>
        </w:rPr>
        <w:t xml:space="preserve"> 2002</w:t>
      </w:r>
      <w:r w:rsidRPr="004E5334">
        <w:rPr>
          <w:color w:val="222222"/>
        </w:rPr>
        <w:t xml:space="preserve"> Radiocarbon analysis of the early archaeological site of Nauwalabila I, Arnhem Land, Australia: implications for sample suitability and stratigraphic integrity. </w:t>
      </w:r>
      <w:r w:rsidRPr="004E5334">
        <w:rPr>
          <w:i/>
          <w:iCs/>
          <w:color w:val="222222"/>
        </w:rPr>
        <w:t>Quaternary Science Reviews</w:t>
      </w:r>
      <w:r w:rsidRPr="004E5334">
        <w:rPr>
          <w:color w:val="222222"/>
        </w:rPr>
        <w:t xml:space="preserve"> </w:t>
      </w:r>
      <w:r w:rsidRPr="004E5334">
        <w:rPr>
          <w:iCs/>
          <w:color w:val="222222"/>
        </w:rPr>
        <w:t>21</w:t>
      </w:r>
      <w:r w:rsidR="00B566B7" w:rsidRPr="004E5334">
        <w:rPr>
          <w:color w:val="222222"/>
        </w:rPr>
        <w:t>(8</w:t>
      </w:r>
      <w:r w:rsidR="00B566B7" w:rsidRPr="004E5334">
        <w:rPr>
          <w:color w:val="222222"/>
        </w:rPr>
        <w:softHyphen/>
      </w:r>
      <w:r w:rsidRPr="004E5334">
        <w:rPr>
          <w:color w:val="222222"/>
        </w:rPr>
        <w:t>9)</w:t>
      </w:r>
      <w:r w:rsidR="00B566B7" w:rsidRPr="004E5334">
        <w:rPr>
          <w:color w:val="222222"/>
        </w:rPr>
        <w:t>:</w:t>
      </w:r>
      <w:r w:rsidR="00213967" w:rsidRPr="004E5334">
        <w:rPr>
          <w:color w:val="222222"/>
        </w:rPr>
        <w:t>1061–</w:t>
      </w:r>
      <w:r w:rsidRPr="004E5334">
        <w:rPr>
          <w:color w:val="222222"/>
        </w:rPr>
        <w:t>1075.</w:t>
      </w:r>
    </w:p>
    <w:p w14:paraId="2808732D" w14:textId="762025C5" w:rsidR="00D5094B" w:rsidRPr="004E5334" w:rsidRDefault="00D5094B" w:rsidP="00D5094B">
      <w:pPr>
        <w:spacing w:after="0"/>
        <w:ind w:left="567" w:hanging="567"/>
      </w:pPr>
      <w:r w:rsidRPr="004E5334">
        <w:t>Braadbaart</w:t>
      </w:r>
      <w:r w:rsidR="00405E61" w:rsidRPr="004E5334">
        <w:t xml:space="preserve"> F., I. </w:t>
      </w:r>
      <w:r w:rsidR="00CC76E8" w:rsidRPr="004E5334">
        <w:t xml:space="preserve">Poole and A.A. van Brussel 2009 </w:t>
      </w:r>
      <w:r w:rsidRPr="004E5334">
        <w:t xml:space="preserve">Preservation potential of charcoal in alkaline environments: an experimental approach and implications for the archaeological record. </w:t>
      </w:r>
      <w:r w:rsidRPr="004E5334">
        <w:rPr>
          <w:i/>
        </w:rPr>
        <w:t>Journal of Archaeological Science</w:t>
      </w:r>
      <w:r w:rsidR="00B566B7" w:rsidRPr="004E5334">
        <w:t xml:space="preserve"> 36:1672</w:t>
      </w:r>
      <w:r w:rsidR="00B566B7" w:rsidRPr="004E5334">
        <w:softHyphen/>
      </w:r>
      <w:r w:rsidR="00CC76E8" w:rsidRPr="004E5334">
        <w:t>–</w:t>
      </w:r>
      <w:r w:rsidRPr="004E5334">
        <w:t>1679.</w:t>
      </w:r>
    </w:p>
    <w:p w14:paraId="673741AA" w14:textId="7978BA30" w:rsidR="00D5094B" w:rsidRPr="004E5334" w:rsidRDefault="00405E61" w:rsidP="00D5094B">
      <w:pPr>
        <w:spacing w:after="0"/>
        <w:ind w:left="567" w:hanging="567"/>
      </w:pPr>
      <w:r w:rsidRPr="004E5334">
        <w:t>Cheng, C.-H. and</w:t>
      </w:r>
      <w:r w:rsidR="00D5094B" w:rsidRPr="004E5334">
        <w:t xml:space="preserve"> </w:t>
      </w:r>
      <w:r w:rsidRPr="004E5334">
        <w:t>J. Lehmann</w:t>
      </w:r>
      <w:r w:rsidR="00D5094B" w:rsidRPr="004E5334">
        <w:t xml:space="preserve"> </w:t>
      </w:r>
      <w:r w:rsidRPr="004E5334">
        <w:t>2009</w:t>
      </w:r>
      <w:r w:rsidR="00D5094B" w:rsidRPr="004E5334">
        <w:t xml:space="preserve"> Ageing of black carbon along a temperature gradient. </w:t>
      </w:r>
      <w:r w:rsidR="00D5094B" w:rsidRPr="004E5334">
        <w:rPr>
          <w:i/>
        </w:rPr>
        <w:t>Chemosphere</w:t>
      </w:r>
      <w:r w:rsidR="00D5094B" w:rsidRPr="004E5334">
        <w:t xml:space="preserve"> 75</w:t>
      </w:r>
      <w:r w:rsidR="006525D8" w:rsidRPr="004E5334">
        <w:t>(8):</w:t>
      </w:r>
      <w:r w:rsidR="00D5094B" w:rsidRPr="004E5334">
        <w:t>1021</w:t>
      </w:r>
      <w:r w:rsidR="00CC76E8" w:rsidRPr="004E5334">
        <w:t>–</w:t>
      </w:r>
      <w:r w:rsidR="006525D8" w:rsidRPr="004E5334">
        <w:softHyphen/>
      </w:r>
      <w:r w:rsidR="00D5094B" w:rsidRPr="004E5334">
        <w:t>1027.</w:t>
      </w:r>
    </w:p>
    <w:p w14:paraId="5F24D4D6" w14:textId="31AF4D16" w:rsidR="00082652" w:rsidRPr="004E5334" w:rsidRDefault="00846069" w:rsidP="00082652">
      <w:pPr>
        <w:tabs>
          <w:tab w:val="left" w:pos="142"/>
        </w:tabs>
        <w:autoSpaceDE w:val="0"/>
        <w:autoSpaceDN w:val="0"/>
        <w:adjustRightInd w:val="0"/>
        <w:spacing w:after="0" w:line="240" w:lineRule="auto"/>
        <w:ind w:left="567" w:hanging="567"/>
        <w:rPr>
          <w:color w:val="222222"/>
        </w:rPr>
      </w:pPr>
      <w:r w:rsidRPr="004E5334">
        <w:rPr>
          <w:rFonts w:cs="Arial"/>
          <w:color w:val="222222"/>
          <w:sz w:val="20"/>
          <w:szCs w:val="20"/>
          <w:shd w:val="clear" w:color="auto" w:fill="FFFFFF"/>
        </w:rPr>
        <w:t>Clarkson, C.</w:t>
      </w:r>
      <w:r w:rsidR="003074A3" w:rsidRPr="004E5334">
        <w:rPr>
          <w:rFonts w:cs="Arial"/>
          <w:color w:val="222222"/>
          <w:sz w:val="20"/>
          <w:szCs w:val="20"/>
          <w:shd w:val="clear" w:color="auto" w:fill="FFFFFF"/>
        </w:rPr>
        <w:t xml:space="preserve"> 2014. East of Eden: founder effects and the archaeological signature of modern human dispersal. </w:t>
      </w:r>
      <w:r w:rsidR="00405E61" w:rsidRPr="004E5334">
        <w:rPr>
          <w:rFonts w:cs="Arial"/>
          <w:color w:val="222222"/>
          <w:sz w:val="20"/>
          <w:szCs w:val="20"/>
          <w:shd w:val="clear" w:color="auto" w:fill="FFFFFF"/>
        </w:rPr>
        <w:t xml:space="preserve">In R. Dennell and M. Porr (eds) </w:t>
      </w:r>
      <w:r w:rsidR="003074A3" w:rsidRPr="004E5334">
        <w:rPr>
          <w:rFonts w:cs="Arial"/>
          <w:i/>
          <w:iCs/>
          <w:color w:val="222222"/>
          <w:sz w:val="20"/>
          <w:szCs w:val="20"/>
          <w:shd w:val="clear" w:color="auto" w:fill="FFFFFF"/>
        </w:rPr>
        <w:t xml:space="preserve">Southern Asia, Australia and the Search for Human Origins. </w:t>
      </w:r>
      <w:r w:rsidR="00CC76E8" w:rsidRPr="004E5334">
        <w:rPr>
          <w:rFonts w:cs="Arial"/>
          <w:color w:val="222222"/>
          <w:sz w:val="20"/>
          <w:szCs w:val="20"/>
          <w:shd w:val="clear" w:color="auto" w:fill="FFFFFF"/>
        </w:rPr>
        <w:t>pp.76–</w:t>
      </w:r>
      <w:r w:rsidR="00FF2EA6" w:rsidRPr="004E5334">
        <w:rPr>
          <w:rFonts w:cs="Arial"/>
          <w:color w:val="222222"/>
          <w:sz w:val="20"/>
          <w:szCs w:val="20"/>
          <w:shd w:val="clear" w:color="auto" w:fill="FFFFFF"/>
        </w:rPr>
        <w:t>89.</w:t>
      </w:r>
      <w:r w:rsidR="00FF2EA6" w:rsidRPr="004E5334">
        <w:rPr>
          <w:color w:val="222222"/>
        </w:rPr>
        <w:t xml:space="preserve"> </w:t>
      </w:r>
      <w:r w:rsidR="003074A3" w:rsidRPr="004E5334">
        <w:rPr>
          <w:rFonts w:cs="Arial"/>
          <w:iCs/>
          <w:color w:val="222222"/>
          <w:sz w:val="20"/>
          <w:szCs w:val="20"/>
          <w:shd w:val="clear" w:color="auto" w:fill="FFFFFF"/>
        </w:rPr>
        <w:t>Cambridge University Press, Cambridge</w:t>
      </w:r>
      <w:r w:rsidR="006525D8" w:rsidRPr="004E5334">
        <w:rPr>
          <w:rFonts w:cs="Arial"/>
          <w:color w:val="222222"/>
          <w:sz w:val="20"/>
          <w:szCs w:val="20"/>
          <w:shd w:val="clear" w:color="auto" w:fill="FFFFFF"/>
        </w:rPr>
        <w:t>.</w:t>
      </w:r>
    </w:p>
    <w:p w14:paraId="43B8D96D" w14:textId="2305FCEC" w:rsidR="00082652" w:rsidRPr="004E5334" w:rsidRDefault="00082652" w:rsidP="00082652">
      <w:pPr>
        <w:tabs>
          <w:tab w:val="left" w:pos="142"/>
        </w:tabs>
        <w:autoSpaceDE w:val="0"/>
        <w:autoSpaceDN w:val="0"/>
        <w:adjustRightInd w:val="0"/>
        <w:spacing w:after="0" w:line="240" w:lineRule="auto"/>
        <w:ind w:left="567" w:hanging="567"/>
        <w:rPr>
          <w:color w:val="222222"/>
        </w:rPr>
      </w:pPr>
      <w:r w:rsidRPr="004E5334">
        <w:rPr>
          <w:rFonts w:cs="Arial"/>
          <w:color w:val="222222"/>
          <w:sz w:val="20"/>
          <w:szCs w:val="20"/>
          <w:shd w:val="clear" w:color="auto" w:fill="FFFFFF"/>
          <w:lang w:val="en-US"/>
        </w:rPr>
        <w:t xml:space="preserve">Clarkson, C., Z. Jacobs, B. Marwick, R. Fullagar, L. Wallis, M. Smith, R.G. Roberts, E. Hayes, K. Lowe, X. Carah, S.A. Florin, J. McNeil, D. Cox, L.J. Arnold, Q. Hua, J. Huntley, H.E.A. Brandl, T. Manne, A. Fairbairn, J. Shulmeister, L. Lyle, M. Salinas, M. Page, K. Connell, G. Park, K. Norman, T. Murphy and C. Pardoe 2017 Human occupation of Northern Australia by 65,000 years ago. </w:t>
      </w:r>
      <w:r w:rsidRPr="004E5334">
        <w:rPr>
          <w:rFonts w:cs="Arial"/>
          <w:i/>
          <w:color w:val="222222"/>
          <w:sz w:val="20"/>
          <w:szCs w:val="20"/>
          <w:shd w:val="clear" w:color="auto" w:fill="FFFFFF"/>
          <w:lang w:val="en-US"/>
        </w:rPr>
        <w:t>Nature</w:t>
      </w:r>
      <w:r w:rsidRPr="004E5334">
        <w:rPr>
          <w:rFonts w:cs="Arial"/>
          <w:color w:val="222222"/>
          <w:sz w:val="20"/>
          <w:szCs w:val="20"/>
          <w:shd w:val="clear" w:color="auto" w:fill="FFFFFF"/>
          <w:lang w:val="en-US"/>
        </w:rPr>
        <w:t xml:space="preserve"> 547:306–310. (plus supplementary matter)</w:t>
      </w:r>
    </w:p>
    <w:p w14:paraId="7E05C0A3" w14:textId="55323807" w:rsidR="00D5094B" w:rsidRPr="004E5334" w:rsidRDefault="00D5094B" w:rsidP="00082652">
      <w:pPr>
        <w:tabs>
          <w:tab w:val="left" w:pos="142"/>
        </w:tabs>
        <w:autoSpaceDE w:val="0"/>
        <w:autoSpaceDN w:val="0"/>
        <w:adjustRightInd w:val="0"/>
        <w:spacing w:after="0" w:line="240" w:lineRule="auto"/>
        <w:ind w:left="567" w:hanging="567"/>
      </w:pPr>
      <w:r w:rsidRPr="004E5334">
        <w:rPr>
          <w:color w:val="222222"/>
        </w:rPr>
        <w:t xml:space="preserve">Dortch, J. and </w:t>
      </w:r>
      <w:r w:rsidR="00405E61" w:rsidRPr="004E5334">
        <w:rPr>
          <w:color w:val="222222"/>
        </w:rPr>
        <w:t>A.S. Malaspinas</w:t>
      </w:r>
      <w:r w:rsidRPr="004E5334">
        <w:rPr>
          <w:color w:val="222222"/>
        </w:rPr>
        <w:t xml:space="preserve"> </w:t>
      </w:r>
      <w:r w:rsidR="00405E61" w:rsidRPr="004E5334">
        <w:rPr>
          <w:color w:val="222222"/>
        </w:rPr>
        <w:t>2017</w:t>
      </w:r>
      <w:r w:rsidRPr="004E5334">
        <w:rPr>
          <w:color w:val="222222"/>
        </w:rPr>
        <w:t xml:space="preserve"> Madjedbebe and genomic histories of Aboriginal Australia. </w:t>
      </w:r>
      <w:r w:rsidRPr="004E5334">
        <w:rPr>
          <w:i/>
          <w:iCs/>
          <w:color w:val="222222"/>
        </w:rPr>
        <w:t>Australian Archaeology</w:t>
      </w:r>
      <w:r w:rsidR="00405E61" w:rsidRPr="004E5334">
        <w:rPr>
          <w:color w:val="222222"/>
        </w:rPr>
        <w:t xml:space="preserve"> 83(3):</w:t>
      </w:r>
      <w:r w:rsidRPr="004E5334">
        <w:rPr>
          <w:color w:val="222222"/>
        </w:rPr>
        <w:t>1</w:t>
      </w:r>
      <w:r w:rsidR="00405E61" w:rsidRPr="004E5334">
        <w:rPr>
          <w:color w:val="222222"/>
        </w:rPr>
        <w:t>74</w:t>
      </w:r>
      <w:r w:rsidR="00405E61" w:rsidRPr="004E5334">
        <w:rPr>
          <w:color w:val="222222"/>
        </w:rPr>
        <w:softHyphen/>
      </w:r>
      <w:r w:rsidR="00CC76E8" w:rsidRPr="004E5334">
        <w:rPr>
          <w:color w:val="222222"/>
        </w:rPr>
        <w:t>–</w:t>
      </w:r>
      <w:r w:rsidR="00405E61" w:rsidRPr="004E5334">
        <w:rPr>
          <w:color w:val="222222"/>
        </w:rPr>
        <w:t>177</w:t>
      </w:r>
      <w:r w:rsidRPr="004E5334">
        <w:rPr>
          <w:color w:val="222222"/>
        </w:rPr>
        <w:t>.</w:t>
      </w:r>
    </w:p>
    <w:p w14:paraId="7649DDA6" w14:textId="730FF468" w:rsidR="00D5094B" w:rsidRPr="004E5334" w:rsidRDefault="00D5094B" w:rsidP="00BE3A49">
      <w:pPr>
        <w:spacing w:after="0"/>
        <w:ind w:left="567" w:hanging="567"/>
        <w:rPr>
          <w:color w:val="222222"/>
          <w:lang w:val="en-US"/>
        </w:rPr>
      </w:pPr>
      <w:r w:rsidRPr="004E5334">
        <w:rPr>
          <w:color w:val="222222"/>
        </w:rPr>
        <w:t xml:space="preserve">Fu, Q., </w:t>
      </w:r>
      <w:r w:rsidR="000673A4" w:rsidRPr="004E5334">
        <w:rPr>
          <w:color w:val="222222"/>
        </w:rPr>
        <w:t xml:space="preserve">H. </w:t>
      </w:r>
      <w:r w:rsidRPr="004E5334">
        <w:rPr>
          <w:color w:val="222222"/>
        </w:rPr>
        <w:t xml:space="preserve">Li, </w:t>
      </w:r>
      <w:r w:rsidR="000673A4" w:rsidRPr="004E5334">
        <w:rPr>
          <w:color w:val="222222"/>
        </w:rPr>
        <w:t xml:space="preserve">P. </w:t>
      </w:r>
      <w:r w:rsidRPr="004E5334">
        <w:rPr>
          <w:color w:val="222222"/>
        </w:rPr>
        <w:t xml:space="preserve">Moorjani, </w:t>
      </w:r>
      <w:r w:rsidR="000673A4" w:rsidRPr="004E5334">
        <w:rPr>
          <w:color w:val="222222"/>
        </w:rPr>
        <w:t xml:space="preserve">F. </w:t>
      </w:r>
      <w:r w:rsidRPr="004E5334">
        <w:rPr>
          <w:color w:val="222222"/>
        </w:rPr>
        <w:t xml:space="preserve">Jay, </w:t>
      </w:r>
      <w:r w:rsidR="000673A4" w:rsidRPr="004E5334">
        <w:rPr>
          <w:color w:val="222222"/>
        </w:rPr>
        <w:t xml:space="preserve">S.M. </w:t>
      </w:r>
      <w:r w:rsidRPr="004E5334">
        <w:rPr>
          <w:color w:val="222222"/>
        </w:rPr>
        <w:t xml:space="preserve">Slepchenko, </w:t>
      </w:r>
      <w:r w:rsidR="000673A4" w:rsidRPr="004E5334">
        <w:rPr>
          <w:color w:val="222222"/>
        </w:rPr>
        <w:t xml:space="preserve">A.A. </w:t>
      </w:r>
      <w:r w:rsidRPr="004E5334">
        <w:rPr>
          <w:color w:val="222222"/>
        </w:rPr>
        <w:t xml:space="preserve">Bondarev, </w:t>
      </w:r>
      <w:r w:rsidR="000673A4" w:rsidRPr="004E5334">
        <w:rPr>
          <w:color w:val="222222"/>
        </w:rPr>
        <w:t>P.L.</w:t>
      </w:r>
      <w:r w:rsidR="00BE3A49" w:rsidRPr="004E5334">
        <w:rPr>
          <w:color w:val="222222"/>
        </w:rPr>
        <w:t>F.</w:t>
      </w:r>
      <w:r w:rsidR="000673A4" w:rsidRPr="004E5334">
        <w:rPr>
          <w:color w:val="222222"/>
        </w:rPr>
        <w:t xml:space="preserve"> </w:t>
      </w:r>
      <w:r w:rsidRPr="004E5334">
        <w:rPr>
          <w:color w:val="222222"/>
        </w:rPr>
        <w:t xml:space="preserve">Johnson, </w:t>
      </w:r>
      <w:r w:rsidR="000673A4" w:rsidRPr="004E5334">
        <w:rPr>
          <w:color w:val="222222"/>
        </w:rPr>
        <w:t xml:space="preserve">A. </w:t>
      </w:r>
      <w:r w:rsidRPr="004E5334">
        <w:rPr>
          <w:color w:val="222222"/>
        </w:rPr>
        <w:t xml:space="preserve">Aximu-Petri, </w:t>
      </w:r>
      <w:r w:rsidR="000673A4" w:rsidRPr="004E5334">
        <w:rPr>
          <w:color w:val="222222"/>
        </w:rPr>
        <w:t xml:space="preserve">K. </w:t>
      </w:r>
      <w:r w:rsidRPr="004E5334">
        <w:rPr>
          <w:color w:val="222222"/>
        </w:rPr>
        <w:t xml:space="preserve">Prüfer, </w:t>
      </w:r>
      <w:r w:rsidR="000673A4" w:rsidRPr="004E5334">
        <w:rPr>
          <w:color w:val="222222"/>
        </w:rPr>
        <w:t>C. de Filippo</w:t>
      </w:r>
      <w:r w:rsidR="00BE3A49" w:rsidRPr="004E5334">
        <w:rPr>
          <w:color w:val="222222"/>
        </w:rPr>
        <w:t>,</w:t>
      </w:r>
      <w:r w:rsidRPr="004E5334">
        <w:rPr>
          <w:color w:val="222222"/>
        </w:rPr>
        <w:t xml:space="preserve"> </w:t>
      </w:r>
      <w:r w:rsidR="000673A4" w:rsidRPr="004E5334">
        <w:rPr>
          <w:color w:val="222222"/>
        </w:rPr>
        <w:t>M. Meyer</w:t>
      </w:r>
      <w:r w:rsidRPr="004E5334">
        <w:rPr>
          <w:color w:val="222222"/>
        </w:rPr>
        <w:t xml:space="preserve"> </w:t>
      </w:r>
      <w:r w:rsidR="00BE3A49" w:rsidRPr="004E5334">
        <w:rPr>
          <w:color w:val="222222"/>
          <w:lang w:val="en-US"/>
        </w:rPr>
        <w:t xml:space="preserve">N.Zwyns, D.C. Salazar-García, V.H. Kuzmin, S.G. Keates, P.A. Kosintsev, D.I. Razhev, M.P. Richards, N.V. Peristov, M. Lachmann, K. Douka, T.F.G. Higham, M. Slatkin, J-J. Hublin, D. Reich, J. Kelso, T.B. Viola, T. Bence and S. Pääbo </w:t>
      </w:r>
      <w:r w:rsidRPr="004E5334">
        <w:rPr>
          <w:color w:val="222222"/>
        </w:rPr>
        <w:t xml:space="preserve">Genome sequence of a 45,000-year-old modern human from western Siberia. </w:t>
      </w:r>
      <w:r w:rsidRPr="004E5334">
        <w:rPr>
          <w:i/>
          <w:iCs/>
          <w:color w:val="222222"/>
        </w:rPr>
        <w:t>Nature</w:t>
      </w:r>
      <w:r w:rsidRPr="004E5334">
        <w:rPr>
          <w:color w:val="222222"/>
        </w:rPr>
        <w:t xml:space="preserve"> </w:t>
      </w:r>
      <w:r w:rsidRPr="004E5334">
        <w:rPr>
          <w:iCs/>
          <w:color w:val="222222"/>
        </w:rPr>
        <w:t>514</w:t>
      </w:r>
      <w:r w:rsidR="00BE3A49" w:rsidRPr="004E5334">
        <w:rPr>
          <w:color w:val="222222"/>
        </w:rPr>
        <w:t>(7523):</w:t>
      </w:r>
      <w:r w:rsidRPr="004E5334">
        <w:rPr>
          <w:color w:val="222222"/>
        </w:rPr>
        <w:t>445</w:t>
      </w:r>
      <w:r w:rsidR="00BE3A49" w:rsidRPr="004E5334">
        <w:rPr>
          <w:color w:val="222222"/>
        </w:rPr>
        <w:t>–449</w:t>
      </w:r>
      <w:r w:rsidRPr="004E5334">
        <w:rPr>
          <w:color w:val="222222"/>
        </w:rPr>
        <w:t>.</w:t>
      </w:r>
    </w:p>
    <w:p w14:paraId="0AC91B0D" w14:textId="12E4EBEE" w:rsidR="00D5094B" w:rsidRPr="004E5334" w:rsidRDefault="00D5094B" w:rsidP="00D5094B">
      <w:pPr>
        <w:spacing w:after="0"/>
        <w:ind w:left="567" w:hanging="567"/>
        <w:rPr>
          <w:color w:val="222222"/>
        </w:rPr>
      </w:pPr>
      <w:r w:rsidRPr="004E5334">
        <w:rPr>
          <w:color w:val="222222"/>
        </w:rPr>
        <w:t xml:space="preserve">Hamm, G., </w:t>
      </w:r>
      <w:r w:rsidR="00846069" w:rsidRPr="004E5334">
        <w:rPr>
          <w:color w:val="222222"/>
        </w:rPr>
        <w:t xml:space="preserve">P. </w:t>
      </w:r>
      <w:r w:rsidRPr="004E5334">
        <w:rPr>
          <w:color w:val="222222"/>
        </w:rPr>
        <w:t xml:space="preserve">Mitchell, </w:t>
      </w:r>
      <w:r w:rsidR="00846069" w:rsidRPr="004E5334">
        <w:rPr>
          <w:color w:val="222222"/>
        </w:rPr>
        <w:t xml:space="preserve">L.J. </w:t>
      </w:r>
      <w:r w:rsidRPr="004E5334">
        <w:rPr>
          <w:color w:val="222222"/>
        </w:rPr>
        <w:t xml:space="preserve">Arnold, </w:t>
      </w:r>
      <w:r w:rsidR="00846069" w:rsidRPr="004E5334">
        <w:rPr>
          <w:color w:val="222222"/>
        </w:rPr>
        <w:t xml:space="preserve">G.J. </w:t>
      </w:r>
      <w:r w:rsidRPr="004E5334">
        <w:rPr>
          <w:color w:val="222222"/>
        </w:rPr>
        <w:t xml:space="preserve">Prideaux, </w:t>
      </w:r>
      <w:r w:rsidR="00846069" w:rsidRPr="004E5334">
        <w:rPr>
          <w:color w:val="222222"/>
        </w:rPr>
        <w:t xml:space="preserve">D. </w:t>
      </w:r>
      <w:r w:rsidRPr="004E5334">
        <w:rPr>
          <w:color w:val="222222"/>
        </w:rPr>
        <w:t xml:space="preserve">Questiaux, </w:t>
      </w:r>
      <w:r w:rsidR="00846069" w:rsidRPr="004E5334">
        <w:rPr>
          <w:color w:val="222222"/>
        </w:rPr>
        <w:t xml:space="preserve">N.A. </w:t>
      </w:r>
      <w:r w:rsidRPr="004E5334">
        <w:rPr>
          <w:color w:val="222222"/>
        </w:rPr>
        <w:t xml:space="preserve">Spooner, </w:t>
      </w:r>
      <w:r w:rsidR="00846069" w:rsidRPr="004E5334">
        <w:rPr>
          <w:color w:val="222222"/>
        </w:rPr>
        <w:t xml:space="preserve">V.A. </w:t>
      </w:r>
      <w:r w:rsidRPr="004E5334">
        <w:rPr>
          <w:color w:val="222222"/>
        </w:rPr>
        <w:t xml:space="preserve">Levchenko, </w:t>
      </w:r>
      <w:r w:rsidR="00846069" w:rsidRPr="004E5334">
        <w:rPr>
          <w:color w:val="222222"/>
        </w:rPr>
        <w:t xml:space="preserve">E.C. </w:t>
      </w:r>
      <w:r w:rsidRPr="004E5334">
        <w:rPr>
          <w:color w:val="222222"/>
        </w:rPr>
        <w:t xml:space="preserve">Foley, </w:t>
      </w:r>
      <w:r w:rsidR="00846069" w:rsidRPr="004E5334">
        <w:rPr>
          <w:color w:val="222222"/>
        </w:rPr>
        <w:t xml:space="preserve">T.H. </w:t>
      </w:r>
      <w:r w:rsidRPr="004E5334">
        <w:rPr>
          <w:color w:val="222222"/>
        </w:rPr>
        <w:t xml:space="preserve">Worthy, </w:t>
      </w:r>
      <w:r w:rsidR="00846069" w:rsidRPr="004E5334">
        <w:rPr>
          <w:color w:val="222222"/>
        </w:rPr>
        <w:t>B. Stephenson</w:t>
      </w:r>
      <w:r w:rsidRPr="004E5334">
        <w:rPr>
          <w:color w:val="222222"/>
        </w:rPr>
        <w:t xml:space="preserve"> and </w:t>
      </w:r>
      <w:r w:rsidR="00846069" w:rsidRPr="004E5334">
        <w:rPr>
          <w:color w:val="222222"/>
        </w:rPr>
        <w:t>V. Coulthard</w:t>
      </w:r>
      <w:r w:rsidRPr="004E5334">
        <w:rPr>
          <w:color w:val="222222"/>
        </w:rPr>
        <w:t xml:space="preserve"> </w:t>
      </w:r>
      <w:r w:rsidR="00846069" w:rsidRPr="004E5334">
        <w:rPr>
          <w:color w:val="222222"/>
        </w:rPr>
        <w:t>2016</w:t>
      </w:r>
      <w:r w:rsidRPr="004E5334">
        <w:rPr>
          <w:color w:val="222222"/>
        </w:rPr>
        <w:t xml:space="preserve"> Cultural innovation and megafauna interaction in the early settlement of arid Australia. </w:t>
      </w:r>
      <w:r w:rsidRPr="004E5334">
        <w:rPr>
          <w:i/>
          <w:iCs/>
          <w:color w:val="222222"/>
        </w:rPr>
        <w:t>Nature</w:t>
      </w:r>
      <w:r w:rsidRPr="004E5334">
        <w:rPr>
          <w:color w:val="222222"/>
        </w:rPr>
        <w:t xml:space="preserve"> </w:t>
      </w:r>
      <w:r w:rsidRPr="004E5334">
        <w:rPr>
          <w:i/>
          <w:iCs/>
          <w:color w:val="222222"/>
        </w:rPr>
        <w:t>539</w:t>
      </w:r>
      <w:r w:rsidRPr="004E5334">
        <w:rPr>
          <w:color w:val="222222"/>
        </w:rPr>
        <w:t>(7628)</w:t>
      </w:r>
      <w:r w:rsidR="00F77F61" w:rsidRPr="004E5334">
        <w:rPr>
          <w:color w:val="222222"/>
        </w:rPr>
        <w:t>:280–</w:t>
      </w:r>
      <w:r w:rsidR="00846069" w:rsidRPr="004E5334">
        <w:rPr>
          <w:color w:val="222222"/>
        </w:rPr>
        <w:t>283</w:t>
      </w:r>
      <w:r w:rsidRPr="004E5334">
        <w:rPr>
          <w:color w:val="222222"/>
        </w:rPr>
        <w:t>.</w:t>
      </w:r>
      <w:r w:rsidR="0017240F" w:rsidRPr="004E5334">
        <w:rPr>
          <w:color w:val="222222"/>
        </w:rPr>
        <w:t xml:space="preserve"> </w:t>
      </w:r>
      <w:r w:rsidR="0017240F" w:rsidRPr="004E5334">
        <w:rPr>
          <w:rFonts w:cs="Arial"/>
          <w:color w:val="222222"/>
          <w:sz w:val="20"/>
          <w:szCs w:val="20"/>
          <w:shd w:val="clear" w:color="auto" w:fill="FFFFFF"/>
          <w:lang w:val="en-US"/>
        </w:rPr>
        <w:t>(plus supplementary matter)</w:t>
      </w:r>
    </w:p>
    <w:p w14:paraId="601F6B02" w14:textId="6CF5C4E8" w:rsidR="00D5094B" w:rsidRPr="004E5334" w:rsidRDefault="00D5094B" w:rsidP="00D5094B">
      <w:pPr>
        <w:spacing w:after="0"/>
        <w:ind w:left="567" w:hanging="567"/>
        <w:rPr>
          <w:color w:val="222222"/>
        </w:rPr>
      </w:pPr>
      <w:r w:rsidRPr="004E5334">
        <w:rPr>
          <w:color w:val="222222"/>
        </w:rPr>
        <w:t xml:space="preserve">Hershkovitz, I., </w:t>
      </w:r>
      <w:r w:rsidR="00F77F61" w:rsidRPr="004E5334">
        <w:rPr>
          <w:color w:val="222222"/>
        </w:rPr>
        <w:t xml:space="preserve">G.W. </w:t>
      </w:r>
      <w:r w:rsidRPr="004E5334">
        <w:rPr>
          <w:color w:val="222222"/>
        </w:rPr>
        <w:t xml:space="preserve">Weber, </w:t>
      </w:r>
      <w:r w:rsidR="00F77F61" w:rsidRPr="004E5334">
        <w:rPr>
          <w:color w:val="222222"/>
        </w:rPr>
        <w:t xml:space="preserve">R. </w:t>
      </w:r>
      <w:r w:rsidRPr="004E5334">
        <w:rPr>
          <w:color w:val="222222"/>
        </w:rPr>
        <w:t xml:space="preserve">Quam, </w:t>
      </w:r>
      <w:r w:rsidR="00F77F61" w:rsidRPr="004E5334">
        <w:rPr>
          <w:color w:val="222222"/>
        </w:rPr>
        <w:t xml:space="preserve">M. </w:t>
      </w:r>
      <w:r w:rsidRPr="004E5334">
        <w:rPr>
          <w:color w:val="222222"/>
        </w:rPr>
        <w:t xml:space="preserve">Duval, </w:t>
      </w:r>
      <w:r w:rsidR="00F77F61" w:rsidRPr="004E5334">
        <w:rPr>
          <w:color w:val="222222"/>
        </w:rPr>
        <w:t xml:space="preserve">R. </w:t>
      </w:r>
      <w:r w:rsidRPr="004E5334">
        <w:rPr>
          <w:color w:val="222222"/>
        </w:rPr>
        <w:t xml:space="preserve">Grün, </w:t>
      </w:r>
      <w:r w:rsidR="00F77F61" w:rsidRPr="004E5334">
        <w:rPr>
          <w:color w:val="222222"/>
        </w:rPr>
        <w:t xml:space="preserve">L. </w:t>
      </w:r>
      <w:r w:rsidRPr="004E5334">
        <w:rPr>
          <w:color w:val="222222"/>
        </w:rPr>
        <w:t xml:space="preserve">Kinsley, </w:t>
      </w:r>
      <w:r w:rsidR="00F77F61" w:rsidRPr="004E5334">
        <w:rPr>
          <w:color w:val="222222"/>
        </w:rPr>
        <w:t xml:space="preserve">A. </w:t>
      </w:r>
      <w:r w:rsidRPr="004E5334">
        <w:rPr>
          <w:color w:val="222222"/>
        </w:rPr>
        <w:t xml:space="preserve">Ayalon, </w:t>
      </w:r>
      <w:r w:rsidR="00F77F61" w:rsidRPr="004E5334">
        <w:rPr>
          <w:color w:val="222222"/>
        </w:rPr>
        <w:t xml:space="preserve">M. </w:t>
      </w:r>
      <w:r w:rsidRPr="004E5334">
        <w:rPr>
          <w:color w:val="222222"/>
        </w:rPr>
        <w:t xml:space="preserve">Bar-Matthews, </w:t>
      </w:r>
      <w:r w:rsidR="00F77F61" w:rsidRPr="004E5334">
        <w:rPr>
          <w:color w:val="222222"/>
        </w:rPr>
        <w:t xml:space="preserve">H. </w:t>
      </w:r>
      <w:r w:rsidRPr="004E5334">
        <w:rPr>
          <w:color w:val="222222"/>
        </w:rPr>
        <w:t xml:space="preserve">Valladas, </w:t>
      </w:r>
      <w:r w:rsidR="00F77F61" w:rsidRPr="004E5334">
        <w:rPr>
          <w:color w:val="222222"/>
        </w:rPr>
        <w:t>N. Mercier</w:t>
      </w:r>
      <w:r w:rsidRPr="004E5334">
        <w:rPr>
          <w:color w:val="222222"/>
        </w:rPr>
        <w:t xml:space="preserve"> </w:t>
      </w:r>
      <w:r w:rsidR="00F77F61" w:rsidRPr="004E5334">
        <w:rPr>
          <w:color w:val="222222"/>
        </w:rPr>
        <w:t xml:space="preserve">and J.L. </w:t>
      </w:r>
      <w:r w:rsidRPr="004E5334">
        <w:rPr>
          <w:color w:val="222222"/>
        </w:rPr>
        <w:t>Arsuaga</w:t>
      </w:r>
      <w:r w:rsidR="00F77F61" w:rsidRPr="004E5334">
        <w:rPr>
          <w:color w:val="222222"/>
        </w:rPr>
        <w:t xml:space="preserve"> 2018</w:t>
      </w:r>
      <w:r w:rsidRPr="004E5334">
        <w:rPr>
          <w:color w:val="222222"/>
        </w:rPr>
        <w:t xml:space="preserve"> The earliest modern humans outside Africa. </w:t>
      </w:r>
      <w:r w:rsidRPr="004E5334">
        <w:rPr>
          <w:i/>
          <w:iCs/>
          <w:color w:val="222222"/>
        </w:rPr>
        <w:t>Science</w:t>
      </w:r>
      <w:r w:rsidRPr="004E5334">
        <w:rPr>
          <w:color w:val="222222"/>
        </w:rPr>
        <w:t xml:space="preserve"> </w:t>
      </w:r>
      <w:r w:rsidRPr="004E5334">
        <w:rPr>
          <w:i/>
          <w:iCs/>
          <w:color w:val="222222"/>
        </w:rPr>
        <w:t>359</w:t>
      </w:r>
      <w:r w:rsidRPr="004E5334">
        <w:rPr>
          <w:color w:val="222222"/>
        </w:rPr>
        <w:t>(6374)</w:t>
      </w:r>
      <w:r w:rsidR="00F77F61" w:rsidRPr="004E5334">
        <w:rPr>
          <w:color w:val="222222"/>
        </w:rPr>
        <w:t>:</w:t>
      </w:r>
      <w:r w:rsidR="00213967" w:rsidRPr="004E5334">
        <w:rPr>
          <w:color w:val="222222"/>
        </w:rPr>
        <w:t>456–</w:t>
      </w:r>
      <w:r w:rsidRPr="004E5334">
        <w:rPr>
          <w:color w:val="222222"/>
        </w:rPr>
        <w:t>459.</w:t>
      </w:r>
    </w:p>
    <w:p w14:paraId="305908CA" w14:textId="72E73612" w:rsidR="00D5094B" w:rsidRPr="004E5334" w:rsidRDefault="00F77F61" w:rsidP="00405E61">
      <w:pPr>
        <w:spacing w:after="0"/>
        <w:ind w:left="567" w:hanging="567"/>
        <w:rPr>
          <w:color w:val="222222"/>
          <w:lang w:val="en-US"/>
        </w:rPr>
      </w:pPr>
      <w:r w:rsidRPr="004E5334">
        <w:rPr>
          <w:color w:val="222222"/>
        </w:rPr>
        <w:t>Hiscock, P. 2017</w:t>
      </w:r>
      <w:r w:rsidR="00D5094B" w:rsidRPr="004E5334">
        <w:rPr>
          <w:color w:val="222222"/>
        </w:rPr>
        <w:t xml:space="preserve"> Discovery curves, colonisation and Madjedbebe. </w:t>
      </w:r>
      <w:r w:rsidR="00D5094B" w:rsidRPr="004E5334">
        <w:rPr>
          <w:i/>
          <w:iCs/>
          <w:color w:val="222222"/>
        </w:rPr>
        <w:t>Australian Archaeology</w:t>
      </w:r>
      <w:r w:rsidR="00405E61" w:rsidRPr="004E5334">
        <w:rPr>
          <w:i/>
          <w:iCs/>
          <w:color w:val="222222"/>
        </w:rPr>
        <w:t xml:space="preserve"> </w:t>
      </w:r>
      <w:r w:rsidR="00405E61" w:rsidRPr="004E5334">
        <w:rPr>
          <w:color w:val="222222"/>
        </w:rPr>
        <w:t>83(3):</w:t>
      </w:r>
      <w:r w:rsidR="002624EF" w:rsidRPr="004E5334">
        <w:rPr>
          <w:color w:val="222222"/>
        </w:rPr>
        <w:t>168</w:t>
      </w:r>
      <w:r w:rsidRPr="004E5334">
        <w:rPr>
          <w:color w:val="222222"/>
          <w:lang w:val="en-US"/>
        </w:rPr>
        <w:t>–</w:t>
      </w:r>
      <w:r w:rsidR="002624EF" w:rsidRPr="004E5334">
        <w:rPr>
          <w:color w:val="222222"/>
        </w:rPr>
        <w:t>171.</w:t>
      </w:r>
    </w:p>
    <w:p w14:paraId="21024385" w14:textId="47A4E342" w:rsidR="00615E7B" w:rsidRPr="00AB0621" w:rsidRDefault="001949E5" w:rsidP="00AB0621">
      <w:pPr>
        <w:spacing w:after="0"/>
        <w:ind w:left="567" w:hanging="567"/>
        <w:rPr>
          <w:color w:val="222222"/>
        </w:rPr>
      </w:pPr>
      <w:r w:rsidRPr="001949E5">
        <w:rPr>
          <w:color w:val="222222"/>
        </w:rPr>
        <w:t>Liu, W., M. Martinón-Torres, Y.-J. Cai, S. Xing, H.-W. Tong, S.W. Pei, M.J. Sier, X.-H. Wu, R.L. Edwards, H. Cheng, Y.-Y. Li, X.-X. Yang, J.M.B. de Castro and X.-J. Wu2015 The earliest unequivocally modern humans in southern China. Nature 526(7575):696–699.</w:t>
      </w:r>
    </w:p>
    <w:p w14:paraId="62B2F7C9" w14:textId="15257D2B" w:rsidR="00D5094B" w:rsidRPr="004E5334" w:rsidRDefault="003F3675" w:rsidP="003F3675">
      <w:pPr>
        <w:spacing w:after="0"/>
        <w:ind w:left="567" w:hanging="567"/>
        <w:rPr>
          <w:color w:val="222222"/>
        </w:rPr>
      </w:pPr>
      <w:r w:rsidRPr="004E5334">
        <w:rPr>
          <w:color w:val="222222"/>
        </w:rPr>
        <w:t xml:space="preserve">Malaspinas, A., M. Westaway, C. Muller, V. Sousa, O. Lao, I. Alves, A. Bergström, G. Athanasiadis, J. Cheng, J. Crawford, T. Heupink, E. MacHoldt, S. Peischl, S. Rasmussen, S. Schiffels, S. Subramanian, J. Wright, A. Albrechtsen, C. Barbieri, I. Dupanloup, A. Eriksson, A. Margaryan, I. Moltke, I. Pugach, T. Korneliussen, I. Levkivskyi, J. Moreno-Mayar, S. Ni, F. Racimo, M. Sikora, Y. Xue, F. Aghakhanian, N. Brucato, S. Brunak, P. Campos, W. Clark, S. Ellingvåg, G. Fourmile, P. Gerbault, D. Injie, G. Koki, M. Leavesley, B. Logan, A. Lynch, E. Matisoo-Smith, P. McAllister, A. Mentzer, M. Metspalu, A. Migliano, L. Murgha, M. Phipps, W. Pomat, D. Reynolds, F. Ricaut, P. Siba, M. Thomas, T. Wales, C. Wall, S. Oppenheimer, C. Tyler-Smith, R. Durbin, J. Dortch, A. Manica, M. Schierup, R. Foley, M. Lahr, C. Bowern, J. Wall, T. Mailund, M. Stoneking, R. Nielsen, M. Sandhu, L. Excoffier, D. Lambert, E.. Willerslev 2016 A genomic history of Aboriginal Australia. </w:t>
      </w:r>
      <w:r w:rsidRPr="004E5334">
        <w:rPr>
          <w:i/>
          <w:color w:val="222222"/>
        </w:rPr>
        <w:t>Nature</w:t>
      </w:r>
      <w:r w:rsidR="00213967" w:rsidRPr="004E5334">
        <w:rPr>
          <w:color w:val="222222"/>
        </w:rPr>
        <w:t xml:space="preserve"> 538(7624):207–</w:t>
      </w:r>
      <w:r w:rsidRPr="004E5334">
        <w:rPr>
          <w:color w:val="222222"/>
        </w:rPr>
        <w:t xml:space="preserve">214. </w:t>
      </w:r>
      <w:r w:rsidR="00871CE4" w:rsidRPr="004E5334">
        <w:rPr>
          <w:rFonts w:cs="Arial"/>
          <w:color w:val="222222"/>
          <w:sz w:val="20"/>
          <w:szCs w:val="20"/>
          <w:shd w:val="clear" w:color="auto" w:fill="FFFFFF"/>
          <w:lang w:val="en-US"/>
        </w:rPr>
        <w:t>(plus supplementary matter)</w:t>
      </w:r>
    </w:p>
    <w:p w14:paraId="06D8C206" w14:textId="68812487" w:rsidR="00D5094B" w:rsidRPr="004E5334" w:rsidRDefault="00952AFC" w:rsidP="00952AFC">
      <w:pPr>
        <w:spacing w:after="0"/>
        <w:ind w:left="567" w:hanging="567"/>
        <w:rPr>
          <w:color w:val="222222"/>
        </w:rPr>
      </w:pPr>
      <w:r w:rsidRPr="004E5334">
        <w:rPr>
          <w:color w:val="222222"/>
          <w:lang w:val="en-US"/>
        </w:rPr>
        <w:t xml:space="preserve">Mallick, S., H. Li, M. Lipson, I. Mathieson, M. Gymrek, F. Racimo, M. Zhao, N. Chennagiri, S. Nordenfelt, A. Tandon, P. Skoglund, I. Lazaridis, S. Sankararaman, Q. Fu, N. Rohland, G. Renaud, Y. Erlich, T. Willems, C. Gallo, J.P. Spence, Y.S. Song,G. Poletti, N. Balloux, G. van Driem, P. de Knijff, I.G. Romero, A.R. Jha,.D.M. Behar, C.M. Bravi, C. Capelli, T. Hervig, A. Moreno-Estrada, O.L. Posukh, E. Balanovska, O. Balanovsky, S.Karachanak-Yankova, H. Sahakyan, D. Toncheva, L. Yepiskoposyan, C. Tyler-Smith, Y. Xue, M.S. Abdullah, A. Ruiz-Linares, C.M. Beall,.A. Di Rienzo, C. Jeong, E.B. Starikovskaya, E. Metspalu, J. Parik, R. Villems, B.M. Henn,.U. Hodoglugil, R. Mahley, A. Sajantila, G. Stamatoyannopoulos, J.T.S Wee, R. Khusainova, E. Khusnutdinova, S. Litvinov, G. Ayodo, D. Comas, M.F. Hammer, T. Kivisild, W. Klitz, C.A. Winkler, D. Labuda, M. Bamshad, L.B. Jorde, S.A. Tishkoff,.W.S. Watkins, M. Metspalu, S. Dryomov, R. Sukernik, L. Singh, K. Thangaraj, S. Pääbo, J. Kelso, N. Patterson and D. Reich </w:t>
      </w:r>
      <w:r w:rsidR="00D5094B" w:rsidRPr="004E5334">
        <w:rPr>
          <w:color w:val="222222"/>
        </w:rPr>
        <w:t xml:space="preserve">2016. The Simons genome diversity project: 300 genomes from 142 diverse populations. </w:t>
      </w:r>
      <w:r w:rsidR="00D5094B" w:rsidRPr="004E5334">
        <w:rPr>
          <w:i/>
          <w:iCs/>
          <w:color w:val="222222"/>
        </w:rPr>
        <w:t>Nature</w:t>
      </w:r>
      <w:r w:rsidR="00D5094B" w:rsidRPr="004E5334">
        <w:rPr>
          <w:color w:val="222222"/>
        </w:rPr>
        <w:t xml:space="preserve"> </w:t>
      </w:r>
      <w:r w:rsidR="00D5094B" w:rsidRPr="004E5334">
        <w:rPr>
          <w:i/>
          <w:iCs/>
          <w:color w:val="222222"/>
        </w:rPr>
        <w:t>538</w:t>
      </w:r>
      <w:r w:rsidR="00575FE1" w:rsidRPr="004E5334">
        <w:rPr>
          <w:color w:val="222222"/>
        </w:rPr>
        <w:t>(7624):</w:t>
      </w:r>
      <w:r w:rsidR="00D5094B" w:rsidRPr="004E5334">
        <w:rPr>
          <w:color w:val="222222"/>
        </w:rPr>
        <w:t>201</w:t>
      </w:r>
      <w:r w:rsidR="00575FE1" w:rsidRPr="004E5334">
        <w:rPr>
          <w:color w:val="222222"/>
        </w:rPr>
        <w:t>–206</w:t>
      </w:r>
      <w:r w:rsidR="00D5094B" w:rsidRPr="004E5334">
        <w:rPr>
          <w:color w:val="222222"/>
        </w:rPr>
        <w:t>.</w:t>
      </w:r>
      <w:r w:rsidR="00D5094B" w:rsidRPr="004E5334">
        <w:t xml:space="preserve"> </w:t>
      </w:r>
      <w:r w:rsidR="00871CE4" w:rsidRPr="004E5334">
        <w:rPr>
          <w:rFonts w:cs="Arial"/>
          <w:color w:val="222222"/>
          <w:sz w:val="20"/>
          <w:szCs w:val="20"/>
          <w:shd w:val="clear" w:color="auto" w:fill="FFFFFF"/>
          <w:lang w:val="en-US"/>
        </w:rPr>
        <w:t>(plus supplementary matter)</w:t>
      </w:r>
    </w:p>
    <w:p w14:paraId="671E4A81" w14:textId="48B3DED7" w:rsidR="001715A7" w:rsidRPr="004E5334" w:rsidRDefault="001715A7" w:rsidP="00D5094B">
      <w:pPr>
        <w:spacing w:after="0"/>
        <w:ind w:left="567" w:hanging="567"/>
        <w:rPr>
          <w:rFonts w:cs="Arial"/>
          <w:color w:val="222222"/>
          <w:sz w:val="20"/>
          <w:szCs w:val="20"/>
          <w:shd w:val="clear" w:color="auto" w:fill="FFFFFF"/>
        </w:rPr>
      </w:pPr>
      <w:r w:rsidRPr="004E5334">
        <w:rPr>
          <w:rFonts w:cs="Arial"/>
          <w:color w:val="222222"/>
          <w:sz w:val="20"/>
          <w:szCs w:val="20"/>
          <w:shd w:val="clear" w:color="auto" w:fill="FFFFFF"/>
        </w:rPr>
        <w:t>Nagle, N., K.N. Ballantyne, M. Van Oven, C. Tyler-smith, Y. Xue, S. Wilcox, L. Wilcox, R. Turkalov, R.A.H.  Van Oorschot, S. van Holst Pellekaan, T.G. Schurr, P. Mcallister, L. Williams, M. Kayser and R. J. Mitchell 2017 Mitochondrial DNA Diversity of Present-Day Aboriginal Australians and Implications for Human Evolution in Oceania.</w:t>
      </w:r>
      <w:r w:rsidRPr="004E5334">
        <w:rPr>
          <w:rFonts w:cs="Arial"/>
          <w:i/>
          <w:iCs/>
          <w:color w:val="222222"/>
          <w:sz w:val="20"/>
          <w:szCs w:val="20"/>
          <w:shd w:val="clear" w:color="auto" w:fill="FFFFFF"/>
        </w:rPr>
        <w:t> Journal of Human Genetics</w:t>
      </w:r>
      <w:r w:rsidRPr="004E5334">
        <w:rPr>
          <w:rFonts w:cs="Arial"/>
          <w:color w:val="222222"/>
          <w:sz w:val="20"/>
          <w:szCs w:val="20"/>
          <w:shd w:val="clear" w:color="auto" w:fill="FFFFFF"/>
        </w:rPr>
        <w:t> 62(3):343</w:t>
      </w:r>
      <w:r w:rsidR="00224B03" w:rsidRPr="004E5334">
        <w:rPr>
          <w:rFonts w:cs="Arial"/>
          <w:color w:val="222222"/>
          <w:sz w:val="20"/>
          <w:szCs w:val="20"/>
          <w:shd w:val="clear" w:color="auto" w:fill="FFFFFF"/>
        </w:rPr>
        <w:softHyphen/>
        <w:t>–</w:t>
      </w:r>
      <w:r w:rsidRPr="004E5334">
        <w:rPr>
          <w:rFonts w:cs="Arial"/>
          <w:color w:val="222222"/>
          <w:sz w:val="20"/>
          <w:szCs w:val="20"/>
          <w:shd w:val="clear" w:color="auto" w:fill="FFFFFF"/>
        </w:rPr>
        <w:t>353.</w:t>
      </w:r>
    </w:p>
    <w:p w14:paraId="44981827" w14:textId="16312BBB" w:rsidR="00D5094B" w:rsidRPr="004E5334" w:rsidRDefault="00D5094B" w:rsidP="00D5094B">
      <w:pPr>
        <w:spacing w:after="0"/>
        <w:ind w:left="567" w:hanging="567"/>
      </w:pPr>
      <w:r w:rsidRPr="004E5334">
        <w:t xml:space="preserve">Nielsen, R., </w:t>
      </w:r>
      <w:r w:rsidR="00224B03" w:rsidRPr="004E5334">
        <w:t xml:space="preserve">J.M. </w:t>
      </w:r>
      <w:r w:rsidRPr="004E5334">
        <w:t xml:space="preserve">Akey, </w:t>
      </w:r>
      <w:r w:rsidR="00224B03" w:rsidRPr="004E5334">
        <w:t xml:space="preserve">M. </w:t>
      </w:r>
      <w:r w:rsidRPr="004E5334">
        <w:t xml:space="preserve">Jakobsson, </w:t>
      </w:r>
      <w:r w:rsidR="00224B03" w:rsidRPr="004E5334">
        <w:t xml:space="preserve">J.K. </w:t>
      </w:r>
      <w:r w:rsidRPr="004E5334">
        <w:t xml:space="preserve">Pritchard, </w:t>
      </w:r>
      <w:r w:rsidR="00224B03" w:rsidRPr="004E5334">
        <w:t xml:space="preserve">S. Tishkoff and E. </w:t>
      </w:r>
      <w:r w:rsidRPr="004E5334">
        <w:t>Willerslev</w:t>
      </w:r>
      <w:r w:rsidR="00224B03" w:rsidRPr="004E5334">
        <w:t xml:space="preserve"> 2017</w:t>
      </w:r>
      <w:r w:rsidRPr="004E5334">
        <w:t xml:space="preserve"> Tracing the peopling of the world through genomics. </w:t>
      </w:r>
      <w:r w:rsidRPr="004E5334">
        <w:rPr>
          <w:i/>
        </w:rPr>
        <w:t>Nature</w:t>
      </w:r>
      <w:r w:rsidRPr="004E5334">
        <w:t xml:space="preserve"> 541</w:t>
      </w:r>
      <w:r w:rsidR="00224B03" w:rsidRPr="004E5334">
        <w:t>(7637):</w:t>
      </w:r>
      <w:r w:rsidRPr="004E5334">
        <w:t>302–310.</w:t>
      </w:r>
    </w:p>
    <w:p w14:paraId="7D50101C" w14:textId="554134FE" w:rsidR="00FF2EA6" w:rsidRPr="004E5334" w:rsidRDefault="007F6B22" w:rsidP="00D5094B">
      <w:pPr>
        <w:spacing w:after="0" w:line="240" w:lineRule="auto"/>
        <w:ind w:left="567" w:hanging="567"/>
        <w:rPr>
          <w:rFonts w:cs="Arial"/>
          <w:color w:val="222222"/>
          <w:sz w:val="20"/>
          <w:szCs w:val="20"/>
          <w:shd w:val="clear" w:color="auto" w:fill="FFFFFF"/>
        </w:rPr>
      </w:pPr>
      <w:r w:rsidRPr="004E5334">
        <w:rPr>
          <w:rFonts w:cs="Arial"/>
          <w:color w:val="222222"/>
          <w:sz w:val="20"/>
          <w:szCs w:val="20"/>
          <w:shd w:val="clear" w:color="auto" w:fill="FFFFFF"/>
        </w:rPr>
        <w:t xml:space="preserve">Norman, K., </w:t>
      </w:r>
      <w:r w:rsidR="00224B03" w:rsidRPr="004E5334">
        <w:rPr>
          <w:rFonts w:cs="Arial"/>
          <w:color w:val="222222"/>
          <w:sz w:val="20"/>
          <w:szCs w:val="20"/>
          <w:shd w:val="clear" w:color="auto" w:fill="FFFFFF"/>
        </w:rPr>
        <w:t xml:space="preserve">J. </w:t>
      </w:r>
      <w:r w:rsidRPr="004E5334">
        <w:rPr>
          <w:rFonts w:cs="Arial"/>
          <w:color w:val="222222"/>
          <w:sz w:val="20"/>
          <w:szCs w:val="20"/>
          <w:shd w:val="clear" w:color="auto" w:fill="FFFFFF"/>
        </w:rPr>
        <w:t xml:space="preserve">Inglis, </w:t>
      </w:r>
      <w:r w:rsidR="00224B03" w:rsidRPr="004E5334">
        <w:rPr>
          <w:rFonts w:cs="Arial"/>
          <w:color w:val="222222"/>
          <w:sz w:val="20"/>
          <w:szCs w:val="20"/>
          <w:shd w:val="clear" w:color="auto" w:fill="FFFFFF"/>
        </w:rPr>
        <w:t xml:space="preserve">C. </w:t>
      </w:r>
      <w:r w:rsidRPr="004E5334">
        <w:rPr>
          <w:rFonts w:cs="Arial"/>
          <w:color w:val="222222"/>
          <w:sz w:val="20"/>
          <w:szCs w:val="20"/>
          <w:shd w:val="clear" w:color="auto" w:fill="FFFFFF"/>
        </w:rPr>
        <w:t xml:space="preserve">Clarkson, </w:t>
      </w:r>
      <w:r w:rsidR="00224B03" w:rsidRPr="004E5334">
        <w:rPr>
          <w:rFonts w:cs="Arial"/>
          <w:color w:val="222222"/>
          <w:sz w:val="20"/>
          <w:szCs w:val="20"/>
          <w:shd w:val="clear" w:color="auto" w:fill="FFFFFF"/>
        </w:rPr>
        <w:t xml:space="preserve">J.T. </w:t>
      </w:r>
      <w:r w:rsidRPr="004E5334">
        <w:rPr>
          <w:rFonts w:cs="Arial"/>
          <w:color w:val="222222"/>
          <w:sz w:val="20"/>
          <w:szCs w:val="20"/>
          <w:shd w:val="clear" w:color="auto" w:fill="FFFFFF"/>
        </w:rPr>
        <w:t xml:space="preserve">Faith, </w:t>
      </w:r>
      <w:r w:rsidR="00224B03" w:rsidRPr="004E5334">
        <w:rPr>
          <w:rFonts w:cs="Arial"/>
          <w:color w:val="222222"/>
          <w:sz w:val="20"/>
          <w:szCs w:val="20"/>
          <w:shd w:val="clear" w:color="auto" w:fill="FFFFFF"/>
        </w:rPr>
        <w:t>J. Shulmeister</w:t>
      </w:r>
      <w:r w:rsidRPr="004E5334">
        <w:rPr>
          <w:rFonts w:cs="Arial"/>
          <w:color w:val="222222"/>
          <w:sz w:val="20"/>
          <w:szCs w:val="20"/>
          <w:shd w:val="clear" w:color="auto" w:fill="FFFFFF"/>
        </w:rPr>
        <w:t xml:space="preserve"> and </w:t>
      </w:r>
      <w:r w:rsidR="00CC76E8" w:rsidRPr="004E5334">
        <w:rPr>
          <w:rFonts w:cs="Arial"/>
          <w:color w:val="222222"/>
          <w:sz w:val="20"/>
          <w:szCs w:val="20"/>
          <w:shd w:val="clear" w:color="auto" w:fill="FFFFFF"/>
        </w:rPr>
        <w:t>C. Harris</w:t>
      </w:r>
      <w:r w:rsidRPr="004E5334">
        <w:rPr>
          <w:rFonts w:cs="Arial"/>
          <w:color w:val="222222"/>
          <w:sz w:val="20"/>
          <w:szCs w:val="20"/>
          <w:shd w:val="clear" w:color="auto" w:fill="FFFFFF"/>
        </w:rPr>
        <w:t xml:space="preserve"> </w:t>
      </w:r>
      <w:r w:rsidR="00224B03" w:rsidRPr="004E5334">
        <w:rPr>
          <w:rFonts w:cs="Arial"/>
          <w:color w:val="222222"/>
          <w:sz w:val="20"/>
          <w:szCs w:val="20"/>
          <w:shd w:val="clear" w:color="auto" w:fill="FFFFFF"/>
        </w:rPr>
        <w:t>2018</w:t>
      </w:r>
      <w:r w:rsidRPr="004E5334">
        <w:rPr>
          <w:rFonts w:cs="Arial"/>
          <w:color w:val="222222"/>
          <w:sz w:val="20"/>
          <w:szCs w:val="20"/>
          <w:shd w:val="clear" w:color="auto" w:fill="FFFFFF"/>
        </w:rPr>
        <w:t xml:space="preserve"> An early colonisation path</w:t>
      </w:r>
      <w:r w:rsidR="00213967" w:rsidRPr="004E5334">
        <w:rPr>
          <w:rFonts w:cs="Arial"/>
          <w:color w:val="222222"/>
          <w:sz w:val="20"/>
          <w:szCs w:val="20"/>
          <w:shd w:val="clear" w:color="auto" w:fill="FFFFFF"/>
        </w:rPr>
        <w:t>way into northwest Australia 70–</w:t>
      </w:r>
      <w:r w:rsidRPr="004E5334">
        <w:rPr>
          <w:rFonts w:cs="Arial"/>
          <w:color w:val="222222"/>
          <w:sz w:val="20"/>
          <w:szCs w:val="20"/>
          <w:shd w:val="clear" w:color="auto" w:fill="FFFFFF"/>
        </w:rPr>
        <w:t>60,000 years ago. </w:t>
      </w:r>
      <w:r w:rsidRPr="004E5334">
        <w:rPr>
          <w:rFonts w:cs="Arial"/>
          <w:i/>
          <w:iCs/>
          <w:color w:val="222222"/>
          <w:sz w:val="20"/>
          <w:szCs w:val="20"/>
          <w:shd w:val="clear" w:color="auto" w:fill="FFFFFF"/>
        </w:rPr>
        <w:t>Quaternary Science Reviews</w:t>
      </w:r>
      <w:r w:rsidRPr="004E5334">
        <w:rPr>
          <w:rFonts w:cs="Arial"/>
          <w:color w:val="222222"/>
          <w:sz w:val="20"/>
          <w:szCs w:val="20"/>
          <w:shd w:val="clear" w:color="auto" w:fill="FFFFFF"/>
        </w:rPr>
        <w:t> </w:t>
      </w:r>
      <w:r w:rsidRPr="004E5334">
        <w:rPr>
          <w:rFonts w:cs="Arial"/>
          <w:iCs/>
          <w:color w:val="222222"/>
          <w:sz w:val="20"/>
          <w:szCs w:val="20"/>
          <w:shd w:val="clear" w:color="auto" w:fill="FFFFFF"/>
        </w:rPr>
        <w:t>180</w:t>
      </w:r>
      <w:r w:rsidR="00224B03" w:rsidRPr="004E5334">
        <w:rPr>
          <w:rFonts w:cs="Arial"/>
          <w:color w:val="222222"/>
          <w:sz w:val="20"/>
          <w:szCs w:val="20"/>
          <w:shd w:val="clear" w:color="auto" w:fill="FFFFFF"/>
        </w:rPr>
        <w:t>:</w:t>
      </w:r>
      <w:r w:rsidR="00213967" w:rsidRPr="004E5334">
        <w:rPr>
          <w:rFonts w:cs="Arial"/>
          <w:color w:val="222222"/>
          <w:sz w:val="20"/>
          <w:szCs w:val="20"/>
          <w:shd w:val="clear" w:color="auto" w:fill="FFFFFF"/>
        </w:rPr>
        <w:t>229–</w:t>
      </w:r>
      <w:r w:rsidRPr="004E5334">
        <w:rPr>
          <w:rFonts w:cs="Arial"/>
          <w:color w:val="222222"/>
          <w:sz w:val="20"/>
          <w:szCs w:val="20"/>
          <w:shd w:val="clear" w:color="auto" w:fill="FFFFFF"/>
        </w:rPr>
        <w:t>239.</w:t>
      </w:r>
    </w:p>
    <w:p w14:paraId="00C3E3C8" w14:textId="77777777" w:rsidR="000A7739" w:rsidRPr="000A7739" w:rsidRDefault="000A7739" w:rsidP="000A7739">
      <w:pPr>
        <w:spacing w:after="0" w:line="240" w:lineRule="auto"/>
        <w:ind w:left="567" w:hanging="567"/>
        <w:rPr>
          <w:rFonts w:cs="Arial"/>
          <w:color w:val="222222"/>
          <w:sz w:val="20"/>
          <w:szCs w:val="20"/>
          <w:shd w:val="clear" w:color="auto" w:fill="FFFFFF"/>
        </w:rPr>
      </w:pPr>
      <w:r w:rsidRPr="000A7739">
        <w:rPr>
          <w:rFonts w:cs="Arial"/>
          <w:color w:val="222222"/>
          <w:sz w:val="20"/>
          <w:szCs w:val="20"/>
          <w:shd w:val="clear" w:color="auto" w:fill="FFFFFF"/>
        </w:rPr>
        <w:t>Pagani, L., D.J. Lawson, E. Jagoda, A. Mörseburg, A. Eriksson, M. Mitt, F.Clemente, G. Hudjashov, M. DeGiorgio, L. Saag, J.D. Wall, A. Cardona, R. Mägi, M.A.W. Sayres, S. Kaewert, C. Inchley, C.L. Scheib, M. Järve, M. Karmin, G.S.Jacobs, T. Antao, F.M. Iliescu, A. Kushniarevich, Q. Ayub, C. Tyler-Smith, Y. Xue, B. Yunusbayev, K. Tambets, C.B. Mallick, L. Saag, E. Pocheshkhova, G.Andriadze, C. Muller, M.C. Westaway, D.M. Lambert, G. Zoraqi, S. Turdikulova, D. Dalimova, Z. Sabitov, G.N.N. Sultana, J. Lachance, S. Tishkoff, K. Momynaliev, J. Isakova, L.D. Damba, M. Gubina, P. Nymadawa, I. Evseeva, L. Atramentova, O. Utevska, F. Ricaut, N. Brucato, H. Sudoyo, T. Letellier, M.P. Cox, N.A.Barashkov, V. Škaro, L. Mulahasanovic, D. Primorac, H. Sahakyan, M. Mormina, C.A. Eichstaedt, D.V. Lichman, S. Abdullah, G. Chaubey, J.T.S. Wee, E. Mihailov, A. Karunas, S. Litvinov, R. Khusainova, N. Ekomasova, V. Akhmetova, I.Khidiyatova, D. Marjanović, L. Yepiskoposyan, D.M. Behar, E. Balanovska, A.Metspalu, M. Derenko, B. Malyarchuk, M. Voevoda, S.A. Fedorova, L.P.Osipova, M.M. Lahr, P. Gerbault, M. Leavesley, A.B. Migliano, M. Petraglia, O.Balanovsky, E.K. Khusnutdinova, E. Metspalu, M.G. Thomas, A. Manica, R.Nielsen, R. Villems, E. Willerslev, T. Kivisild and M. Metspalu 2016 Genomic analyses inform on migration events during the peopling of Eurasia. Nature 538(7624):238–242.</w:t>
      </w:r>
    </w:p>
    <w:p w14:paraId="19E35DF2" w14:textId="63E3CAF2" w:rsidR="00D5094B" w:rsidRPr="004E5334" w:rsidRDefault="006F6E89" w:rsidP="006F6E89">
      <w:pPr>
        <w:spacing w:after="0" w:line="240" w:lineRule="auto"/>
        <w:ind w:left="567" w:hanging="567"/>
      </w:pPr>
      <w:r w:rsidRPr="004E5334">
        <w:t>K. Prüfer, C. de Filippo, S. Grote, F. Mafessoni, P. Korlević, M. Hajdinjak, B. Vernot, L. Skov , P. Hsieh , S. Peyrégne , D. Reher , C. Hopfe , S. Nagel, T. Maricic , Q. Fu , C. Theunert, R. Rogers , P. Skoglund , M. Chintalapati , M.l Dannemann , B.J. Nelson , F. M. Key , P. Rudan, Ž. Kućan , I. Gušić, L. V. Golovanova , V.B. Doronichev , N. Patterson , D. Reich , E.E. Eichler , M. Slatkin , M.H. Schierup , A. Andrés , J. Kelso , M. Meyer and S. Pääbo 2017</w:t>
      </w:r>
      <w:r w:rsidR="00D5094B" w:rsidRPr="004E5334">
        <w:t xml:space="preserve"> A high-coverage Neandertal genome from Vindija Cave in Croatia. </w:t>
      </w:r>
      <w:r w:rsidR="00D5094B" w:rsidRPr="004E5334">
        <w:rPr>
          <w:i/>
        </w:rPr>
        <w:t>Science</w:t>
      </w:r>
      <w:r w:rsidR="00D5094B" w:rsidRPr="004E5334">
        <w:t xml:space="preserve"> 358</w:t>
      </w:r>
      <w:r w:rsidR="00A4206A" w:rsidRPr="004E5334">
        <w:t>(</w:t>
      </w:r>
      <w:r w:rsidR="00011E1F" w:rsidRPr="004E5334">
        <w:t>6363</w:t>
      </w:r>
      <w:r w:rsidR="00A4206A" w:rsidRPr="004E5334">
        <w:t>)</w:t>
      </w:r>
      <w:r w:rsidR="00D5094B" w:rsidRPr="004E5334">
        <w:t>655–658.</w:t>
      </w:r>
    </w:p>
    <w:p w14:paraId="4297D538" w14:textId="6BC68F1A" w:rsidR="00D5094B" w:rsidRPr="004E5334" w:rsidRDefault="00D5094B" w:rsidP="00D5094B">
      <w:pPr>
        <w:spacing w:after="0" w:line="240" w:lineRule="auto"/>
        <w:ind w:left="567" w:hanging="567"/>
      </w:pPr>
      <w:r w:rsidRPr="004E5334">
        <w:rPr>
          <w:color w:val="222222"/>
        </w:rPr>
        <w:t>Rabett, R.J</w:t>
      </w:r>
      <w:r w:rsidR="00CC76E8" w:rsidRPr="004E5334">
        <w:rPr>
          <w:color w:val="222222"/>
        </w:rPr>
        <w:t>., 2018</w:t>
      </w:r>
      <w:r w:rsidRPr="004E5334">
        <w:rPr>
          <w:color w:val="222222"/>
        </w:rPr>
        <w:t xml:space="preserve"> The success of failed Homo sapiens dispersals out of Africa and into Asia. </w:t>
      </w:r>
      <w:r w:rsidR="00362BCD" w:rsidRPr="004E5334">
        <w:rPr>
          <w:i/>
          <w:iCs/>
          <w:color w:val="222222"/>
        </w:rPr>
        <w:t>Nature Ecology &amp; E</w:t>
      </w:r>
      <w:r w:rsidRPr="004E5334">
        <w:rPr>
          <w:i/>
          <w:iCs/>
          <w:color w:val="222222"/>
        </w:rPr>
        <w:t>volution</w:t>
      </w:r>
      <w:r w:rsidR="00362BCD" w:rsidRPr="004E5334">
        <w:rPr>
          <w:color w:val="222222"/>
        </w:rPr>
        <w:t xml:space="preserve"> 2:212–219.</w:t>
      </w:r>
    </w:p>
    <w:p w14:paraId="55DBAA0C" w14:textId="42ABE9A2" w:rsidR="00D5094B" w:rsidRPr="004E5334" w:rsidRDefault="00D5094B" w:rsidP="00D5094B">
      <w:pPr>
        <w:spacing w:after="0"/>
        <w:ind w:left="567" w:hanging="567"/>
        <w:rPr>
          <w:color w:val="222222"/>
        </w:rPr>
      </w:pPr>
      <w:r w:rsidRPr="004E5334">
        <w:rPr>
          <w:color w:val="222222"/>
        </w:rPr>
        <w:t xml:space="preserve">Rasmussen, M., </w:t>
      </w:r>
      <w:r w:rsidR="0083753A" w:rsidRPr="004E5334">
        <w:rPr>
          <w:color w:val="222222"/>
        </w:rPr>
        <w:t xml:space="preserve">X., </w:t>
      </w:r>
      <w:r w:rsidRPr="004E5334">
        <w:rPr>
          <w:color w:val="222222"/>
        </w:rPr>
        <w:t xml:space="preserve">Guo, </w:t>
      </w:r>
      <w:r w:rsidR="0083753A" w:rsidRPr="004E5334">
        <w:rPr>
          <w:color w:val="222222"/>
        </w:rPr>
        <w:t>Y. Wang</w:t>
      </w:r>
      <w:r w:rsidRPr="004E5334">
        <w:rPr>
          <w:color w:val="222222"/>
        </w:rPr>
        <w:t xml:space="preserve">, </w:t>
      </w:r>
      <w:r w:rsidR="0083753A" w:rsidRPr="004E5334">
        <w:rPr>
          <w:color w:val="222222"/>
        </w:rPr>
        <w:t xml:space="preserve">K.E. </w:t>
      </w:r>
      <w:r w:rsidRPr="004E5334">
        <w:rPr>
          <w:color w:val="222222"/>
        </w:rPr>
        <w:t xml:space="preserve">Lohmueller, </w:t>
      </w:r>
      <w:r w:rsidR="0083753A" w:rsidRPr="004E5334">
        <w:rPr>
          <w:color w:val="222222"/>
        </w:rPr>
        <w:t xml:space="preserve">S. </w:t>
      </w:r>
      <w:r w:rsidRPr="004E5334">
        <w:rPr>
          <w:color w:val="222222"/>
        </w:rPr>
        <w:t xml:space="preserve">Rasmussen, </w:t>
      </w:r>
      <w:r w:rsidR="0083753A" w:rsidRPr="004E5334">
        <w:rPr>
          <w:color w:val="222222"/>
        </w:rPr>
        <w:t xml:space="preserve">A. </w:t>
      </w:r>
      <w:r w:rsidRPr="004E5334">
        <w:rPr>
          <w:color w:val="222222"/>
        </w:rPr>
        <w:t xml:space="preserve">Albrechtsen, </w:t>
      </w:r>
      <w:r w:rsidR="0083753A" w:rsidRPr="004E5334">
        <w:rPr>
          <w:color w:val="222222"/>
        </w:rPr>
        <w:t xml:space="preserve">L. </w:t>
      </w:r>
      <w:r w:rsidRPr="004E5334">
        <w:rPr>
          <w:color w:val="222222"/>
        </w:rPr>
        <w:t xml:space="preserve">Skotte, </w:t>
      </w:r>
      <w:r w:rsidR="0083753A" w:rsidRPr="004E5334">
        <w:rPr>
          <w:color w:val="222222"/>
        </w:rPr>
        <w:t xml:space="preserve">S. </w:t>
      </w:r>
      <w:r w:rsidRPr="004E5334">
        <w:rPr>
          <w:color w:val="222222"/>
        </w:rPr>
        <w:t xml:space="preserve">Lindgreen, </w:t>
      </w:r>
      <w:r w:rsidR="0083753A" w:rsidRPr="004E5334">
        <w:rPr>
          <w:color w:val="222222"/>
        </w:rPr>
        <w:t xml:space="preserve">M. </w:t>
      </w:r>
      <w:r w:rsidRPr="004E5334">
        <w:rPr>
          <w:color w:val="222222"/>
        </w:rPr>
        <w:t xml:space="preserve">Metspalu, </w:t>
      </w:r>
      <w:r w:rsidR="0083753A" w:rsidRPr="004E5334">
        <w:rPr>
          <w:color w:val="222222"/>
        </w:rPr>
        <w:t>T. Jombart</w:t>
      </w:r>
      <w:r w:rsidRPr="004E5334">
        <w:rPr>
          <w:color w:val="222222"/>
        </w:rPr>
        <w:t xml:space="preserve"> </w:t>
      </w:r>
      <w:r w:rsidR="0083753A" w:rsidRPr="004E5334">
        <w:rPr>
          <w:color w:val="222222"/>
        </w:rPr>
        <w:t xml:space="preserve">and T. </w:t>
      </w:r>
      <w:r w:rsidR="001963A8" w:rsidRPr="004E5334">
        <w:rPr>
          <w:color w:val="222222"/>
        </w:rPr>
        <w:t>Kivisild</w:t>
      </w:r>
      <w:r w:rsidR="0083753A" w:rsidRPr="004E5334">
        <w:rPr>
          <w:color w:val="222222"/>
        </w:rPr>
        <w:t xml:space="preserve"> 2011</w:t>
      </w:r>
      <w:r w:rsidRPr="004E5334">
        <w:rPr>
          <w:color w:val="222222"/>
        </w:rPr>
        <w:t xml:space="preserve"> An Aboriginal Australian genome reveals separate human dispersals into Asia. </w:t>
      </w:r>
      <w:r w:rsidRPr="004E5334">
        <w:rPr>
          <w:i/>
          <w:iCs/>
          <w:color w:val="222222"/>
        </w:rPr>
        <w:t>Science</w:t>
      </w:r>
      <w:r w:rsidRPr="004E5334">
        <w:rPr>
          <w:color w:val="222222"/>
        </w:rPr>
        <w:t xml:space="preserve"> </w:t>
      </w:r>
      <w:r w:rsidRPr="004E5334">
        <w:rPr>
          <w:i/>
          <w:iCs/>
          <w:color w:val="222222"/>
        </w:rPr>
        <w:t>334</w:t>
      </w:r>
      <w:r w:rsidR="001963A8" w:rsidRPr="004E5334">
        <w:rPr>
          <w:color w:val="222222"/>
        </w:rPr>
        <w:t>(6052):</w:t>
      </w:r>
      <w:r w:rsidRPr="004E5334">
        <w:rPr>
          <w:color w:val="222222"/>
        </w:rPr>
        <w:t>94</w:t>
      </w:r>
      <w:r w:rsidR="0083753A" w:rsidRPr="004E5334">
        <w:rPr>
          <w:color w:val="222222"/>
        </w:rPr>
        <w:t>–</w:t>
      </w:r>
      <w:r w:rsidRPr="004E5334">
        <w:rPr>
          <w:color w:val="222222"/>
        </w:rPr>
        <w:t>98.</w:t>
      </w:r>
    </w:p>
    <w:p w14:paraId="67176CFE" w14:textId="6F53B584" w:rsidR="00D5094B" w:rsidRPr="004E5334" w:rsidRDefault="00D5094B" w:rsidP="00D5094B">
      <w:pPr>
        <w:spacing w:after="0"/>
        <w:ind w:left="567" w:hanging="567"/>
        <w:rPr>
          <w:color w:val="222222"/>
        </w:rPr>
      </w:pPr>
      <w:r w:rsidRPr="004E5334">
        <w:rPr>
          <w:color w:val="222222"/>
        </w:rPr>
        <w:t xml:space="preserve">Roberts, R.G., </w:t>
      </w:r>
      <w:r w:rsidR="00EA02A8" w:rsidRPr="004E5334">
        <w:rPr>
          <w:color w:val="222222"/>
        </w:rPr>
        <w:t>R. Jones</w:t>
      </w:r>
      <w:r w:rsidRPr="004E5334">
        <w:rPr>
          <w:color w:val="222222"/>
        </w:rPr>
        <w:t xml:space="preserve"> and </w:t>
      </w:r>
      <w:r w:rsidR="00EA02A8" w:rsidRPr="004E5334">
        <w:rPr>
          <w:color w:val="222222"/>
        </w:rPr>
        <w:t>M.A. Smith</w:t>
      </w:r>
      <w:r w:rsidRPr="004E5334">
        <w:rPr>
          <w:color w:val="222222"/>
        </w:rPr>
        <w:t xml:space="preserve"> </w:t>
      </w:r>
      <w:r w:rsidR="00EA02A8" w:rsidRPr="004E5334">
        <w:rPr>
          <w:color w:val="222222"/>
        </w:rPr>
        <w:t>1990</w:t>
      </w:r>
      <w:r w:rsidRPr="004E5334">
        <w:rPr>
          <w:color w:val="222222"/>
        </w:rPr>
        <w:t xml:space="preserve"> Thermoluminescence dating of a 50,000-year-old human occupation site in northern Australia. </w:t>
      </w:r>
      <w:r w:rsidRPr="004E5334">
        <w:rPr>
          <w:i/>
          <w:iCs/>
          <w:color w:val="222222"/>
        </w:rPr>
        <w:t>Nature</w:t>
      </w:r>
      <w:r w:rsidR="001963A8" w:rsidRPr="004E5334">
        <w:rPr>
          <w:color w:val="222222"/>
        </w:rPr>
        <w:t xml:space="preserve"> </w:t>
      </w:r>
      <w:r w:rsidRPr="004E5334">
        <w:rPr>
          <w:i/>
          <w:iCs/>
          <w:color w:val="222222"/>
        </w:rPr>
        <w:t>345</w:t>
      </w:r>
      <w:r w:rsidR="001963A8" w:rsidRPr="004E5334">
        <w:rPr>
          <w:color w:val="222222"/>
        </w:rPr>
        <w:t>(6271):</w:t>
      </w:r>
      <w:r w:rsidRPr="004E5334">
        <w:rPr>
          <w:color w:val="222222"/>
        </w:rPr>
        <w:t>153</w:t>
      </w:r>
      <w:r w:rsidR="0083753A" w:rsidRPr="004E5334">
        <w:rPr>
          <w:color w:val="222222"/>
        </w:rPr>
        <w:t>–156</w:t>
      </w:r>
      <w:r w:rsidRPr="004E5334">
        <w:rPr>
          <w:color w:val="222222"/>
        </w:rPr>
        <w:t>.</w:t>
      </w:r>
    </w:p>
    <w:p w14:paraId="08BD35ED" w14:textId="01F01E4F" w:rsidR="00D5094B" w:rsidRPr="004E5334" w:rsidRDefault="00D5094B" w:rsidP="00D5094B">
      <w:pPr>
        <w:spacing w:after="0"/>
        <w:ind w:left="567" w:hanging="567"/>
      </w:pPr>
      <w:r w:rsidRPr="004E5334">
        <w:rPr>
          <w:color w:val="222222"/>
        </w:rPr>
        <w:t xml:space="preserve">Roberts, R.G., Jones, R., Spooner, N.A., Head, M.J., Murray, A.S. and Smith, M.A., 1994. The human colonisation of Australia: optical dates of 53,000 and 60,000 years bracket human arrival at Deaf Adder Gorge, Northern Territory. </w:t>
      </w:r>
      <w:r w:rsidRPr="004E5334">
        <w:rPr>
          <w:i/>
          <w:iCs/>
          <w:color w:val="222222"/>
        </w:rPr>
        <w:t>Quaternary Science Reviews</w:t>
      </w:r>
      <w:r w:rsidRPr="004E5334">
        <w:rPr>
          <w:color w:val="222222"/>
        </w:rPr>
        <w:t xml:space="preserve"> </w:t>
      </w:r>
      <w:r w:rsidRPr="004E5334">
        <w:rPr>
          <w:iCs/>
          <w:color w:val="222222"/>
        </w:rPr>
        <w:t>13</w:t>
      </w:r>
      <w:r w:rsidRPr="004E5334">
        <w:rPr>
          <w:color w:val="222222"/>
        </w:rPr>
        <w:t>(5</w:t>
      </w:r>
      <w:r w:rsidR="00194D9C" w:rsidRPr="004E5334">
        <w:rPr>
          <w:color w:val="222222"/>
        </w:rPr>
        <w:t>):</w:t>
      </w:r>
      <w:r w:rsidRPr="004E5334">
        <w:rPr>
          <w:color w:val="222222"/>
        </w:rPr>
        <w:t>575</w:t>
      </w:r>
      <w:r w:rsidR="00C54144" w:rsidRPr="004E5334">
        <w:rPr>
          <w:color w:val="222222"/>
        </w:rPr>
        <w:t>–</w:t>
      </w:r>
      <w:r w:rsidRPr="004E5334">
        <w:rPr>
          <w:color w:val="222222"/>
        </w:rPr>
        <w:t>583.</w:t>
      </w:r>
    </w:p>
    <w:p w14:paraId="5DCA7CEB" w14:textId="1CCA1D89" w:rsidR="00D5094B" w:rsidRPr="004E5334" w:rsidRDefault="00A10143" w:rsidP="00D5094B">
      <w:pPr>
        <w:spacing w:after="0" w:line="240" w:lineRule="auto"/>
        <w:ind w:left="567" w:hanging="567"/>
      </w:pPr>
      <w:r w:rsidRPr="004E5334">
        <w:t>Sankararaman</w:t>
      </w:r>
      <w:r w:rsidR="00D5094B" w:rsidRPr="004E5334">
        <w:t xml:space="preserve">, S., </w:t>
      </w:r>
      <w:r w:rsidR="00194D9C" w:rsidRPr="004E5334">
        <w:t xml:space="preserve">N. </w:t>
      </w:r>
      <w:r w:rsidR="00D5094B" w:rsidRPr="004E5334">
        <w:t xml:space="preserve">Patterson, </w:t>
      </w:r>
      <w:r w:rsidR="00194D9C" w:rsidRPr="004E5334">
        <w:t xml:space="preserve">H. </w:t>
      </w:r>
      <w:r w:rsidR="00D5094B" w:rsidRPr="004E5334">
        <w:t xml:space="preserve">Li, </w:t>
      </w:r>
      <w:r w:rsidR="00194D9C" w:rsidRPr="004E5334">
        <w:t>S. Pääbo and D.</w:t>
      </w:r>
      <w:r w:rsidR="00D5094B" w:rsidRPr="004E5334">
        <w:t xml:space="preserve"> </w:t>
      </w:r>
      <w:r w:rsidR="00194D9C" w:rsidRPr="004E5334">
        <w:t>Reich 2012</w:t>
      </w:r>
      <w:r w:rsidR="00D5094B" w:rsidRPr="004E5334">
        <w:t xml:space="preserve"> The date of interbreeding between Neandertals and modern humans. </w:t>
      </w:r>
      <w:r w:rsidR="00D5094B" w:rsidRPr="004E5334">
        <w:rPr>
          <w:i/>
        </w:rPr>
        <w:t>PLoS Genetics</w:t>
      </w:r>
      <w:r w:rsidR="00D5094B" w:rsidRPr="004E5334">
        <w:t xml:space="preserve"> 8, e1002947.</w:t>
      </w:r>
    </w:p>
    <w:p w14:paraId="3C272993" w14:textId="5D49F2C7" w:rsidR="00D5094B" w:rsidRPr="00940F21" w:rsidRDefault="00940F21" w:rsidP="00940F21">
      <w:pPr>
        <w:spacing w:after="0"/>
        <w:ind w:left="567" w:hanging="567"/>
        <w:rPr>
          <w:color w:val="222222"/>
        </w:rPr>
      </w:pPr>
      <w:r w:rsidRPr="00940F21">
        <w:rPr>
          <w:color w:val="222222"/>
        </w:rPr>
        <w:t>R. Tobler, A. Rohrlach, J. Soubrier, P. Bover, B. Llamas, J. Tuke, N. Bean, A.i Abdullah-Highfold, S. Agius, A. O’Donoghue, I. O’Loughlin, P. Sutton, F. Zilio, K. Walshe, A.N. Williams, C.S.M. Turney, M. Williams, S.M. Richards, R.J. Mitchell, E. Kowal, J.R. Stephen, L.Williams, W. Haak and A. Cooper</w:t>
      </w:r>
      <w:r>
        <w:rPr>
          <w:color w:val="222222"/>
        </w:rPr>
        <w:t xml:space="preserve"> </w:t>
      </w:r>
      <w:r w:rsidR="003106DE" w:rsidRPr="004E5334">
        <w:rPr>
          <w:color w:val="222222"/>
        </w:rPr>
        <w:t>2017</w:t>
      </w:r>
      <w:r w:rsidR="00D5094B" w:rsidRPr="004E5334">
        <w:rPr>
          <w:color w:val="222222"/>
        </w:rPr>
        <w:t xml:space="preserve"> Aboriginal mitogenomes reveal 50,000 years of regionalism in Australia. </w:t>
      </w:r>
      <w:r w:rsidR="00D5094B" w:rsidRPr="004E5334">
        <w:rPr>
          <w:i/>
          <w:iCs/>
          <w:color w:val="222222"/>
        </w:rPr>
        <w:t>Nature</w:t>
      </w:r>
      <w:r w:rsidR="00D5094B" w:rsidRPr="004E5334">
        <w:rPr>
          <w:color w:val="222222"/>
        </w:rPr>
        <w:t xml:space="preserve"> </w:t>
      </w:r>
      <w:r w:rsidR="00D5094B" w:rsidRPr="004E5334">
        <w:rPr>
          <w:iCs/>
          <w:color w:val="222222"/>
        </w:rPr>
        <w:t>544</w:t>
      </w:r>
      <w:r w:rsidR="008904A7" w:rsidRPr="004E5334">
        <w:rPr>
          <w:color w:val="222222"/>
        </w:rPr>
        <w:t>(7649):</w:t>
      </w:r>
      <w:r w:rsidR="00D5094B" w:rsidRPr="004E5334">
        <w:rPr>
          <w:color w:val="222222"/>
        </w:rPr>
        <w:t>180</w:t>
      </w:r>
      <w:r w:rsidR="003106DE" w:rsidRPr="004E5334">
        <w:rPr>
          <w:color w:val="222222"/>
        </w:rPr>
        <w:t>–184</w:t>
      </w:r>
      <w:r w:rsidR="00D5094B" w:rsidRPr="004E5334">
        <w:rPr>
          <w:color w:val="222222"/>
        </w:rPr>
        <w:t>.</w:t>
      </w:r>
    </w:p>
    <w:p w14:paraId="5DC79A3B" w14:textId="2862A566" w:rsidR="00D5094B" w:rsidRPr="004E5334" w:rsidRDefault="003106DE" w:rsidP="00D5094B">
      <w:pPr>
        <w:spacing w:after="0"/>
        <w:ind w:left="567" w:hanging="567"/>
        <w:rPr>
          <w:color w:val="222222"/>
        </w:rPr>
      </w:pPr>
      <w:r w:rsidRPr="004E5334">
        <w:rPr>
          <w:color w:val="222222"/>
        </w:rPr>
        <w:t>Veth, P. 2017</w:t>
      </w:r>
      <w:r w:rsidR="00D5094B" w:rsidRPr="004E5334">
        <w:rPr>
          <w:color w:val="222222"/>
        </w:rPr>
        <w:t xml:space="preserve"> Breaking through the radiocarbon barrier: Madjedbebe and the new chronology for Aboriginal occupation of Australia. </w:t>
      </w:r>
      <w:r w:rsidR="00D5094B" w:rsidRPr="004E5334">
        <w:rPr>
          <w:i/>
          <w:iCs/>
          <w:color w:val="222222"/>
        </w:rPr>
        <w:t>Australian Archaeology</w:t>
      </w:r>
      <w:r w:rsidR="00D5094B" w:rsidRPr="004E5334">
        <w:rPr>
          <w:color w:val="222222"/>
        </w:rPr>
        <w:t xml:space="preserve">, </w:t>
      </w:r>
      <w:r w:rsidR="00D5094B" w:rsidRPr="004E5334">
        <w:rPr>
          <w:i/>
          <w:iCs/>
          <w:color w:val="222222"/>
        </w:rPr>
        <w:t>83</w:t>
      </w:r>
      <w:r w:rsidRPr="004E5334">
        <w:rPr>
          <w:color w:val="222222"/>
        </w:rPr>
        <w:t>(3):</w:t>
      </w:r>
      <w:r w:rsidR="00213967" w:rsidRPr="004E5334">
        <w:rPr>
          <w:color w:val="222222"/>
        </w:rPr>
        <w:t>165–</w:t>
      </w:r>
      <w:r w:rsidR="00D5094B" w:rsidRPr="004E5334">
        <w:rPr>
          <w:color w:val="222222"/>
        </w:rPr>
        <w:t>167.</w:t>
      </w:r>
    </w:p>
    <w:p w14:paraId="4D74AF1C" w14:textId="6520CB1B" w:rsidR="00D5094B" w:rsidRPr="004E5334" w:rsidRDefault="00D5094B" w:rsidP="00D5094B">
      <w:pPr>
        <w:spacing w:after="0"/>
        <w:ind w:left="567" w:hanging="567"/>
        <w:rPr>
          <w:color w:val="222222"/>
        </w:rPr>
      </w:pPr>
      <w:r w:rsidRPr="004E5334">
        <w:rPr>
          <w:color w:val="222222"/>
        </w:rPr>
        <w:t xml:space="preserve">Veth, P., </w:t>
      </w:r>
      <w:r w:rsidR="003106DE" w:rsidRPr="004E5334">
        <w:rPr>
          <w:color w:val="222222"/>
        </w:rPr>
        <w:t xml:space="preserve">I. </w:t>
      </w:r>
      <w:r w:rsidRPr="004E5334">
        <w:rPr>
          <w:color w:val="222222"/>
        </w:rPr>
        <w:t xml:space="preserve">Ward, </w:t>
      </w:r>
      <w:r w:rsidR="003106DE" w:rsidRPr="004E5334">
        <w:rPr>
          <w:color w:val="222222"/>
        </w:rPr>
        <w:t xml:space="preserve">T. </w:t>
      </w:r>
      <w:r w:rsidRPr="004E5334">
        <w:rPr>
          <w:color w:val="222222"/>
        </w:rPr>
        <w:t xml:space="preserve">Manne, </w:t>
      </w:r>
      <w:r w:rsidR="003106DE" w:rsidRPr="004E5334">
        <w:rPr>
          <w:color w:val="222222"/>
        </w:rPr>
        <w:t xml:space="preserve">S. </w:t>
      </w:r>
      <w:r w:rsidRPr="004E5334">
        <w:rPr>
          <w:color w:val="222222"/>
        </w:rPr>
        <w:t xml:space="preserve">Ulm, </w:t>
      </w:r>
      <w:r w:rsidR="003106DE" w:rsidRPr="004E5334">
        <w:rPr>
          <w:color w:val="222222"/>
        </w:rPr>
        <w:t xml:space="preserve">K. </w:t>
      </w:r>
      <w:r w:rsidRPr="004E5334">
        <w:rPr>
          <w:color w:val="222222"/>
        </w:rPr>
        <w:t xml:space="preserve">Ditchfield, </w:t>
      </w:r>
      <w:r w:rsidR="003106DE" w:rsidRPr="004E5334">
        <w:rPr>
          <w:color w:val="222222"/>
        </w:rPr>
        <w:t xml:space="preserve">J. </w:t>
      </w:r>
      <w:r w:rsidRPr="004E5334">
        <w:rPr>
          <w:color w:val="222222"/>
        </w:rPr>
        <w:t xml:space="preserve">Dortch, </w:t>
      </w:r>
      <w:r w:rsidR="003106DE" w:rsidRPr="004E5334">
        <w:rPr>
          <w:color w:val="222222"/>
        </w:rPr>
        <w:t xml:space="preserve">F. </w:t>
      </w:r>
      <w:r w:rsidRPr="004E5334">
        <w:rPr>
          <w:color w:val="222222"/>
        </w:rPr>
        <w:t xml:space="preserve">Hook, </w:t>
      </w:r>
      <w:r w:rsidR="003106DE" w:rsidRPr="004E5334">
        <w:rPr>
          <w:color w:val="222222"/>
        </w:rPr>
        <w:t xml:space="preserve">F. </w:t>
      </w:r>
      <w:r w:rsidRPr="004E5334">
        <w:rPr>
          <w:color w:val="222222"/>
        </w:rPr>
        <w:t xml:space="preserve">Petchey, </w:t>
      </w:r>
      <w:r w:rsidR="003106DE" w:rsidRPr="004E5334">
        <w:rPr>
          <w:color w:val="222222"/>
        </w:rPr>
        <w:t xml:space="preserve">A. </w:t>
      </w:r>
      <w:r w:rsidRPr="004E5334">
        <w:rPr>
          <w:color w:val="222222"/>
        </w:rPr>
        <w:t xml:space="preserve">Hogg, </w:t>
      </w:r>
      <w:r w:rsidR="003106DE" w:rsidRPr="004E5334">
        <w:rPr>
          <w:color w:val="222222"/>
        </w:rPr>
        <w:t xml:space="preserve">D. </w:t>
      </w:r>
      <w:r w:rsidRPr="004E5334">
        <w:rPr>
          <w:color w:val="222222"/>
        </w:rPr>
        <w:t xml:space="preserve">Questiaux, and </w:t>
      </w:r>
      <w:r w:rsidR="003106DE" w:rsidRPr="004E5334">
        <w:rPr>
          <w:color w:val="222222"/>
        </w:rPr>
        <w:t xml:space="preserve">M. </w:t>
      </w:r>
      <w:r w:rsidRPr="004E5334">
        <w:rPr>
          <w:color w:val="222222"/>
        </w:rPr>
        <w:t>Demuro</w:t>
      </w:r>
      <w:r w:rsidR="003106DE" w:rsidRPr="004E5334">
        <w:rPr>
          <w:color w:val="222222"/>
        </w:rPr>
        <w:t xml:space="preserve"> 2017</w:t>
      </w:r>
      <w:r w:rsidRPr="004E5334">
        <w:rPr>
          <w:color w:val="222222"/>
        </w:rPr>
        <w:t xml:space="preserve"> Early human occupation of a maritime desert, Barrow Island, North-West Australia. </w:t>
      </w:r>
      <w:r w:rsidRPr="004E5334">
        <w:rPr>
          <w:i/>
          <w:iCs/>
          <w:color w:val="222222"/>
        </w:rPr>
        <w:t>Quaternary Science Reviews</w:t>
      </w:r>
      <w:r w:rsidRPr="004E5334">
        <w:rPr>
          <w:color w:val="222222"/>
        </w:rPr>
        <w:t xml:space="preserve"> </w:t>
      </w:r>
      <w:r w:rsidRPr="004E5334">
        <w:rPr>
          <w:iCs/>
          <w:color w:val="222222"/>
        </w:rPr>
        <w:t>168</w:t>
      </w:r>
      <w:r w:rsidR="003106DE" w:rsidRPr="004E5334">
        <w:rPr>
          <w:color w:val="222222"/>
        </w:rPr>
        <w:t>:</w:t>
      </w:r>
      <w:r w:rsidRPr="004E5334">
        <w:rPr>
          <w:color w:val="222222"/>
        </w:rPr>
        <w:t>19</w:t>
      </w:r>
      <w:r w:rsidR="003106DE" w:rsidRPr="004E5334">
        <w:rPr>
          <w:color w:val="222222"/>
        </w:rPr>
        <w:t>–</w:t>
      </w:r>
      <w:r w:rsidRPr="004E5334">
        <w:rPr>
          <w:color w:val="222222"/>
        </w:rPr>
        <w:t>29.</w:t>
      </w:r>
    </w:p>
    <w:p w14:paraId="106EB1AC" w14:textId="7B74E477" w:rsidR="00D5094B" w:rsidRPr="004E5334" w:rsidRDefault="00D5094B" w:rsidP="00156108">
      <w:pPr>
        <w:spacing w:after="0"/>
        <w:ind w:left="567" w:hanging="567"/>
        <w:rPr>
          <w:color w:val="222222"/>
        </w:rPr>
      </w:pPr>
      <w:r w:rsidRPr="004E5334">
        <w:rPr>
          <w:color w:val="222222"/>
        </w:rPr>
        <w:t xml:space="preserve">Westaway, K.E., </w:t>
      </w:r>
      <w:r w:rsidR="00271650" w:rsidRPr="004E5334">
        <w:rPr>
          <w:color w:val="222222"/>
        </w:rPr>
        <w:t xml:space="preserve">J. </w:t>
      </w:r>
      <w:r w:rsidRPr="004E5334">
        <w:rPr>
          <w:color w:val="222222"/>
        </w:rPr>
        <w:t xml:space="preserve">Louys, </w:t>
      </w:r>
      <w:r w:rsidR="00271650" w:rsidRPr="004E5334">
        <w:rPr>
          <w:color w:val="222222"/>
        </w:rPr>
        <w:t xml:space="preserve">R.D. </w:t>
      </w:r>
      <w:r w:rsidRPr="004E5334">
        <w:rPr>
          <w:color w:val="222222"/>
        </w:rPr>
        <w:t xml:space="preserve">Awe, </w:t>
      </w:r>
      <w:r w:rsidR="00271650" w:rsidRPr="004E5334">
        <w:rPr>
          <w:color w:val="222222"/>
        </w:rPr>
        <w:t xml:space="preserve">M.J. </w:t>
      </w:r>
      <w:r w:rsidRPr="004E5334">
        <w:rPr>
          <w:color w:val="222222"/>
        </w:rPr>
        <w:t xml:space="preserve">Morwood, </w:t>
      </w:r>
      <w:r w:rsidR="00271650" w:rsidRPr="004E5334">
        <w:rPr>
          <w:color w:val="222222"/>
        </w:rPr>
        <w:t xml:space="preserve">G.J. </w:t>
      </w:r>
      <w:r w:rsidRPr="004E5334">
        <w:rPr>
          <w:color w:val="222222"/>
        </w:rPr>
        <w:t xml:space="preserve">Price, </w:t>
      </w:r>
      <w:r w:rsidR="00271650" w:rsidRPr="004E5334">
        <w:rPr>
          <w:color w:val="222222"/>
        </w:rPr>
        <w:t xml:space="preserve">J.X. </w:t>
      </w:r>
      <w:r w:rsidRPr="004E5334">
        <w:rPr>
          <w:color w:val="222222"/>
        </w:rPr>
        <w:t>Zhao</w:t>
      </w:r>
      <w:r w:rsidR="00271650" w:rsidRPr="004E5334">
        <w:rPr>
          <w:color w:val="222222"/>
        </w:rPr>
        <w:t xml:space="preserve">, M. </w:t>
      </w:r>
      <w:r w:rsidRPr="004E5334">
        <w:rPr>
          <w:color w:val="222222"/>
        </w:rPr>
        <w:t xml:space="preserve">Aubert, </w:t>
      </w:r>
      <w:r w:rsidR="00271650" w:rsidRPr="004E5334">
        <w:rPr>
          <w:color w:val="222222"/>
        </w:rPr>
        <w:t xml:space="preserve">R. </w:t>
      </w:r>
      <w:r w:rsidRPr="004E5334">
        <w:rPr>
          <w:color w:val="222222"/>
        </w:rPr>
        <w:t xml:space="preserve">Joannes-Boyau, </w:t>
      </w:r>
      <w:r w:rsidR="00271650" w:rsidRPr="004E5334">
        <w:rPr>
          <w:color w:val="222222"/>
        </w:rPr>
        <w:t xml:space="preserve">T.M. </w:t>
      </w:r>
      <w:r w:rsidRPr="004E5334">
        <w:rPr>
          <w:color w:val="222222"/>
        </w:rPr>
        <w:t xml:space="preserve">Smith, </w:t>
      </w:r>
      <w:r w:rsidR="00156108" w:rsidRPr="004E5334">
        <w:rPr>
          <w:color w:val="222222"/>
        </w:rPr>
        <w:t xml:space="preserve">M.M. Skinner, </w:t>
      </w:r>
      <w:r w:rsidR="00271650" w:rsidRPr="004E5334">
        <w:rPr>
          <w:color w:val="222222"/>
        </w:rPr>
        <w:t xml:space="preserve">T. </w:t>
      </w:r>
      <w:r w:rsidRPr="004E5334">
        <w:rPr>
          <w:color w:val="222222"/>
        </w:rPr>
        <w:t>Compton</w:t>
      </w:r>
      <w:r w:rsidR="00156108" w:rsidRPr="004E5334">
        <w:rPr>
          <w:color w:val="222222"/>
        </w:rPr>
        <w:t xml:space="preserve">, R. M. Bailey, G. D. van den Bergh, J. de Vos, A. W. G. Pike, C. Stringer, E. W. Saptomo, Y. Rizal, J. Zaim, W. D. Santoso, A. Trihascaryo, L. Kinsley and B. Sulistyanto </w:t>
      </w:r>
      <w:r w:rsidR="00271650" w:rsidRPr="004E5334">
        <w:rPr>
          <w:color w:val="222222"/>
        </w:rPr>
        <w:t>2017</w:t>
      </w:r>
      <w:r w:rsidRPr="004E5334">
        <w:rPr>
          <w:color w:val="222222"/>
        </w:rPr>
        <w:t xml:space="preserve"> An early modern human presence in Sumatra 73,000–63,000 years ago. </w:t>
      </w:r>
      <w:r w:rsidRPr="004E5334">
        <w:rPr>
          <w:i/>
          <w:iCs/>
          <w:color w:val="222222"/>
        </w:rPr>
        <w:t>Nature</w:t>
      </w:r>
      <w:r w:rsidRPr="004E5334">
        <w:rPr>
          <w:color w:val="222222"/>
        </w:rPr>
        <w:t xml:space="preserve">, </w:t>
      </w:r>
      <w:r w:rsidRPr="004E5334">
        <w:rPr>
          <w:iCs/>
          <w:color w:val="222222"/>
        </w:rPr>
        <w:t>548</w:t>
      </w:r>
      <w:r w:rsidR="00271650" w:rsidRPr="004E5334">
        <w:rPr>
          <w:color w:val="222222"/>
        </w:rPr>
        <w:t>(7667):</w:t>
      </w:r>
      <w:r w:rsidRPr="004E5334">
        <w:rPr>
          <w:color w:val="222222"/>
        </w:rPr>
        <w:t>322</w:t>
      </w:r>
      <w:r w:rsidR="00271650" w:rsidRPr="004E5334">
        <w:rPr>
          <w:color w:val="222222"/>
        </w:rPr>
        <w:t>–325</w:t>
      </w:r>
      <w:r w:rsidRPr="004E5334">
        <w:rPr>
          <w:color w:val="222222"/>
        </w:rPr>
        <w:t>.</w:t>
      </w:r>
    </w:p>
    <w:p w14:paraId="61070580" w14:textId="4A27F2AD" w:rsidR="008C78A8" w:rsidRPr="004E5334" w:rsidRDefault="008C78A8" w:rsidP="00D5094B">
      <w:pPr>
        <w:spacing w:after="0"/>
        <w:ind w:left="567" w:hanging="567"/>
      </w:pPr>
    </w:p>
    <w:sectPr w:rsidR="008C78A8" w:rsidRPr="004E5334">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ditorial team" w:date="2018-03-22T16:49:00Z" w:initials="et">
    <w:p w14:paraId="53AD93AB" w14:textId="4CBCB982" w:rsidR="00271650" w:rsidRDefault="00271650">
      <w:pPr>
        <w:pStyle w:val="CommentText"/>
      </w:pPr>
      <w:r>
        <w:rPr>
          <w:rStyle w:val="CommentReference"/>
        </w:rPr>
        <w:annotationRef/>
      </w:r>
      <w:r>
        <w:t>Express as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B86119" w15:done="0"/>
  <w15:commentEx w15:paraId="3A829A46" w15:done="0"/>
  <w15:commentEx w15:paraId="53AD93AB" w15:done="0"/>
  <w15:commentEx w15:paraId="3EE8D44C" w15:done="0"/>
  <w15:commentEx w15:paraId="6FBD6530" w15:done="0"/>
  <w15:commentEx w15:paraId="605AE892" w15:done="0"/>
  <w15:commentEx w15:paraId="25E30170" w15:done="0"/>
  <w15:commentEx w15:paraId="64185DA9" w15:done="0"/>
  <w15:commentEx w15:paraId="34409DF6" w15:done="0"/>
  <w15:commentEx w15:paraId="20C72E2C" w15:done="0"/>
  <w15:commentEx w15:paraId="5CA52D74" w15:done="0"/>
  <w15:commentEx w15:paraId="702D2AC1" w15:done="0"/>
  <w15:commentEx w15:paraId="4D121367" w15:done="0"/>
  <w15:commentEx w15:paraId="07C72C66" w15:done="0"/>
  <w15:commentEx w15:paraId="6C90AF8B" w15:done="0"/>
  <w15:commentEx w15:paraId="2CB82432" w15:done="0"/>
  <w15:commentEx w15:paraId="05AB6887" w15:done="0"/>
  <w15:commentEx w15:paraId="2C4A074D" w15:done="0"/>
  <w15:commentEx w15:paraId="7537CC0F" w15:done="0"/>
  <w15:commentEx w15:paraId="038702D4" w15:done="0"/>
  <w15:commentEx w15:paraId="4A544E8C" w15:done="0"/>
  <w15:commentEx w15:paraId="64FF7D53" w15:done="0"/>
  <w15:commentEx w15:paraId="54A81648" w15:done="0"/>
  <w15:commentEx w15:paraId="12A373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86119" w16cid:durableId="1E5E6686"/>
  <w16cid:commentId w16cid:paraId="3A829A46" w16cid:durableId="1E5E5CEC"/>
  <w16cid:commentId w16cid:paraId="53AD93AB" w16cid:durableId="1E5E5D28"/>
  <w16cid:commentId w16cid:paraId="3EE8D44C" w16cid:durableId="1E5E62B6"/>
  <w16cid:commentId w16cid:paraId="6FBD6530" w16cid:durableId="1E5E62CE"/>
  <w16cid:commentId w16cid:paraId="605AE892" w16cid:durableId="1E5E66B4"/>
  <w16cid:commentId w16cid:paraId="25E30170" w16cid:durableId="1E5E6297"/>
  <w16cid:commentId w16cid:paraId="64185DA9" w16cid:durableId="1E5E66E2"/>
  <w16cid:commentId w16cid:paraId="34409DF6" w16cid:durableId="1E5E6266"/>
  <w16cid:commentId w16cid:paraId="20C72E2C" w16cid:durableId="1E5E5F1A"/>
  <w16cid:commentId w16cid:paraId="5CA52D74" w16cid:durableId="1E5E6009"/>
  <w16cid:commentId w16cid:paraId="702D2AC1" w16cid:durableId="1E5E672B"/>
  <w16cid:commentId w16cid:paraId="4D121367" w16cid:durableId="1E5E67C5"/>
  <w16cid:commentId w16cid:paraId="07C72C66" w16cid:durableId="1E5E67EC"/>
  <w16cid:commentId w16cid:paraId="6C90AF8B" w16cid:durableId="1E5E680A"/>
  <w16cid:commentId w16cid:paraId="2CB82432" w16cid:durableId="1E5E6753"/>
  <w16cid:commentId w16cid:paraId="05AB6887" w16cid:durableId="1E5E6825"/>
  <w16cid:commentId w16cid:paraId="2C4A074D" w16cid:durableId="1E5E6843"/>
  <w16cid:commentId w16cid:paraId="7537CC0F" w16cid:durableId="1E5E6858"/>
  <w16cid:commentId w16cid:paraId="038702D4" w16cid:durableId="1E5E6877"/>
  <w16cid:commentId w16cid:paraId="4A544E8C" w16cid:durableId="1E5E6888"/>
  <w16cid:commentId w16cid:paraId="64FF7D53" w16cid:durableId="1E5E69DC"/>
  <w16cid:commentId w16cid:paraId="54A81648" w16cid:durableId="1E5E66FD"/>
  <w16cid:commentId w16cid:paraId="12A37303" w16cid:durableId="1E5E69F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C5DD6" w14:textId="77777777" w:rsidR="006A50DE" w:rsidRDefault="006A50DE" w:rsidP="00F852BF">
      <w:pPr>
        <w:spacing w:after="0" w:line="240" w:lineRule="auto"/>
      </w:pPr>
      <w:r>
        <w:separator/>
      </w:r>
    </w:p>
  </w:endnote>
  <w:endnote w:type="continuationSeparator" w:id="0">
    <w:p w14:paraId="6831CF49" w14:textId="77777777" w:rsidR="006A50DE" w:rsidRDefault="006A50DE" w:rsidP="00F85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NewsGothicMTSt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493474"/>
      <w:docPartObj>
        <w:docPartGallery w:val="Page Numbers (Bottom of Page)"/>
        <w:docPartUnique/>
      </w:docPartObj>
    </w:sdtPr>
    <w:sdtEndPr>
      <w:rPr>
        <w:noProof/>
      </w:rPr>
    </w:sdtEndPr>
    <w:sdtContent>
      <w:p w14:paraId="4D7890A8" w14:textId="0E9E60F8" w:rsidR="00271650" w:rsidRDefault="00271650">
        <w:pPr>
          <w:pStyle w:val="Footer"/>
          <w:jc w:val="center"/>
        </w:pPr>
        <w:r>
          <w:fldChar w:fldCharType="begin"/>
        </w:r>
        <w:r>
          <w:instrText xml:space="preserve"> PAGE   \* MERGEFORMAT </w:instrText>
        </w:r>
        <w:r>
          <w:fldChar w:fldCharType="separate"/>
        </w:r>
        <w:r w:rsidR="006A50DE">
          <w:rPr>
            <w:noProof/>
          </w:rPr>
          <w:t>1</w:t>
        </w:r>
        <w:r>
          <w:rPr>
            <w:noProof/>
          </w:rPr>
          <w:fldChar w:fldCharType="end"/>
        </w:r>
      </w:p>
    </w:sdtContent>
  </w:sdt>
  <w:p w14:paraId="218CB45B" w14:textId="77777777" w:rsidR="00271650" w:rsidRDefault="00271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37F8C" w14:textId="77777777" w:rsidR="006A50DE" w:rsidRDefault="006A50DE" w:rsidP="00F852BF">
      <w:pPr>
        <w:spacing w:after="0" w:line="240" w:lineRule="auto"/>
      </w:pPr>
      <w:r>
        <w:separator/>
      </w:r>
    </w:p>
  </w:footnote>
  <w:footnote w:type="continuationSeparator" w:id="0">
    <w:p w14:paraId="242F7A8B" w14:textId="77777777" w:rsidR="006A50DE" w:rsidRDefault="006A50DE" w:rsidP="00F85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80F"/>
    <w:multiLevelType w:val="hybridMultilevel"/>
    <w:tmpl w:val="E3E8CA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FC78FE"/>
    <w:multiLevelType w:val="hybridMultilevel"/>
    <w:tmpl w:val="F12E3C6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37805FF1"/>
    <w:multiLevelType w:val="hybridMultilevel"/>
    <w:tmpl w:val="C8AADC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80A1362"/>
    <w:multiLevelType w:val="hybridMultilevel"/>
    <w:tmpl w:val="0004E3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2604C0C"/>
    <w:multiLevelType w:val="hybridMultilevel"/>
    <w:tmpl w:val="9752C8E6"/>
    <w:lvl w:ilvl="0" w:tplc="9E7A18D2">
      <w:start w:val="1"/>
      <w:numFmt w:val="decimal"/>
      <w:lvlText w:val="%1."/>
      <w:lvlJc w:val="left"/>
      <w:pPr>
        <w:ind w:left="720" w:hanging="360"/>
      </w:pPr>
      <w:rPr>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orial team">
    <w15:presenceInfo w15:providerId="None" w15:userId="editorial te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3DB"/>
    <w:rsid w:val="00003B84"/>
    <w:rsid w:val="00011E1F"/>
    <w:rsid w:val="00011E50"/>
    <w:rsid w:val="000510A3"/>
    <w:rsid w:val="00056EC8"/>
    <w:rsid w:val="000673A4"/>
    <w:rsid w:val="00082652"/>
    <w:rsid w:val="000A7739"/>
    <w:rsid w:val="000C00CD"/>
    <w:rsid w:val="000C5BDE"/>
    <w:rsid w:val="000D4602"/>
    <w:rsid w:val="000D6BA9"/>
    <w:rsid w:val="000E5D72"/>
    <w:rsid w:val="001042E3"/>
    <w:rsid w:val="00115940"/>
    <w:rsid w:val="00147130"/>
    <w:rsid w:val="00156108"/>
    <w:rsid w:val="001715A7"/>
    <w:rsid w:val="0017240F"/>
    <w:rsid w:val="001805FD"/>
    <w:rsid w:val="001808E0"/>
    <w:rsid w:val="001949E5"/>
    <w:rsid w:val="00194D9C"/>
    <w:rsid w:val="001963A8"/>
    <w:rsid w:val="001B596A"/>
    <w:rsid w:val="001C5D66"/>
    <w:rsid w:val="001E5F5E"/>
    <w:rsid w:val="001F2472"/>
    <w:rsid w:val="001F4BD5"/>
    <w:rsid w:val="0021257F"/>
    <w:rsid w:val="00213967"/>
    <w:rsid w:val="00224B03"/>
    <w:rsid w:val="00234A6C"/>
    <w:rsid w:val="002624EF"/>
    <w:rsid w:val="00270473"/>
    <w:rsid w:val="00271650"/>
    <w:rsid w:val="00280926"/>
    <w:rsid w:val="002A286E"/>
    <w:rsid w:val="002B21F9"/>
    <w:rsid w:val="002C6FA2"/>
    <w:rsid w:val="002C7196"/>
    <w:rsid w:val="002D216F"/>
    <w:rsid w:val="002F1309"/>
    <w:rsid w:val="003074A3"/>
    <w:rsid w:val="003106DE"/>
    <w:rsid w:val="00312983"/>
    <w:rsid w:val="00315437"/>
    <w:rsid w:val="0032209D"/>
    <w:rsid w:val="00331F72"/>
    <w:rsid w:val="00332545"/>
    <w:rsid w:val="00362BCD"/>
    <w:rsid w:val="00375407"/>
    <w:rsid w:val="003928A6"/>
    <w:rsid w:val="003A6E70"/>
    <w:rsid w:val="003B1FE7"/>
    <w:rsid w:val="003B673D"/>
    <w:rsid w:val="003E2542"/>
    <w:rsid w:val="003F3675"/>
    <w:rsid w:val="00400A0F"/>
    <w:rsid w:val="00405E61"/>
    <w:rsid w:val="00407012"/>
    <w:rsid w:val="0041186A"/>
    <w:rsid w:val="004302D3"/>
    <w:rsid w:val="00434F51"/>
    <w:rsid w:val="00446611"/>
    <w:rsid w:val="004618A2"/>
    <w:rsid w:val="00476EFB"/>
    <w:rsid w:val="00480B64"/>
    <w:rsid w:val="004E5334"/>
    <w:rsid w:val="004F496E"/>
    <w:rsid w:val="00534A70"/>
    <w:rsid w:val="005443CE"/>
    <w:rsid w:val="00562B4E"/>
    <w:rsid w:val="00575FE1"/>
    <w:rsid w:val="00576A3A"/>
    <w:rsid w:val="005976C7"/>
    <w:rsid w:val="005A3A79"/>
    <w:rsid w:val="005A60DC"/>
    <w:rsid w:val="005A7DD0"/>
    <w:rsid w:val="005C3C34"/>
    <w:rsid w:val="005C3CFF"/>
    <w:rsid w:val="005C45FB"/>
    <w:rsid w:val="005D0198"/>
    <w:rsid w:val="00614585"/>
    <w:rsid w:val="00615E7B"/>
    <w:rsid w:val="00627265"/>
    <w:rsid w:val="006303E4"/>
    <w:rsid w:val="006525D8"/>
    <w:rsid w:val="00653746"/>
    <w:rsid w:val="006643DB"/>
    <w:rsid w:val="00676E2D"/>
    <w:rsid w:val="006A50DE"/>
    <w:rsid w:val="006A6499"/>
    <w:rsid w:val="006D015D"/>
    <w:rsid w:val="006D7A21"/>
    <w:rsid w:val="006E73B4"/>
    <w:rsid w:val="006F6779"/>
    <w:rsid w:val="006F6E89"/>
    <w:rsid w:val="00711B9D"/>
    <w:rsid w:val="007246A7"/>
    <w:rsid w:val="00743D50"/>
    <w:rsid w:val="00791319"/>
    <w:rsid w:val="00795745"/>
    <w:rsid w:val="007B3B59"/>
    <w:rsid w:val="007D170B"/>
    <w:rsid w:val="007D17FD"/>
    <w:rsid w:val="007F0D16"/>
    <w:rsid w:val="007F6B22"/>
    <w:rsid w:val="00805D8C"/>
    <w:rsid w:val="00814E99"/>
    <w:rsid w:val="0083753A"/>
    <w:rsid w:val="00846069"/>
    <w:rsid w:val="008460E0"/>
    <w:rsid w:val="00871CE4"/>
    <w:rsid w:val="008873D2"/>
    <w:rsid w:val="008904A7"/>
    <w:rsid w:val="008A539F"/>
    <w:rsid w:val="008A654B"/>
    <w:rsid w:val="008C6B3A"/>
    <w:rsid w:val="008C78A8"/>
    <w:rsid w:val="008F52C8"/>
    <w:rsid w:val="00905529"/>
    <w:rsid w:val="00940F21"/>
    <w:rsid w:val="0095108A"/>
    <w:rsid w:val="00952AFC"/>
    <w:rsid w:val="009614E7"/>
    <w:rsid w:val="009B11AA"/>
    <w:rsid w:val="009C4A75"/>
    <w:rsid w:val="00A10143"/>
    <w:rsid w:val="00A213BF"/>
    <w:rsid w:val="00A4206A"/>
    <w:rsid w:val="00A5278A"/>
    <w:rsid w:val="00A805E0"/>
    <w:rsid w:val="00A91D8B"/>
    <w:rsid w:val="00AB01F7"/>
    <w:rsid w:val="00AB0621"/>
    <w:rsid w:val="00AB799B"/>
    <w:rsid w:val="00AC2323"/>
    <w:rsid w:val="00AD23D2"/>
    <w:rsid w:val="00AF4D3A"/>
    <w:rsid w:val="00B1052C"/>
    <w:rsid w:val="00B131E0"/>
    <w:rsid w:val="00B14C6C"/>
    <w:rsid w:val="00B21778"/>
    <w:rsid w:val="00B319AF"/>
    <w:rsid w:val="00B35E7A"/>
    <w:rsid w:val="00B4182A"/>
    <w:rsid w:val="00B566B7"/>
    <w:rsid w:val="00B64BB1"/>
    <w:rsid w:val="00B657D3"/>
    <w:rsid w:val="00B70A85"/>
    <w:rsid w:val="00BA39CF"/>
    <w:rsid w:val="00BC6C09"/>
    <w:rsid w:val="00BD3C6D"/>
    <w:rsid w:val="00BE3A49"/>
    <w:rsid w:val="00BF4F87"/>
    <w:rsid w:val="00C05F61"/>
    <w:rsid w:val="00C176B7"/>
    <w:rsid w:val="00C3080A"/>
    <w:rsid w:val="00C42334"/>
    <w:rsid w:val="00C44891"/>
    <w:rsid w:val="00C54144"/>
    <w:rsid w:val="00C62788"/>
    <w:rsid w:val="00C65385"/>
    <w:rsid w:val="00CC29B6"/>
    <w:rsid w:val="00CC3CAF"/>
    <w:rsid w:val="00CC76E8"/>
    <w:rsid w:val="00D05D89"/>
    <w:rsid w:val="00D127A2"/>
    <w:rsid w:val="00D34916"/>
    <w:rsid w:val="00D356FB"/>
    <w:rsid w:val="00D40543"/>
    <w:rsid w:val="00D5094B"/>
    <w:rsid w:val="00D6018F"/>
    <w:rsid w:val="00D779CA"/>
    <w:rsid w:val="00D96DD8"/>
    <w:rsid w:val="00DA0F42"/>
    <w:rsid w:val="00DA60A4"/>
    <w:rsid w:val="00DB3317"/>
    <w:rsid w:val="00DD1A05"/>
    <w:rsid w:val="00DD73EB"/>
    <w:rsid w:val="00DF06F3"/>
    <w:rsid w:val="00E25B2F"/>
    <w:rsid w:val="00E446F6"/>
    <w:rsid w:val="00E7004E"/>
    <w:rsid w:val="00E92727"/>
    <w:rsid w:val="00EA02A8"/>
    <w:rsid w:val="00EB1E0B"/>
    <w:rsid w:val="00F0595B"/>
    <w:rsid w:val="00F26F37"/>
    <w:rsid w:val="00F307CF"/>
    <w:rsid w:val="00F428CB"/>
    <w:rsid w:val="00F77F61"/>
    <w:rsid w:val="00F852BF"/>
    <w:rsid w:val="00FA73C2"/>
    <w:rsid w:val="00FC6C63"/>
    <w:rsid w:val="00FF2E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F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AF"/>
    <w:pPr>
      <w:ind w:left="720"/>
      <w:contextualSpacing/>
    </w:pPr>
  </w:style>
  <w:style w:type="character" w:styleId="CommentReference">
    <w:name w:val="annotation reference"/>
    <w:basedOn w:val="DefaultParagraphFont"/>
    <w:uiPriority w:val="99"/>
    <w:semiHidden/>
    <w:unhideWhenUsed/>
    <w:rsid w:val="0041186A"/>
    <w:rPr>
      <w:sz w:val="16"/>
      <w:szCs w:val="16"/>
    </w:rPr>
  </w:style>
  <w:style w:type="paragraph" w:styleId="CommentText">
    <w:name w:val="annotation text"/>
    <w:basedOn w:val="Normal"/>
    <w:link w:val="CommentTextChar"/>
    <w:uiPriority w:val="99"/>
    <w:semiHidden/>
    <w:unhideWhenUsed/>
    <w:rsid w:val="0041186A"/>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41186A"/>
    <w:rPr>
      <w:sz w:val="20"/>
      <w:szCs w:val="20"/>
      <w:lang w:val="en-GB"/>
    </w:rPr>
  </w:style>
  <w:style w:type="paragraph" w:styleId="BalloonText">
    <w:name w:val="Balloon Text"/>
    <w:basedOn w:val="Normal"/>
    <w:link w:val="BalloonTextChar"/>
    <w:uiPriority w:val="99"/>
    <w:semiHidden/>
    <w:unhideWhenUsed/>
    <w:rsid w:val="00411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86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510A3"/>
    <w:pPr>
      <w:spacing w:after="160"/>
    </w:pPr>
    <w:rPr>
      <w:b/>
      <w:bCs/>
      <w:lang w:val="en-AU"/>
    </w:rPr>
  </w:style>
  <w:style w:type="character" w:customStyle="1" w:styleId="CommentSubjectChar">
    <w:name w:val="Comment Subject Char"/>
    <w:basedOn w:val="CommentTextChar"/>
    <w:link w:val="CommentSubject"/>
    <w:uiPriority w:val="99"/>
    <w:semiHidden/>
    <w:rsid w:val="000510A3"/>
    <w:rPr>
      <w:b/>
      <w:bCs/>
      <w:sz w:val="20"/>
      <w:szCs w:val="20"/>
      <w:lang w:val="en-GB"/>
    </w:rPr>
  </w:style>
  <w:style w:type="paragraph" w:styleId="Revision">
    <w:name w:val="Revision"/>
    <w:hidden/>
    <w:uiPriority w:val="99"/>
    <w:semiHidden/>
    <w:rsid w:val="00407012"/>
    <w:pPr>
      <w:spacing w:after="0" w:line="240" w:lineRule="auto"/>
    </w:pPr>
  </w:style>
  <w:style w:type="table" w:styleId="TableGrid">
    <w:name w:val="Table Grid"/>
    <w:basedOn w:val="TableNormal"/>
    <w:uiPriority w:val="39"/>
    <w:rsid w:val="001E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2BF"/>
  </w:style>
  <w:style w:type="paragraph" w:styleId="Footer">
    <w:name w:val="footer"/>
    <w:basedOn w:val="Normal"/>
    <w:link w:val="FooterChar"/>
    <w:uiPriority w:val="99"/>
    <w:unhideWhenUsed/>
    <w:rsid w:val="00F85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2BF"/>
  </w:style>
  <w:style w:type="paragraph" w:styleId="NormalWeb">
    <w:name w:val="Normal (Web)"/>
    <w:basedOn w:val="Normal"/>
    <w:uiPriority w:val="99"/>
    <w:semiHidden/>
    <w:unhideWhenUsed/>
    <w:rsid w:val="00405E6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9AF"/>
    <w:pPr>
      <w:ind w:left="720"/>
      <w:contextualSpacing/>
    </w:pPr>
  </w:style>
  <w:style w:type="character" w:styleId="CommentReference">
    <w:name w:val="annotation reference"/>
    <w:basedOn w:val="DefaultParagraphFont"/>
    <w:uiPriority w:val="99"/>
    <w:semiHidden/>
    <w:unhideWhenUsed/>
    <w:rsid w:val="0041186A"/>
    <w:rPr>
      <w:sz w:val="16"/>
      <w:szCs w:val="16"/>
    </w:rPr>
  </w:style>
  <w:style w:type="paragraph" w:styleId="CommentText">
    <w:name w:val="annotation text"/>
    <w:basedOn w:val="Normal"/>
    <w:link w:val="CommentTextChar"/>
    <w:uiPriority w:val="99"/>
    <w:semiHidden/>
    <w:unhideWhenUsed/>
    <w:rsid w:val="0041186A"/>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41186A"/>
    <w:rPr>
      <w:sz w:val="20"/>
      <w:szCs w:val="20"/>
      <w:lang w:val="en-GB"/>
    </w:rPr>
  </w:style>
  <w:style w:type="paragraph" w:styleId="BalloonText">
    <w:name w:val="Balloon Text"/>
    <w:basedOn w:val="Normal"/>
    <w:link w:val="BalloonTextChar"/>
    <w:uiPriority w:val="99"/>
    <w:semiHidden/>
    <w:unhideWhenUsed/>
    <w:rsid w:val="00411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86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510A3"/>
    <w:pPr>
      <w:spacing w:after="160"/>
    </w:pPr>
    <w:rPr>
      <w:b/>
      <w:bCs/>
      <w:lang w:val="en-AU"/>
    </w:rPr>
  </w:style>
  <w:style w:type="character" w:customStyle="1" w:styleId="CommentSubjectChar">
    <w:name w:val="Comment Subject Char"/>
    <w:basedOn w:val="CommentTextChar"/>
    <w:link w:val="CommentSubject"/>
    <w:uiPriority w:val="99"/>
    <w:semiHidden/>
    <w:rsid w:val="000510A3"/>
    <w:rPr>
      <w:b/>
      <w:bCs/>
      <w:sz w:val="20"/>
      <w:szCs w:val="20"/>
      <w:lang w:val="en-GB"/>
    </w:rPr>
  </w:style>
  <w:style w:type="paragraph" w:styleId="Revision">
    <w:name w:val="Revision"/>
    <w:hidden/>
    <w:uiPriority w:val="99"/>
    <w:semiHidden/>
    <w:rsid w:val="00407012"/>
    <w:pPr>
      <w:spacing w:after="0" w:line="240" w:lineRule="auto"/>
    </w:pPr>
  </w:style>
  <w:style w:type="table" w:styleId="TableGrid">
    <w:name w:val="Table Grid"/>
    <w:basedOn w:val="TableNormal"/>
    <w:uiPriority w:val="39"/>
    <w:rsid w:val="001E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2BF"/>
  </w:style>
  <w:style w:type="paragraph" w:styleId="Footer">
    <w:name w:val="footer"/>
    <w:basedOn w:val="Normal"/>
    <w:link w:val="FooterChar"/>
    <w:uiPriority w:val="99"/>
    <w:unhideWhenUsed/>
    <w:rsid w:val="00F85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2BF"/>
  </w:style>
  <w:style w:type="paragraph" w:styleId="NormalWeb">
    <w:name w:val="Normal (Web)"/>
    <w:basedOn w:val="Normal"/>
    <w:uiPriority w:val="99"/>
    <w:semiHidden/>
    <w:unhideWhenUsed/>
    <w:rsid w:val="00405E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0925">
      <w:bodyDiv w:val="1"/>
      <w:marLeft w:val="0"/>
      <w:marRight w:val="0"/>
      <w:marTop w:val="0"/>
      <w:marBottom w:val="0"/>
      <w:divBdr>
        <w:top w:val="none" w:sz="0" w:space="0" w:color="auto"/>
        <w:left w:val="none" w:sz="0" w:space="0" w:color="auto"/>
        <w:bottom w:val="none" w:sz="0" w:space="0" w:color="auto"/>
        <w:right w:val="none" w:sz="0" w:space="0" w:color="auto"/>
      </w:divBdr>
      <w:divsChild>
        <w:div w:id="496963205">
          <w:marLeft w:val="0"/>
          <w:marRight w:val="0"/>
          <w:marTop w:val="0"/>
          <w:marBottom w:val="0"/>
          <w:divBdr>
            <w:top w:val="none" w:sz="0" w:space="0" w:color="auto"/>
            <w:left w:val="none" w:sz="0" w:space="0" w:color="auto"/>
            <w:bottom w:val="none" w:sz="0" w:space="0" w:color="auto"/>
            <w:right w:val="none" w:sz="0" w:space="0" w:color="auto"/>
          </w:divBdr>
          <w:divsChild>
            <w:div w:id="1493989725">
              <w:marLeft w:val="0"/>
              <w:marRight w:val="0"/>
              <w:marTop w:val="0"/>
              <w:marBottom w:val="0"/>
              <w:divBdr>
                <w:top w:val="none" w:sz="0" w:space="0" w:color="auto"/>
                <w:left w:val="none" w:sz="0" w:space="0" w:color="auto"/>
                <w:bottom w:val="none" w:sz="0" w:space="0" w:color="auto"/>
                <w:right w:val="none" w:sz="0" w:space="0" w:color="auto"/>
              </w:divBdr>
              <w:divsChild>
                <w:div w:id="5062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8590">
      <w:bodyDiv w:val="1"/>
      <w:marLeft w:val="0"/>
      <w:marRight w:val="0"/>
      <w:marTop w:val="0"/>
      <w:marBottom w:val="0"/>
      <w:divBdr>
        <w:top w:val="none" w:sz="0" w:space="0" w:color="auto"/>
        <w:left w:val="none" w:sz="0" w:space="0" w:color="auto"/>
        <w:bottom w:val="none" w:sz="0" w:space="0" w:color="auto"/>
        <w:right w:val="none" w:sz="0" w:space="0" w:color="auto"/>
      </w:divBdr>
    </w:div>
    <w:div w:id="177237487">
      <w:bodyDiv w:val="1"/>
      <w:marLeft w:val="0"/>
      <w:marRight w:val="0"/>
      <w:marTop w:val="0"/>
      <w:marBottom w:val="0"/>
      <w:divBdr>
        <w:top w:val="none" w:sz="0" w:space="0" w:color="auto"/>
        <w:left w:val="none" w:sz="0" w:space="0" w:color="auto"/>
        <w:bottom w:val="none" w:sz="0" w:space="0" w:color="auto"/>
        <w:right w:val="none" w:sz="0" w:space="0" w:color="auto"/>
      </w:divBdr>
      <w:divsChild>
        <w:div w:id="1360935617">
          <w:marLeft w:val="0"/>
          <w:marRight w:val="0"/>
          <w:marTop w:val="0"/>
          <w:marBottom w:val="0"/>
          <w:divBdr>
            <w:top w:val="none" w:sz="0" w:space="0" w:color="auto"/>
            <w:left w:val="none" w:sz="0" w:space="0" w:color="auto"/>
            <w:bottom w:val="none" w:sz="0" w:space="0" w:color="auto"/>
            <w:right w:val="none" w:sz="0" w:space="0" w:color="auto"/>
          </w:divBdr>
          <w:divsChild>
            <w:div w:id="379479353">
              <w:marLeft w:val="0"/>
              <w:marRight w:val="0"/>
              <w:marTop w:val="0"/>
              <w:marBottom w:val="0"/>
              <w:divBdr>
                <w:top w:val="none" w:sz="0" w:space="0" w:color="auto"/>
                <w:left w:val="none" w:sz="0" w:space="0" w:color="auto"/>
                <w:bottom w:val="none" w:sz="0" w:space="0" w:color="auto"/>
                <w:right w:val="none" w:sz="0" w:space="0" w:color="auto"/>
              </w:divBdr>
              <w:divsChild>
                <w:div w:id="1692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238">
      <w:bodyDiv w:val="1"/>
      <w:marLeft w:val="0"/>
      <w:marRight w:val="0"/>
      <w:marTop w:val="0"/>
      <w:marBottom w:val="0"/>
      <w:divBdr>
        <w:top w:val="none" w:sz="0" w:space="0" w:color="auto"/>
        <w:left w:val="none" w:sz="0" w:space="0" w:color="auto"/>
        <w:bottom w:val="none" w:sz="0" w:space="0" w:color="auto"/>
        <w:right w:val="none" w:sz="0" w:space="0" w:color="auto"/>
      </w:divBdr>
    </w:div>
    <w:div w:id="372508733">
      <w:bodyDiv w:val="1"/>
      <w:marLeft w:val="0"/>
      <w:marRight w:val="0"/>
      <w:marTop w:val="0"/>
      <w:marBottom w:val="0"/>
      <w:divBdr>
        <w:top w:val="none" w:sz="0" w:space="0" w:color="auto"/>
        <w:left w:val="none" w:sz="0" w:space="0" w:color="auto"/>
        <w:bottom w:val="none" w:sz="0" w:space="0" w:color="auto"/>
        <w:right w:val="none" w:sz="0" w:space="0" w:color="auto"/>
      </w:divBdr>
    </w:div>
    <w:div w:id="413210246">
      <w:bodyDiv w:val="1"/>
      <w:marLeft w:val="0"/>
      <w:marRight w:val="0"/>
      <w:marTop w:val="0"/>
      <w:marBottom w:val="0"/>
      <w:divBdr>
        <w:top w:val="none" w:sz="0" w:space="0" w:color="auto"/>
        <w:left w:val="none" w:sz="0" w:space="0" w:color="auto"/>
        <w:bottom w:val="none" w:sz="0" w:space="0" w:color="auto"/>
        <w:right w:val="none" w:sz="0" w:space="0" w:color="auto"/>
      </w:divBdr>
    </w:div>
    <w:div w:id="497581460">
      <w:bodyDiv w:val="1"/>
      <w:marLeft w:val="0"/>
      <w:marRight w:val="0"/>
      <w:marTop w:val="0"/>
      <w:marBottom w:val="0"/>
      <w:divBdr>
        <w:top w:val="none" w:sz="0" w:space="0" w:color="auto"/>
        <w:left w:val="none" w:sz="0" w:space="0" w:color="auto"/>
        <w:bottom w:val="none" w:sz="0" w:space="0" w:color="auto"/>
        <w:right w:val="none" w:sz="0" w:space="0" w:color="auto"/>
      </w:divBdr>
    </w:div>
    <w:div w:id="847134729">
      <w:bodyDiv w:val="1"/>
      <w:marLeft w:val="0"/>
      <w:marRight w:val="0"/>
      <w:marTop w:val="0"/>
      <w:marBottom w:val="0"/>
      <w:divBdr>
        <w:top w:val="none" w:sz="0" w:space="0" w:color="auto"/>
        <w:left w:val="none" w:sz="0" w:space="0" w:color="auto"/>
        <w:bottom w:val="none" w:sz="0" w:space="0" w:color="auto"/>
        <w:right w:val="none" w:sz="0" w:space="0" w:color="auto"/>
      </w:divBdr>
    </w:div>
    <w:div w:id="945118108">
      <w:bodyDiv w:val="1"/>
      <w:marLeft w:val="0"/>
      <w:marRight w:val="0"/>
      <w:marTop w:val="0"/>
      <w:marBottom w:val="0"/>
      <w:divBdr>
        <w:top w:val="none" w:sz="0" w:space="0" w:color="auto"/>
        <w:left w:val="none" w:sz="0" w:space="0" w:color="auto"/>
        <w:bottom w:val="none" w:sz="0" w:space="0" w:color="auto"/>
        <w:right w:val="none" w:sz="0" w:space="0" w:color="auto"/>
      </w:divBdr>
    </w:div>
    <w:div w:id="1116172999">
      <w:bodyDiv w:val="1"/>
      <w:marLeft w:val="0"/>
      <w:marRight w:val="0"/>
      <w:marTop w:val="0"/>
      <w:marBottom w:val="0"/>
      <w:divBdr>
        <w:top w:val="none" w:sz="0" w:space="0" w:color="auto"/>
        <w:left w:val="none" w:sz="0" w:space="0" w:color="auto"/>
        <w:bottom w:val="none" w:sz="0" w:space="0" w:color="auto"/>
        <w:right w:val="none" w:sz="0" w:space="0" w:color="auto"/>
      </w:divBdr>
    </w:div>
    <w:div w:id="1343623742">
      <w:bodyDiv w:val="1"/>
      <w:marLeft w:val="0"/>
      <w:marRight w:val="0"/>
      <w:marTop w:val="0"/>
      <w:marBottom w:val="0"/>
      <w:divBdr>
        <w:top w:val="none" w:sz="0" w:space="0" w:color="auto"/>
        <w:left w:val="none" w:sz="0" w:space="0" w:color="auto"/>
        <w:bottom w:val="none" w:sz="0" w:space="0" w:color="auto"/>
        <w:right w:val="none" w:sz="0" w:space="0" w:color="auto"/>
      </w:divBdr>
    </w:div>
    <w:div w:id="1422724859">
      <w:bodyDiv w:val="1"/>
      <w:marLeft w:val="0"/>
      <w:marRight w:val="0"/>
      <w:marTop w:val="0"/>
      <w:marBottom w:val="0"/>
      <w:divBdr>
        <w:top w:val="none" w:sz="0" w:space="0" w:color="auto"/>
        <w:left w:val="none" w:sz="0" w:space="0" w:color="auto"/>
        <w:bottom w:val="none" w:sz="0" w:space="0" w:color="auto"/>
        <w:right w:val="none" w:sz="0" w:space="0" w:color="auto"/>
      </w:divBdr>
    </w:div>
    <w:div w:id="1540318713">
      <w:bodyDiv w:val="1"/>
      <w:marLeft w:val="0"/>
      <w:marRight w:val="0"/>
      <w:marTop w:val="0"/>
      <w:marBottom w:val="0"/>
      <w:divBdr>
        <w:top w:val="none" w:sz="0" w:space="0" w:color="auto"/>
        <w:left w:val="none" w:sz="0" w:space="0" w:color="auto"/>
        <w:bottom w:val="none" w:sz="0" w:space="0" w:color="auto"/>
        <w:right w:val="none" w:sz="0" w:space="0" w:color="auto"/>
      </w:divBdr>
    </w:div>
    <w:div w:id="1633822759">
      <w:bodyDiv w:val="1"/>
      <w:marLeft w:val="0"/>
      <w:marRight w:val="0"/>
      <w:marTop w:val="0"/>
      <w:marBottom w:val="0"/>
      <w:divBdr>
        <w:top w:val="none" w:sz="0" w:space="0" w:color="auto"/>
        <w:left w:val="none" w:sz="0" w:space="0" w:color="auto"/>
        <w:bottom w:val="none" w:sz="0" w:space="0" w:color="auto"/>
        <w:right w:val="none" w:sz="0" w:space="0" w:color="auto"/>
      </w:divBdr>
    </w:div>
    <w:div w:id="1784574629">
      <w:bodyDiv w:val="1"/>
      <w:marLeft w:val="0"/>
      <w:marRight w:val="0"/>
      <w:marTop w:val="0"/>
      <w:marBottom w:val="0"/>
      <w:divBdr>
        <w:top w:val="none" w:sz="0" w:space="0" w:color="auto"/>
        <w:left w:val="none" w:sz="0" w:space="0" w:color="auto"/>
        <w:bottom w:val="none" w:sz="0" w:space="0" w:color="auto"/>
        <w:right w:val="none" w:sz="0" w:space="0" w:color="auto"/>
      </w:divBdr>
    </w:div>
    <w:div w:id="1797988970">
      <w:bodyDiv w:val="1"/>
      <w:marLeft w:val="0"/>
      <w:marRight w:val="0"/>
      <w:marTop w:val="0"/>
      <w:marBottom w:val="0"/>
      <w:divBdr>
        <w:top w:val="none" w:sz="0" w:space="0" w:color="auto"/>
        <w:left w:val="none" w:sz="0" w:space="0" w:color="auto"/>
        <w:bottom w:val="none" w:sz="0" w:space="0" w:color="auto"/>
        <w:right w:val="none" w:sz="0" w:space="0" w:color="auto"/>
      </w:divBdr>
    </w:div>
    <w:div w:id="1855417677">
      <w:bodyDiv w:val="1"/>
      <w:marLeft w:val="0"/>
      <w:marRight w:val="0"/>
      <w:marTop w:val="0"/>
      <w:marBottom w:val="0"/>
      <w:divBdr>
        <w:top w:val="none" w:sz="0" w:space="0" w:color="auto"/>
        <w:left w:val="none" w:sz="0" w:space="0" w:color="auto"/>
        <w:bottom w:val="none" w:sz="0" w:space="0" w:color="auto"/>
        <w:right w:val="none" w:sz="0" w:space="0" w:color="auto"/>
      </w:divBdr>
    </w:div>
    <w:div w:id="2077580134">
      <w:bodyDiv w:val="1"/>
      <w:marLeft w:val="0"/>
      <w:marRight w:val="0"/>
      <w:marTop w:val="0"/>
      <w:marBottom w:val="0"/>
      <w:divBdr>
        <w:top w:val="none" w:sz="0" w:space="0" w:color="auto"/>
        <w:left w:val="none" w:sz="0" w:space="0" w:color="auto"/>
        <w:bottom w:val="none" w:sz="0" w:space="0" w:color="auto"/>
        <w:right w:val="none" w:sz="0" w:space="0" w:color="auto"/>
      </w:divBdr>
    </w:div>
    <w:div w:id="209446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D8C1-ED38-4070-B552-A7E5923D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24974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Benjamin Marwick</cp:lastModifiedBy>
  <cp:revision>2</cp:revision>
  <cp:lastPrinted>2018-03-22T08:59:00Z</cp:lastPrinted>
  <dcterms:created xsi:type="dcterms:W3CDTF">2018-03-31T04:37:00Z</dcterms:created>
  <dcterms:modified xsi:type="dcterms:W3CDTF">2018-03-31T04:37:00Z</dcterms:modified>
</cp:coreProperties>
</file>