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Author"/>
      </w:pPr>
      <w:r>
        <w:t xml:space="preserve">Marjorie</w:t>
      </w:r>
      <w:r>
        <w:t xml:space="preserve"> </w:t>
      </w:r>
      <w:r>
        <w:t xml:space="preserve">Sullivan</w:t>
      </w:r>
    </w:p>
    <w:p>
      <w:pPr>
        <w:pStyle w:val="Date"/>
      </w:pPr>
      <w:r>
        <w:t xml:space="preserve">01</w:t>
      </w:r>
      <w:r>
        <w:t xml:space="preserve"> </w:t>
      </w:r>
      <w:r>
        <w:t xml:space="preserve">February,</w:t>
      </w:r>
      <w:r>
        <w:t xml:space="preserve"> </w:t>
      </w:r>
      <w:r>
        <w:t xml:space="preserve">2017</w:t>
      </w:r>
    </w:p>
    <w:p>
      <w:pPr>
        <w:pStyle w:val="Abstract"/>
      </w:pPr>
      <w:r>
        <w:t xml:space="preserve">Landscapes</w:t>
      </w:r>
      <w:r>
        <w:t xml:space="preserve"> </w:t>
      </w:r>
      <w:r>
        <w:t xml:space="preserve">throughout</w:t>
      </w:r>
      <w:r>
        <w:t xml:space="preserve"> </w:t>
      </w:r>
      <w:r>
        <w:t xml:space="preserve">any</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landform</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t xml:space="preserve"> </w:t>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Philip Hughes</w:t>
      </w:r>
      <w:r>
        <w:br w:type="textWrapping"/>
      </w:r>
      <w:r>
        <w:t xml:space="preserve">Flinders University, Adelaide, South Australia, Australia</w:t>
      </w:r>
      <w:r>
        <w:t xml:space="preserve"> </w:t>
      </w:r>
      <w:r>
        <w:t xml:space="preserve">Huonbrook and Environment and Heritage P/L, PO Box 97 Moruya NSW 2537, Australia</w:t>
      </w:r>
    </w:p>
    <w:p>
      <w:pPr>
        <w:pStyle w:val="BodyText"/>
      </w:pPr>
      <w:r>
        <w:t xml:space="preserve">Marjorie Sullivan</w:t>
      </w:r>
      <w:r>
        <w:br w:type="textWrapping"/>
      </w:r>
      <w:r>
        <w:t xml:space="preserve">The University of Sydney, Sydney NSW, Australia</w:t>
      </w:r>
      <w:r>
        <w:t xml:space="preserve"> </w:t>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environmental variations they encountered. When analysing the residues of these behaviours, archaeologists often depend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 In Australia edge effects in landscape resources and their exploitation have also been discussed. For instance, Hughes and Hiscock (1982) noted apparent edge effects in the concentration of stone artefact scatters along landscape boundaries in arid northern South Australia.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can be easier to measure and interpret than landscape boundaries (Daniel 2001; Jones, Beck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use the results from a sample of hand-held GIS-enabled archaeological site recordings to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Ulm et al. 2013; Bird et al 2016) to ecological regions (Holdaway, Douglass et al. 2013). In this paper, we introduce a novel focus on human behavior in the arid zone: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Holdaway et al. 2008, Smith, Williams et al. 2008, Veth, Smith et al. 2008, Williams, Ulm et al. 2013, Davies, Holdaway et al. 2015; Gould and Saggers 1985).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Hughes and Sullivan (1984); and Sullivan et al. (2014a).</w:t>
      </w:r>
    </w:p>
    <w:tbl>
      <w:tblPr>
        <w:tblStyle w:val="TableNormal"/>
        <w:tblW w:type="pct" w:w="0.0"/>
        <w:tblLook w:firstRow="1"/>
        <w:tblCaption w:val="Table 1 Landform types and predicted archaeological signature. Adapted from Hughes et al. (2011); Kinhill-Stearns Roger (1982); Hughes and Sullivan (1984); and Sullivan et al. (2014a)."/>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w:t>
            </w:r>
            <w:r>
              <w:rPr>
                <w:vertAlign w:val="superscript"/>
              </w:rPr>
              <w:t xml:space="preserve">2</w:t>
            </w:r>
            <w:r>
              <w:t xml:space="preserve">) with high density artefact clusters (1-10/m</w:t>
            </w:r>
            <w:r>
              <w:rPr>
                <w:vertAlign w:val="superscript"/>
              </w:rPr>
              <w:t xml:space="preserve">2</w:t>
            </w:r>
            <w:r>
              <w:t xml:space="preserve">). Where isolated dunes occur they generally contain rich, diverse artefact clusters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w:t>
            </w:r>
            <w:r>
              <w:rPr>
                <w:vertAlign w:val="superscript"/>
              </w:rPr>
              <w:t xml:space="preserve">2</w:t>
            </w:r>
            <w:r>
              <w:t xml:space="preserve">).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w:t>
            </w:r>
            <w:r>
              <w:rPr>
                <w:vertAlign w:val="superscript"/>
              </w:rPr>
              <w:t xml:space="preserve">2</w:t>
            </w:r>
            <w:r>
              <w:t xml:space="preserve">) with medium to high artifact densities (0.1-10/m</w:t>
            </w:r>
            <w:r>
              <w:rPr>
                <w:vertAlign w:val="superscript"/>
              </w:rPr>
              <w:t xml:space="preserve">2</w:t>
            </w:r>
            <w:r>
              <w:t xml:space="preserve">) and a range of implement types. Artefacts on a low to medium diversity of stone materials. Most sites are artefact clusters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clusters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in the Roxby dunefield in northern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clusters of stone artefacts changes with their distance from the boundaries.</w:t>
      </w:r>
    </w:p>
    <w:p>
      <w:pPr>
        <w:pStyle w:val="Heading2"/>
      </w:pPr>
      <w:bookmarkStart w:id="25" w:name="the-roxby-dunefield-and-investigation-of-its-archaeology"/>
      <w:bookmarkEnd w:id="25"/>
      <w:r>
        <w:t xml:space="preserve">The Roxby dunefield and investigation of its archaeology</w:t>
      </w:r>
    </w:p>
    <w:p>
      <w:pPr>
        <w:pStyle w:val="FigureWithCaption"/>
      </w:pPr>
      <w:r>
        <w:drawing>
          <wp:inline>
            <wp:extent cx="5943600" cy="3226251"/>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5943600" cy="3226251"/>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The Roxby dunefield is in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in several sites demonstrate episodic human use of the area from the late Pleistocene deglacial period (from around 19 ka, Hughes et al. 2014b; Sullivan, Field et al. 2012; Sullivan et al. 2014b). No organic materials have been found at any of the open sites or in the excavated deposits. Distinctive implement forms such as backed artefacts, unifacial points and tula adzes at many sites in the study area indicate a mid to late Holocene age for the main period of land use and for most of the surface artefact clusters recorded during the survey (Hughes and Hiscock 2005). A study of 78 OSL ages from geological contexts in the study area has shown that the mid to late Holocene period was a time of broad-scale dune stability (Hughes et al. 2014b). This means that site preservation and visibility is not strongly controlled by dune movement.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our study area within the Roxby dunefield, showing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our study area within the Roxby dunefield, showing landforms and terrain patterns</w:t>
      </w:r>
    </w:p>
    <w:p>
      <w:pPr>
        <w:pStyle w:val="FigureWithCaption"/>
      </w:pPr>
      <w:r>
        <w:drawing>
          <wp:inline>
            <wp:extent cx="5943600" cy="4201160"/>
            <wp:effectExtent b="0" l="0" r="0" t="0"/>
            <wp:docPr descr="Figure 3 Map of study area showing the distribution of archaeological sites sampled for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sampled for this study</w:t>
      </w:r>
    </w:p>
    <w:p>
      <w:pPr>
        <w:pStyle w:val="BodyText"/>
      </w:pPr>
      <w:r>
        <w:t xml:space="preserve">The Roxby dunefield has been the target of mineral exploration and mining since the 1980s. The extensive records of archaeological sites near the Olympic Dam mine site in the duenfield have been created during research-orientated consultancy work related to this exploration and mining activity. In 1980 Hughes, Hiscock and colleagues commenced a range of archaeological investigations for the then-proposed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Hughes and Sullivan 1984).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existing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this expansion phase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17,000 archaeological sites (Sullivan et al. 2014a). In this study we draw on a sample of 10,615 sites from a 353 km</w:t>
      </w:r>
      <w:r>
        <w:rPr>
          <w:vertAlign w:val="superscript"/>
        </w:rPr>
        <w:t xml:space="preserve">2</w:t>
      </w:r>
      <w:r>
        <w:t xml:space="preserve"> </w:t>
      </w:r>
      <w:r>
        <w:t xml:space="preserve">area within the Roxby dunefield (Figure</w:t>
      </w:r>
      <w:r>
        <w:t xml:space="preserve"> </w:t>
      </w:r>
      <w:r>
        <w:t xml:space="preserve">3</w:t>
      </w:r>
      <w:r>
        <w:t xml:space="preserve">). The sites consist of stone artefact clusters (85.3%), artefact clusters with knapping floors (7.6%), knapping floors (4.8%) and quarries (0.7%) (Hughes, Hiscock et al. 2011). Extended descriptions of site definitions and survey methods have previously been presented in Hughes et al. (2011) and Sullivan et al. 2014a.</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 2004, Given and Hyla 2006, Wagtendonk and De Jeu 2007, de la Vega and Agulla 2010, Tripcevich and Wernke 2010, Fei 2011, Scianna and Villa 2011, Traviglia 2011, Fee, Pettegrew et al. 2013, Newhard, Levine et al. 2013, Cascalheira, Gonçalves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(Figure</w:t>
      </w:r>
      <w:r>
        <w:t xml:space="preserve"> </w:t>
      </w:r>
      <w:r>
        <w:t xml:space="preserve">4</w:t>
      </w:r>
      <w:r>
        <w:t xml:space="preserve">) to investigate the presence and character of boundary effects in the Roxby dunefield – a landscape consisting predominantly of longitudinal sand dunes and stony desert (gibber plains).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the raw data for all the tests and visualizations reported here, as well as additional regression diagnostics. All of the figures, tables and statistical test results presented here can be independently reproduced with the code and data in this repository. In our SOM our code is released under the MIT license, our data as CC-0,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the Roxby dunefield allow a test of the predictions of the landuse model developed for the region in the early 1980s (Hughes, Hiscock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(Hughes et al. 2014a).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this landscape.</w:t>
      </w:r>
    </w:p>
    <w:p>
      <w:pPr>
        <w:pStyle w:val="BodyText"/>
      </w:pPr>
      <w:r>
        <w:t xml:space="preserve">Our analysis of boundary effects shows people were sensitive to subtle gradients of change in the physical environment.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Roxby dunefield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Roxby dunefield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in the Roxby dunefield.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in the Roxby dunefield.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 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Roxby dunefield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The fieldwork component of this study was undertaken as part of a broader investigation in accordance with the Olympic Dam Agreement between BHP Billiton and the Aboriginal native title claimant groups under a contract with BHP Billiton that included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Bird, M. I., O’Grady, D., &amp; Ulm, S. (2016). "Humans, water, and the colonization of Australia." Proceedings of the National Academy of Sciences, 113(41), 11477-11482.</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r>
        <w:t xml:space="preserve"> </w:t>
      </w: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Gould, R. A., &amp; Saggers, S. (1985). Lithic procurement in Central Australia: a closer look at Binford's idea of embeddedness in archaeology. American Antiquity, 117-136.</w:t>
      </w:r>
      <w:r>
        <w:t xml:space="preserve"> </w:t>
      </w:r>
      <w:r>
        <w:t xml:space="preserve">Chicago</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M. Sullivan, P. Hiscock and A. Neyland (2014a) The Need to Have Understood Your Local Geology: Nature and Sources of Materials Used to Manufacture Stone Artefacts at Olympic Dam, South Australia. Journal of the Anthropological Society of South Australia 34: 108-135.</w:t>
      </w:r>
    </w:p>
    <w:p>
      <w:pPr>
        <w:pStyle w:val="BodyText"/>
      </w:pPr>
      <w:r>
        <w:t xml:space="preserve">Hughes, P., M. Sullivan, F. Williams, N. Spooner and D. Questiaux (2014b). Sand dune formation over the last 140 ka in the Roxby dunefield, arid northern South Australia. Quaternary Australasia 31(1):11.</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P. Hiscock, and P. Hughes (2014) Three Scales: GIS, GPS and Digital Site and Data Recording Technology in Archaeological Salvage at Olympic Dam in Arid South Australia. Journal of the Anthropological Society of South Australia 38: 85-107.</w:t>
      </w:r>
    </w:p>
    <w:p>
      <w:pPr>
        <w:pStyle w:val="BodyText"/>
      </w:pPr>
      <w:r>
        <w:t xml:space="preserve">Sullivan, M., P. Hughes, A. Mosig Way and N. Spooner (2014). Prehistoric mining at Olympic Dam in arid South Australia. Archaeology in Oceania 49(1):43-55.</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Thomas, D. H. (1975). Nonsite sampling in archaeology: up the creek without a site. Sampling in archaeology. J. W. Mueller. Tucson, AZ, University of Arizona Press: 61-81.</w:t>
      </w:r>
      <w:r>
        <w:t xml:space="preserve"> </w:t>
      </w:r>
      <w:r>
        <w:t xml:space="preserve">Traviglia, A. (2011). Integrated Archaeological Investigations for the Study of the Greater Aquileia Area. The New Technologies for Aquileia, Aquileia, Italy.</w:t>
      </w:r>
    </w:p>
    <w:p>
      <w:pPr>
        <w:pStyle w:val="BodyText"/>
      </w:pPr>
      <w:r>
        <w:t xml:space="preserve">Tripcevich, N. (2004). "Flexibility by Design: How Mobile GIS Meets the Needs of Archaeological Survey." Cartography and Geographic Information Science 31(3): 137-151.</w:t>
      </w:r>
    </w:p>
    <w:p>
      <w:pPr>
        <w:pStyle w:val="BodyText"/>
      </w:pPr>
      <w:r>
        <w:t xml:space="preserve">Tripcevich, N. (2004).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2017-02-01 00:52:50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2017-02-01</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3.3.2)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2dbb1743ccb5997840419f0d977505ef4f255b14, which is on the master branch and was made by Ben Marwick on 2017-01-31 23:42:05. The current commit message is "update acknowledgements". The repository is online at</w:t>
      </w:r>
      <w:r>
        <w:t xml:space="preserve"> </w:t>
      </w:r>
      <w:hyperlink r:id="rId52">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d7020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7944b608"/>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Philip Hughes; Marjorie Sullivan</dc:creator>
  <dcterms:created xsi:type="dcterms:W3CDTF">2017-02-01T08:52:52Z</dcterms:created>
  <dcterms:modified xsi:type="dcterms:W3CDTF">2017-02-01T08:52:52Z</dcterms:modified>
</cp:coreProperties>
</file>