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26.png" ContentType="image/png"/>
  <Override PartName="/word/media/rId41.png" ContentType="image/png"/>
  <Override PartName="/word/media/rId38.png" ContentType="image/png"/>
  <Override PartName="/word/media/rId42.png" ContentType="image/png"/>
  <Override PartName="/word/media/rId39.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Marjorie</w:t>
      </w:r>
      <w:r>
        <w:t xml:space="preserve"> </w:t>
      </w:r>
      <w:r>
        <w:t xml:space="preserve">Sullivan</w:t>
      </w:r>
    </w:p>
    <w:p>
      <w:pPr>
        <w:pStyle w:val="Author"/>
      </w:pPr>
      <w:r>
        <w:t xml:space="preserve">Peter</w:t>
      </w:r>
      <w:r>
        <w:t xml:space="preserve"> </w:t>
      </w:r>
      <w:r>
        <w:t xml:space="preserve">Hiscock</w:t>
      </w:r>
    </w:p>
    <w:p>
      <w:pPr>
        <w:pStyle w:val="Author"/>
      </w:pPr>
      <w:r>
        <w:t xml:space="preserve">Philip</w:t>
      </w:r>
      <w:r>
        <w:t xml:space="preserve"> </w:t>
      </w:r>
      <w:r>
        <w:t xml:space="preserve">Hughes</w:t>
      </w:r>
    </w:p>
    <w:p>
      <w:pPr>
        <w:pStyle w:val="Date"/>
      </w:pPr>
      <w:r>
        <w:t xml:space="preserve">15</w:t>
      </w:r>
      <w:r>
        <w:t xml:space="preserve"> </w:t>
      </w:r>
      <w:r>
        <w:t xml:space="preserve">February,</w:t>
      </w:r>
      <w:r>
        <w:t xml:space="preserve"> </w:t>
      </w:r>
      <w:r>
        <w:t xml:space="preserve">2017</w:t>
      </w:r>
    </w:p>
    <w:p>
      <w:pPr>
        <w:pStyle w:val="Abstract"/>
      </w:pPr>
      <w:r>
        <w:t xml:space="preserve">Landscapes</w:t>
      </w:r>
      <w:r>
        <w:t xml:space="preserve"> </w:t>
      </w:r>
      <w:r>
        <w:t xml:space="preserve">throughout</w:t>
      </w:r>
      <w:r>
        <w:t xml:space="preserve"> </w:t>
      </w:r>
      <w:r>
        <w:t xml:space="preserve">any</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landform</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subtly</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br w:type="textWrapping"/>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Marjorie Sullivan</w:t>
      </w:r>
      <w:r>
        <w:br w:type="textWrapping"/>
      </w:r>
      <w:r>
        <w:t xml:space="preserve">The University of Sydney, Sydney NSW, Australia</w:t>
      </w:r>
      <w:r>
        <w:br w:type="textWrapping"/>
      </w:r>
      <w:r>
        <w:t xml:space="preserve">Huonbrook and Environment and Heritage P/L, PO Box 97 Moruya NSW 2537, Australia</w:t>
      </w:r>
    </w:p>
    <w:p>
      <w:pPr>
        <w:pStyle w:val="BodyText"/>
      </w:pPr>
      <w:r>
        <w:t xml:space="preserve">Philip Hughes</w:t>
      </w:r>
      <w:r>
        <w:br w:type="textWrapping"/>
      </w:r>
      <w:r>
        <w:t xml:space="preserve">Flinders University, Adelaide, South Australia, Australia</w:t>
      </w:r>
      <w:r>
        <w:br w:type="textWrapping"/>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environmental variations they encountered. When analysing the residues of these behaviours, archaeologists often depend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has been a focus of archaeological research. For example, it was claimed by Harris et al. (1969) to be a causal factor in the emergence of agriculture. This edge effect was also extended to human culture, with Gummerman and Johnson (1971) arguing for increased human cultural diversity in ecotonal zones of central Arizona. In Australia edge effects in landscape resources and their exploitation have also been discussed. For instance, Hughes and Hiscock (1982) noted apparent edge effects in the concentration of stone artefact scatters along landscape boundaries in arid northern South Australia.</w:t>
      </w:r>
    </w:p>
    <w:p>
      <w:pPr>
        <w:pStyle w:val="BodyText"/>
      </w:pPr>
      <w:r>
        <w:t xml:space="preserve">These uses of the ecotone and edge effect concepts declined in the archaeological literature after several critiques pointed out that archaeologists had been overly simplistic in their use of many ecological concepts (Rhoades 1978; Hardesty 1980; King and Graham 1981). Problems with these previous approaches include ignoring controversies among biologists about the definition of ecotones, unjustified assumptions about the uniformity of all ecotones, and unverified assumptions about edge effects always increasing the amount of food species available to humans. Alternative approaches to investigating landform boundary effects can be found in the work of Kimes et al. (1982), who used distribution of artefacts to see how culture group areas related to landform boundaries. However, much recent work on archaeological settlement patterns of hunter-gatherers has eschewed boundaries in favour of analysing straight line distances from key resources such as raw materials for stone artefacts, as these can be easier to measure and interpret than landscape boundaries (Daniel 2001; Jones et al. 2003). Here we pursue a new approach to understanding boundaries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use the results from a sample of hand-held GIS-enabled archaeological site recordings to ask if it is possible to observe gradients of change in archaeological materials over distance to understand forager choices of the optimum locations for their activities in respect to environmental boundaries. We predict that prehistoric foragers were sensitive to subtle differences in resource structure as gradients across the landscape. This approach may be contrasted with concepts of linear boundaries with step-wise shifts in habitability. The step-wise approaches are useful because they make comparative landscape analysis more tractable in many contexts and at different scales. For example, the spatial scales of much previous work on prehistoric arid zone foragers has ranged from continental (Williams et al. 2013; Bird et al 2016) to ecological regions (Holdaway et al. 2013). In this paper, we introduce a novel focus on human behavior in the arid zone: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in Australian arid and semi-arid zones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et al. 2008; Smith et al. 2008; Veth et al. 2008; Williams et al. 2013; Davies et al. 2015; Gould and Saggers 1985). The archaeological signature of landuse on these landscapes has typically been the distribution and composition of surface stone artefact scatters, which are by far the most abundant type of site. Sites in these landscapes are typically small, dense and discrete concentrations of stone artefacts that represent temporary, short-term activity areas.</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Hughes and Sullivan (1984), and Sullivan et al. (2014a).</w:t>
      </w:r>
    </w:p>
    <w:tbl>
      <w:tblPr>
        <w:tblStyle w:val="TableNormal"/>
        <w:tblW w:type="pct" w:w="0.0"/>
        <w:tblLook w:firstRow="1"/>
        <w:tblCaption w:val="Table 1 Landform types and predicted archaeological signature. Adapted from Hughes et al. (2011), Kinhill-Stearns Roger (1982), Hughes and Sullivan (1984), and Sullivan et al. (2014a)."/>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w:t>
            </w:r>
            <w:r>
              <w:rPr>
                <w:vertAlign w:val="superscript"/>
              </w:rPr>
              <w:t xml:space="preserve">2</w:t>
            </w:r>
            <w:r>
              <w:t xml:space="preserve">) with high density artefact clusters (1-10/m</w:t>
            </w:r>
            <w:r>
              <w:rPr>
                <w:vertAlign w:val="superscript"/>
              </w:rPr>
              <w:t xml:space="preserve">2</w:t>
            </w:r>
            <w:r>
              <w:t xml:space="preserve">). Where isolated dunes occur they generally contain rich, diverse artefact clusters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w:t>
            </w:r>
            <w:r>
              <w:rPr>
                <w:vertAlign w:val="superscript"/>
              </w:rPr>
              <w:t xml:space="preserve">2</w:t>
            </w:r>
            <w:r>
              <w:t xml:space="preserve">).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w:t>
            </w:r>
            <w:r>
              <w:rPr>
                <w:vertAlign w:val="superscript"/>
              </w:rPr>
              <w:t xml:space="preserve">2</w:t>
            </w:r>
            <w:r>
              <w:t xml:space="preserve">) with medium to high artifact densities (0.1-10/m</w:t>
            </w:r>
            <w:r>
              <w:rPr>
                <w:vertAlign w:val="superscript"/>
              </w:rPr>
              <w:t xml:space="preserve">2</w:t>
            </w:r>
            <w:r>
              <w:t xml:space="preserve">) and a range of implement types. Artefacts on a low to medium diversity of stone materials. Most sites are artefact clusters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clusters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in the Roxby dunefield in northern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With clear landscape unit boundaries, our study area is well-placed to explore relationships between archaeological attributes and distances from these boundaries.</w:t>
      </w:r>
    </w:p>
    <w:p>
      <w:pPr>
        <w:pStyle w:val="BodyText"/>
      </w:pPr>
      <w:r>
        <w:t xml:space="preserve">The second reason why our data is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clusters of stone artefacts changes with their distance from the boundaries.</w:t>
      </w:r>
    </w:p>
    <w:p>
      <w:pPr>
        <w:pStyle w:val="Heading2"/>
      </w:pPr>
      <w:bookmarkStart w:id="25" w:name="the-roxby-dunefield-and-investigation-of-its-archaeology"/>
      <w:bookmarkEnd w:id="25"/>
      <w:r>
        <w:t xml:space="preserve">The Roxby dunefield and investigation of its archaeology</w:t>
      </w:r>
    </w:p>
    <w:p>
      <w:pPr>
        <w:pStyle w:val="FigureWithCaption"/>
      </w:pPr>
      <w:r>
        <w:drawing>
          <wp:inline>
            <wp:extent cx="4768924" cy="2863796"/>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4768924" cy="2863796"/>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The Roxby dunefield is in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in several sites demonstrate episodic human use of the area from the late Pleistocene deglacial period (from around 19 ka, Hughes et al. 2014b; Sullivan et al. 2012; Sullivan et al. 2014b). No organic materials have been found at any of the open sites or in the excavated deposits. Distinctive implement forms such as backed artefacts, unifacial points and tula adzes at many sites in the study area indicate a mid to late Holocene age for the main period of land use and for most of the surface artefact clusters recorded during the survey (Hughes and Hiscock 2005). A study of 78 OSL ages from geological contexts in the study area has shown that the mid to late Holocene period was a time of broad-scale dune stability (Hughes et al. 2014b). This means that site preservation and visibility is not strongly controlled by dune movement during that period.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our study area within the Roxby dunefield, showing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our study area within the Roxby dunefield, showing landforms and terrain patterns</w:t>
      </w:r>
    </w:p>
    <w:p>
      <w:pPr>
        <w:pStyle w:val="FigureWithCaption"/>
      </w:pPr>
      <w:r>
        <w:drawing>
          <wp:inline>
            <wp:extent cx="5943600" cy="4201160"/>
            <wp:effectExtent b="0" l="0" r="0" t="0"/>
            <wp:docPr descr="Figure 3 Map of study area showing the distribution of archaeological sites sampled for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sampled for this study</w:t>
      </w:r>
    </w:p>
    <w:p>
      <w:pPr>
        <w:pStyle w:val="BodyText"/>
      </w:pPr>
      <w:r>
        <w:t xml:space="preserve">The Roxby dunefield has been the target of mineral exploration and mining since the 1980s. The extensive records of archaeological sites near the Olympic Dam mine site in the dunefield have been created during research-orientated consultancy work related to this exploration and mining activity. In 1980 Hughes, Hiscock and colleagues commenced a range of archaeological investigations for the then-proposed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existing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that survey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17,000 archaeological sites (Sullivan et al. 2014a). In this study we draw on a sample of 10,615 sites from a 353 km</w:t>
      </w:r>
      <w:r>
        <w:rPr>
          <w:vertAlign w:val="superscript"/>
        </w:rPr>
        <w:t xml:space="preserve">2</w:t>
      </w:r>
      <w:r>
        <w:t xml:space="preserve"> </w:t>
      </w:r>
      <w:r>
        <w:t xml:space="preserve">area within the Roxby dunefield (Figure</w:t>
      </w:r>
      <w:r>
        <w:t xml:space="preserve"> </w:t>
      </w:r>
      <w:r>
        <w:t xml:space="preserve">3</w:t>
      </w:r>
      <w:r>
        <w:t xml:space="preserve">). The sites consist of stone artefact clusters (85.3%), artefact clusters with knapping floors (7.6%), knapping floors (4.8%) and quarries (0.7%) (Hughes et al. 2011). Extended descriptions of site definitions and survey methods have previously been presented in Hughes et al. (2011) and Sullivan et al. (2014a).</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2004a; 2004b; Given and Hyla 2006; Wagtendonk and De Jeu 2007; de la Vega and Agulla 2010; Tripcevich and Wernke 2010; Fei 2011; Scianna and Villa 2011, Traviglia 2011, Fee et al. 2013; Newhard et al. 2013; Cascalheira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FigureWithCaption"/>
      </w:pPr>
      <w:r>
        <w:drawing>
          <wp:inline>
            <wp:extent cx="5535249" cy="3094305"/>
            <wp:effectExtent b="0" l="0" r="0" t="0"/>
            <wp:docPr descr="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 id="1" name="Picture"/>
            <a:graphic>
              <a:graphicData uri="http://schemas.openxmlformats.org/drawingml/2006/picture">
                <pic:pic>
                  <pic:nvPicPr>
                    <pic:cNvPr descr="../figures/method_schematic.png" id="0" name="Picture"/>
                    <pic:cNvPicPr>
                      <a:picLocks noChangeArrowheads="1" noChangeAspect="1"/>
                    </pic:cNvPicPr>
                  </pic:nvPicPr>
                  <pic:blipFill>
                    <a:blip r:embed="rId33"/>
                    <a:stretch>
                      <a:fillRect/>
                    </a:stretch>
                  </pic:blipFill>
                  <pic:spPr bwMode="auto">
                    <a:xfrm>
                      <a:off x="0" y="0"/>
                      <a:ext cx="5535249" cy="3094305"/>
                    </a:xfrm>
                    <a:prstGeom prst="rect">
                      <a:avLst/>
                    </a:prstGeom>
                    <a:noFill/>
                    <a:ln w="9525">
                      <a:noFill/>
                      <a:headEnd/>
                      <a:tailEnd/>
                    </a:ln>
                  </pic:spPr>
                </pic:pic>
              </a:graphicData>
            </a:graphic>
          </wp:inline>
        </w:drawing>
      </w:r>
    </w:p>
    <w:p>
      <w:pPr>
        <w:pStyle w:val="ImageCaption"/>
      </w:pPr>
      <w:r>
        <w:t xml:space="preserve">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w:t>
      </w:r>
    </w:p>
    <w:p>
      <w:pPr>
        <w:pStyle w:val="BodyText"/>
      </w:pPr>
      <w:r>
        <w:t xml:space="preserve">We used two approaches (Figure</w:t>
      </w:r>
      <w:r>
        <w:t xml:space="preserve"> </w:t>
      </w:r>
      <w:r>
        <w:t xml:space="preserve">4</w:t>
      </w:r>
      <w:r>
        <w:t xml:space="preserve">) to investigate the presence and character of boundary effects in the Roxby dunefield – a landscape consisting predominantly of longitudinal sand dunes and stony desert (gibber plains).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w:t>
      </w:r>
    </w:p>
    <w:p>
      <w:pPr>
        <w:pStyle w:val="BodyText"/>
      </w:pPr>
      <w:r>
        <w:t xml:space="preserve">In the second approach, we measured the density of sites per square kilometer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 Z-scores were calculated to put the differences in site density on a comparable scale between the two terrain patterns. Z-scores are a transformation of the data that show how many standard deviations the site density in each buffer polygon varies from the mean density (z = 0) of all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4" w:name="reproducibility-and-open-source-materials"/>
      <w:bookmarkEnd w:id="34"/>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5">
        <w:r>
          <w:rPr>
            <w:rStyle w:val="Hyperlink"/>
          </w:rPr>
          <w:t xml:space="preserve">http://dx.doi.org/10.17605/OSF.IO/RMKGE</w:t>
        </w:r>
      </w:hyperlink>
      <w:r>
        <w:t xml:space="preserve">. Also in this version-controlled compendium are additional regression diagnostics. To respect the wishes of our stakeholders and protect the site locations from potential damage we have not made our data openly available. In our SOM our code is released under the MIT license, and our figures as CC-BY, to enable maximum re-use (for more details, see Marwick 2016).</w:t>
      </w:r>
    </w:p>
    <w:p>
      <w:pPr>
        <w:pStyle w:val="Heading2"/>
      </w:pPr>
      <w:bookmarkStart w:id="36" w:name="results"/>
      <w:bookmarkEnd w:id="36"/>
      <w:r>
        <w:t xml:space="preserve">Results</w:t>
      </w:r>
    </w:p>
    <w:p>
      <w:pPr>
        <w:pStyle w:val="Heading3"/>
      </w:pPr>
      <w:bookmarkStart w:id="37" w:name="model-validation"/>
      <w:bookmarkEnd w:id="37"/>
      <w:r>
        <w:t xml:space="preserve">Model validation</w:t>
      </w:r>
    </w:p>
    <w:p>
      <w:pPr>
        <w:pStyle w:val="FirstParagraph"/>
      </w:pPr>
      <w:r>
        <w:t xml:space="preserve">The data from the Roxby dunefield allow a test of the predictions of the landuse model developed for the region in the early 1980s (Hughes et al. 2011). The first prediction tested here is that there was differential use of terrain pattern areas within dunefields. More specifically, we predicted that areas of widely-spaced longitudinal sand dunes were intensely occupied, compared with areas containing more closely-spaced dunes. This difference is anticipated because of the greater range and density of animal foods, stone for making artefacts, and water sources in places where dunes are more widely separated.</w:t>
      </w:r>
    </w:p>
    <w:p>
      <w:pPr>
        <w:pStyle w:val="FigureWithCaption"/>
      </w:pPr>
      <w:r>
        <w:drawing>
          <wp:inline>
            <wp:extent cx="5943600" cy="3128210"/>
            <wp:effectExtent b="0" l="0" r="0" t="0"/>
            <wp:docPr descr="Figure 5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Terrain pattern percentage coverage of the 2007-2008 study area</w:t>
      </w:r>
    </w:p>
    <w:p>
      <w:pPr>
        <w:pStyle w:val="BodyText"/>
      </w:pPr>
      <w:r>
        <w:t xml:space="preserve">A wide variety of landforms and geological regimes were recorded, displayed in figure</w:t>
      </w:r>
      <w:r>
        <w:t xml:space="preserve"> </w:t>
      </w:r>
      <w:r>
        <w:t xml:space="preserve">5</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5</w:t>
      </w:r>
      <w:r>
        <w:t xml:space="preserve">).</w:t>
      </w:r>
    </w:p>
    <w:p>
      <w:pPr>
        <w:pStyle w:val="FigureWithCaption"/>
      </w:pPr>
      <w:r>
        <w:drawing>
          <wp:inline>
            <wp:extent cx="5943600" cy="3128210"/>
            <wp:effectExtent b="0" l="0" r="0" t="0"/>
            <wp:docPr descr="Figure 6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9"/>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6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6</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40" w:name="landscape-boundary-effects"/>
      <w:bookmarkEnd w:id="40"/>
      <w:r>
        <w:t xml:space="preserve">Landscape boundary effects</w:t>
      </w:r>
    </w:p>
    <w:p>
      <w:pPr>
        <w:pStyle w:val="FigureWithCaption"/>
      </w:pPr>
      <w:r>
        <w:drawing>
          <wp:inline>
            <wp:extent cx="3295501" cy="3661668"/>
            <wp:effectExtent b="0" l="0" r="0" t="0"/>
            <wp:docPr descr="Figure 7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1"/>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7 Distribution of distances of archaeological sites to terrain pattern bounaries. Data points show distance values for individual sites.</w:t>
      </w:r>
    </w:p>
    <w:p>
      <w:pPr>
        <w:pStyle w:val="BodyText"/>
      </w:pPr>
      <w:r>
        <w:t xml:space="preserve">Figure</w:t>
      </w:r>
      <w:r>
        <w:t xml:space="preserve"> </w:t>
      </w:r>
      <w:r>
        <w:t xml:space="preserve">7</w:t>
      </w:r>
      <w:r>
        <w:t xml:space="preserve"> </w:t>
      </w:r>
      <w:r>
        <w:t xml:space="preserve">depicts distances of sites from the boundaries of the terrain pattern that contains those sites. The sample of sites in this figure is limited to terrain pattern areas that are on average more than 1 km across (cf. Figure</w:t>
      </w:r>
      <w:r>
        <w:t xml:space="preserve"> </w:t>
      </w:r>
      <w:r>
        <w:t xml:space="preserve">2</w:t>
      </w:r>
      <w:r>
        <w:t xml:space="preserve">). The general pattern is clear, with distances to the boundary being substantially further in widely spaced dunefields such landform type 4 (e.g. A4, Czs4 and Q4) than in more closely spaced dunefields such as landform types 5 and 6 (e.g. Czs5, Q5and Q5). This means that sites tend to be nearer to the centers of landform type 4, but nearer to the boundaries of landform type 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8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2"/>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8 Site density by distance to the boundary of the terrain pattern for Czs4 and Czs5. Data points show site density values for each buffer zone.</w:t>
      </w:r>
    </w:p>
    <w:p>
      <w:pPr>
        <w:pStyle w:val="FigureWithCaption"/>
      </w:pPr>
      <w:r>
        <w:drawing>
          <wp:inline>
            <wp:extent cx="3295501" cy="3661668"/>
            <wp:effectExtent b="0" l="0" r="0" t="0"/>
            <wp:docPr descr="Figure 9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3"/>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9 Z-scores for site density in interior buffer zones for Czs4 and Czs5</w:t>
      </w:r>
    </w:p>
    <w:p>
      <w:pPr>
        <w:pStyle w:val="BodyText"/>
      </w:pPr>
      <w:r>
        <w:t xml:space="preserve">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w:t>
      </w:r>
    </w:p>
    <w:p>
      <w:pPr>
        <w:pStyle w:val="BodyText"/>
      </w:pPr>
      <w:r>
        <w:t xml:space="preserve">When we use z-scores to standardize for differences in site density between two terrain patterns, we see that the pattern is even more stark. Figure</w:t>
      </w:r>
      <w:r>
        <w:t xml:space="preserve"> </w:t>
      </w:r>
      <w:r>
        <w:t xml:space="preserve">9</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4" w:name="discussion"/>
      <w:bookmarkEnd w:id="44"/>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Tests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 false associations that could result from less accurate environmental mapping.</w:t>
      </w:r>
    </w:p>
    <w:p>
      <w:pPr>
        <w:pStyle w:val="BodyText"/>
      </w:pPr>
      <w:r>
        <w:t xml:space="preserve">We found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(Hughes et al. 2014a).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this landscape.</w:t>
      </w:r>
    </w:p>
    <w:p>
      <w:pPr>
        <w:pStyle w:val="BodyText"/>
      </w:pPr>
      <w:r>
        <w:t xml:space="preserve">Our analysis of boundary effects shows people were sensitive to subtle gradients of change in the physical environment. We found that sites were generally located further from the terrain pattern boundary in landform type 4, compared to landform types 5 and 6. This indicates that people preferred to be located close to the center of areas with widely-spared dunes, but only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p>
    <w:p>
      <w:pPr>
        <w:pStyle w:val="BodyText"/>
      </w:pPr>
      <w:r>
        <w:t xml:space="preserve">This analysis suggests that prehistoric people in the Roxby dunefield area were sensitive to fine-grained differences in the economic potential of dissimilar terrain patterns. The novel element of the data presented here is that the distribution of human activities varies substantially and predictably within as well as between terrain patterns. It is also noteworthy that relatively subtle geographic differences between landscapes – the different spacing of sand dunes between Czs4 and Czs5 – has a marked effect on the distribution of archaeological sites. We speculate that this is due to the relationship between dune spacing and the availability of flakable stone, as well as other resources.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5" w:name="efficiency-of-a-mobile-gis-compared-to-paper-systems-for-field-survey"/>
      <w:bookmarkEnd w:id="45"/>
      <w:r>
        <w:t xml:space="preserve">Efficiency of a mobile GIS compared to paper systems for field survey</w:t>
      </w:r>
    </w:p>
    <w:p>
      <w:pPr>
        <w:pStyle w:val="FirstParagraph"/>
      </w:pPr>
      <w:r>
        <w:t xml:space="preserve">In addition to these observations about landscape use, our survey activity in the Roxby dunefield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in the Roxby dunefield.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in the Roxby dunefield.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This is because the rate of recording is strongly predicted by the density of sites (F(1, 2) = 53.621,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which resulted in a rate of site recording that can by predicted by 0.043 (0.209) + 0.298(site density) (0.006) +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using a mobile GIS given the density of 19 sites/km</w:t>
      </w:r>
      <w:r>
        <w:rPr>
          <w:vertAlign w:val="superscript"/>
        </w:rPr>
        <w:t xml:space="preserve">2</w:t>
      </w:r>
      <w:r>
        <w:t xml:space="preserve"> </w:t>
      </w:r>
      <w:r>
        <w:t xml:space="preserve">observed in the pre-2007 data. The resulting rate is 5.7 sites/person/day, which is what the model predicts if a mobile GIS had been used to record sites in an area with 19 sites/km</w:t>
      </w:r>
      <w:r>
        <w:rPr>
          <w:vertAlign w:val="superscript"/>
        </w:rPr>
        <w:t xml:space="preserve">2</w:t>
      </w:r>
      <w:r>
        <w:t xml:space="preserve">. The difference of 2.2 sites/person/day between the actual pre-2007 average rate of 3.5 and the predicted average rate of 5.7 is most likely due to the use of mobile GIS. This represents a 63% increase in the site recording rate, although we caution that this may be an overestimate due to overfitting from the relatively small number of data points in our efficiency analysis.</w:t>
      </w:r>
    </w:p>
    <w:p>
      <w:pPr>
        <w:pStyle w:val="BodyText"/>
      </w:pPr>
      <w:r>
        <w:t xml:space="preserve">Nevertheless, this demonstrates an advantage for using mobile GIS in a context where data collection was intensive, data volume was high, a highly structured data collection form was used, and the start-up, purchasing, and training costs could be amortized over multiple years of data collection. Our gain of 63% is within the range documented by other studies using mobile data collection technologies. For example, Poehler and Ellis (2012) report a 371% increase in efficiency using iPads at Pompeii, and Austin (2014) reports a 21-32% increase when using Open Data Kit (Hartung et al. 2010) to record skeletal remains. This wide variation in efficiency gains suggests that the magnitude of the gain is highly dependent on the context in which the mobile technologies are employed.</w:t>
      </w:r>
    </w:p>
    <w:p>
      <w:pPr>
        <w:pStyle w:val="Heading2"/>
      </w:pPr>
      <w:bookmarkStart w:id="46" w:name="conclusion"/>
      <w:bookmarkEnd w:id="46"/>
      <w:r>
        <w:t xml:space="preserve">Conclusion</w:t>
      </w:r>
    </w:p>
    <w:p>
      <w:pPr>
        <w:pStyle w:val="FirstParagraph"/>
      </w:pPr>
      <w:r>
        <w:t xml:space="preserve">The substantive archaeological contribution of this study has been to show that when choosing habitations, prehistoric people in the Roxby dunefield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the reveal how people adapted to the landscape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7" w:name="acknowledgments"/>
      <w:bookmarkEnd w:id="47"/>
      <w:r>
        <w:t xml:space="preserve">Acknowledgments</w:t>
      </w:r>
    </w:p>
    <w:p>
      <w:pPr>
        <w:pStyle w:val="FirstParagraph"/>
      </w:pPr>
      <w:r>
        <w:t xml:space="preserve">The fieldwork component of this study was undertaken as part of a broader investigation in accordance with the Olympic Dam Agreement between BHP Billiton and the Aboriginal native title claimant groups under a contract with BHP Billiton that included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8" w:name="section-3"/>
      <w:bookmarkEnd w:id="48"/>
    </w:p>
    <w:p>
      <w:pPr>
        <w:pStyle w:val="Heading2"/>
      </w:pPr>
      <w:bookmarkStart w:id="49" w:name="references"/>
      <w:bookmarkEnd w:id="49"/>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Austin, A. 2014 Mobilizing Archaeologists: Increasing the Quantity and Quality of Data Collected in the Field with Mobile Technology. Advances in Archaeological Practice 2(1):13-23.</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Bird, M. I., O’Grady, D., &amp; Ulm, S. (2016). "Humans, water, and the colonization of Australia." Proceedings of the National Academy of Sciences, 113(41), 11477-11482.</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p>
    <w:p>
      <w:pPr>
        <w:pStyle w:val="BodyText"/>
      </w:pP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Gould, R. A., &amp; Saggers, S. (1985). Lithic procurement in Central Australia: a closer look at Binford's idea of embeddedness in archaeology. American Antiquity, 117-136.</w:t>
      </w:r>
      <w:r>
        <w:t xml:space="preserve"> </w:t>
      </w:r>
      <w:r>
        <w:t xml:space="preserve">Chicago</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Hartung, C., A. Lerer, Y. Anokwa, C. Tseng, W. Brunette and G. Borriello 2010 Open data kit: Tools to build information services for developing regions. Proceedings of the 4th ACM/IEEE International Conference on Information and Communication Technologies and Development: ACM.</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M. Sullivan, P. Hiscock and A. Neyland (2014a) The Need to Have Understood Your Local Geology: Nature and Sources of Materials Used to Manufacture Stone Artefacts at Olympic Dam, South Australia. Journal of the Anthropological Society of South Australia 34: 108-135.</w:t>
      </w:r>
    </w:p>
    <w:p>
      <w:pPr>
        <w:pStyle w:val="BodyText"/>
      </w:pPr>
      <w:r>
        <w:t xml:space="preserve">Hughes, P., M. Sullivan, F. Williams, N. Spooner and D. Questiaux (2014b). Sand dune formation over the last 140 ka in the Roxby dunefield, arid northern South Australia. Quaternary Australasia 31(1):11.</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Marwick, B. (2016). Computational reproducibility in archaeological research: Basic principles and a case study of their implementation. Journal of Archaeological Method and Theory, 1-27, doi: 10.1007/s10816-015-9272-9</w:t>
      </w:r>
      <w:r>
        <w:t xml:space="preserve"> </w:t>
      </w: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Poehler, E.E. and S.J.R. Ellis 2012 The 2011 Season of the Pompeii Quadriporticus Project: The Southern and Northern Sides. Fasti Online Documents and Research 249:1-12.</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Sullivan, M., P. Hiscock, and P. Hughes (2014a) Three Scales: GIS, GPS and Digital Site and Data Recording Technology in Archaeological Salvage at Olympic Dam in Arid South Australia. Journal of the Anthropological Society of South Australia 38: 85-107.</w:t>
      </w:r>
    </w:p>
    <w:p>
      <w:pPr>
        <w:pStyle w:val="BodyText"/>
      </w:pPr>
      <w:r>
        <w:t xml:space="preserve">Sullivan, M., P. Hughes, A. Mosig Way and N. Spooner (2014b). Prehistoric mining at Olympic Dam in arid South Australia. Archaeology in Oceania 49(1):43-55.</w:t>
      </w:r>
    </w:p>
    <w:p>
      <w:pPr>
        <w:pStyle w:val="BodyText"/>
      </w:pPr>
      <w:r>
        <w:t xml:space="preserve">Thomas, D. H. (1975). Nonsite sampling in archaeology: up the creek without a site. Sampling in archaeology. J. W. Mueller. Tucson, AZ, University of Arizona Press: 61-81.</w:t>
      </w:r>
    </w:p>
    <w:p>
      <w:pPr>
        <w:pStyle w:val="BodyText"/>
      </w:pPr>
      <w:r>
        <w:t xml:space="preserve">Traviglia, A. (2011). Integrated Archaeological Investigations for the Study of the Greater Aquileia Area. The New Technologies for Aquileia, Aquileia, Italy.</w:t>
      </w:r>
    </w:p>
    <w:p>
      <w:pPr>
        <w:pStyle w:val="BodyText"/>
      </w:pPr>
      <w:r>
        <w:t xml:space="preserve">Tripcevich, N. (2004a). "Flexibility by Design: How Mobile GIS Meets the Needs of Archaeological Survey." Cartography and Geographic Information Science 31(3): 137-151.</w:t>
      </w:r>
    </w:p>
    <w:p>
      <w:pPr>
        <w:pStyle w:val="BodyText"/>
      </w:pPr>
      <w:r>
        <w:t xml:space="preserve">Tripcevich, N. (2004b).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50" w:name="section-4"/>
      <w:bookmarkEnd w:id="50"/>
      <w:r>
        <w:t xml:space="preserve">.</w:t>
      </w:r>
    </w:p>
    <w:p>
      <w:pPr>
        <w:pStyle w:val="Heading3"/>
      </w:pPr>
      <w:bookmarkStart w:id="51" w:name="colophon"/>
      <w:bookmarkEnd w:id="51"/>
      <w:r>
        <w:t xml:space="preserve">Colophon</w:t>
      </w:r>
    </w:p>
    <w:p>
      <w:pPr>
        <w:pStyle w:val="FirstParagraph"/>
      </w:pPr>
      <w:r>
        <w:t xml:space="preserve">This report was generated on 2017-02-15 23:12:02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3.3.2 (2016-10-31)</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America/Los_Angeles</w:t>
            </w:r>
          </w:p>
        </w:tc>
      </w:tr>
      <w:tr>
        <w:tc>
          <w:p>
            <w:pPr>
              <w:pStyle w:val="Compact"/>
              <w:jc w:val="left"/>
            </w:pPr>
            <w:r>
              <w:t xml:space="preserve">date</w:t>
            </w:r>
          </w:p>
        </w:tc>
        <w:tc>
          <w:p>
            <w:pPr>
              <w:pStyle w:val="Compact"/>
              <w:jc w:val="left"/>
            </w:pPr>
            <w:r>
              <w:t xml:space="preserve">2017-02-15</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3.3.2)</w:t>
            </w:r>
          </w:p>
        </w:tc>
      </w:tr>
      <w:tr>
        <w:tc>
          <w:p>
            <w:pPr>
              <w:pStyle w:val="Compact"/>
              <w:jc w:val="left"/>
            </w:pPr>
            <w:r>
              <w:t xml:space="preserve">backports</w:t>
            </w:r>
          </w:p>
        </w:tc>
        <w:tc>
          <w:p>
            <w:pStyle w:val="Compact"/>
          </w:p>
        </w:tc>
        <w:tc>
          <w:p>
            <w:pPr>
              <w:pStyle w:val="Compact"/>
              <w:jc w:val="left"/>
            </w:pPr>
            <w:r>
              <w:t xml:space="preserve">1.0.4</w:t>
            </w:r>
          </w:p>
        </w:tc>
        <w:tc>
          <w:p>
            <w:pPr>
              <w:pStyle w:val="Compact"/>
              <w:jc w:val="left"/>
            </w:pPr>
            <w:r>
              <w:t xml:space="preserve">2016-10-24</w:t>
            </w:r>
          </w:p>
        </w:tc>
        <w:tc>
          <w:p>
            <w:pPr>
              <w:pStyle w:val="Compact"/>
              <w:jc w:val="left"/>
            </w:pPr>
            <w:r>
              <w:t xml:space="preserve">CRAN (R 3.3.2)</w:t>
            </w:r>
          </w:p>
        </w:tc>
      </w:tr>
      <w:tr>
        <w:tc>
          <w:p>
            <w:pPr>
              <w:pStyle w:val="Compact"/>
              <w:jc w:val="left"/>
            </w:pPr>
            <w:r>
              <w:t xml:space="preserve">bookdown</w:t>
            </w:r>
          </w:p>
        </w:tc>
        <w:tc>
          <w:p>
            <w:pStyle w:val="Compact"/>
          </w:p>
        </w:tc>
        <w:tc>
          <w:p>
            <w:pPr>
              <w:pStyle w:val="Compact"/>
              <w:jc w:val="left"/>
            </w:pPr>
            <w:r>
              <w:t xml:space="preserve">0.3</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3.3.2)</w:t>
            </w:r>
          </w:p>
        </w:tc>
      </w:tr>
      <w:tr>
        <w:tc>
          <w:p>
            <w:pPr>
              <w:pStyle w:val="Compact"/>
              <w:jc w:val="left"/>
            </w:pPr>
            <w:r>
              <w:t xml:space="preserve">data.table</w:t>
            </w:r>
          </w:p>
        </w:tc>
        <w:tc>
          <w:p>
            <w:pPr>
              <w:pStyle w:val="Compact"/>
              <w:jc w:val="left"/>
            </w:pPr>
            <w:r>
              <w:t xml:space="preserve">*</w:t>
            </w:r>
          </w:p>
        </w:tc>
        <w:tc>
          <w:p>
            <w:pPr>
              <w:pStyle w:val="Compact"/>
              <w:jc w:val="left"/>
            </w:pPr>
            <w:r>
              <w:t xml:space="preserve">1.10.0</w:t>
            </w:r>
          </w:p>
        </w:tc>
        <w:tc>
          <w:p>
            <w:pPr>
              <w:pStyle w:val="Compact"/>
              <w:jc w:val="left"/>
            </w:pPr>
            <w:r>
              <w:t xml:space="preserve">2016-12-03</w:t>
            </w:r>
          </w:p>
        </w:tc>
        <w:tc>
          <w:p>
            <w:pPr>
              <w:pStyle w:val="Compact"/>
              <w:jc w:val="left"/>
            </w:pPr>
            <w:r>
              <w:t xml:space="preserve">CRAN (R 3.3.2)</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3.3.2)</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digest</w:t>
            </w:r>
          </w:p>
        </w:tc>
        <w:tc>
          <w:p>
            <w:pStyle w:val="Compact"/>
          </w:p>
        </w:tc>
        <w:tc>
          <w:p>
            <w:pPr>
              <w:pStyle w:val="Compact"/>
              <w:jc w:val="left"/>
            </w:pPr>
            <w:r>
              <w:t xml:space="preserve">0.6.11</w:t>
            </w:r>
          </w:p>
        </w:tc>
        <w:tc>
          <w:p>
            <w:pPr>
              <w:pStyle w:val="Compact"/>
              <w:jc w:val="left"/>
            </w:pPr>
            <w:r>
              <w:t xml:space="preserve">2017-01-03</w:t>
            </w:r>
          </w:p>
        </w:tc>
        <w:tc>
          <w:p>
            <w:pPr>
              <w:pStyle w:val="Compact"/>
              <w:jc w:val="left"/>
            </w:pPr>
            <w:r>
              <w:t xml:space="preserve">CRAN (R 3.3.2)</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3.3.2)</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3.3.2)</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3.3.2)</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3.3.2)</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3.3.2)</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3.3.2)</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3.3.2)</w:t>
            </w:r>
          </w:p>
        </w:tc>
      </w:tr>
      <w:tr>
        <w:tc>
          <w:p>
            <w:pPr>
              <w:pStyle w:val="Compact"/>
              <w:jc w:val="left"/>
            </w:pPr>
            <w:r>
              <w:t xml:space="preserve">knitr</w:t>
            </w:r>
          </w:p>
        </w:tc>
        <w:tc>
          <w:p>
            <w:pPr>
              <w:pStyle w:val="Compact"/>
              <w:jc w:val="left"/>
            </w:pPr>
            <w:r>
              <w:t xml:space="preserve">*</w:t>
            </w:r>
          </w:p>
        </w:tc>
        <w:tc>
          <w:p>
            <w:pPr>
              <w:pStyle w:val="Compact"/>
              <w:jc w:val="left"/>
            </w:pPr>
            <w:r>
              <w:t xml:space="preserve">1.15.1</w:t>
            </w:r>
          </w:p>
        </w:tc>
        <w:tc>
          <w:p>
            <w:pPr>
              <w:pStyle w:val="Compact"/>
              <w:jc w:val="left"/>
            </w:pPr>
            <w:r>
              <w:t xml:space="preserve">2016-11-22</w:t>
            </w:r>
          </w:p>
        </w:tc>
        <w:tc>
          <w:p>
            <w:pPr>
              <w:pStyle w:val="Compact"/>
              <w:jc w:val="left"/>
            </w:pPr>
            <w:r>
              <w:t xml:space="preserve">CRAN (R 3.3.2)</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3.3.2)</w:t>
            </w:r>
          </w:p>
        </w:tc>
      </w:tr>
      <w:tr>
        <w:tc>
          <w:p>
            <w:pPr>
              <w:pStyle w:val="Compact"/>
              <w:jc w:val="left"/>
            </w:pPr>
            <w:r>
              <w:t xml:space="preserve">lazyeval</w:t>
            </w:r>
          </w:p>
        </w:tc>
        <w:tc>
          <w:p>
            <w:pStyle w:val="Compact"/>
          </w:p>
        </w:tc>
        <w:tc>
          <w:p>
            <w:pPr>
              <w:pStyle w:val="Compact"/>
              <w:jc w:val="left"/>
            </w:pPr>
            <w:r>
              <w:t xml:space="preserve">0.2.0</w:t>
            </w:r>
          </w:p>
        </w:tc>
        <w:tc>
          <w:p>
            <w:pPr>
              <w:pStyle w:val="Compact"/>
              <w:jc w:val="left"/>
            </w:pPr>
            <w:r>
              <w:t xml:space="preserve">2016-06-12</w:t>
            </w:r>
          </w:p>
        </w:tc>
        <w:tc>
          <w:p>
            <w:pPr>
              <w:pStyle w:val="Compact"/>
              <w:jc w:val="left"/>
            </w:pPr>
            <w:r>
              <w:t xml:space="preserve">CRAN (R 3.3.2)</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3.3.2)</w:t>
            </w:r>
          </w:p>
        </w:tc>
      </w:tr>
      <w:tr>
        <w:tc>
          <w:p>
            <w:pPr>
              <w:pStyle w:val="Compact"/>
              <w:jc w:val="left"/>
            </w:pPr>
            <w:r>
              <w:t xml:space="preserve">MASS</w:t>
            </w:r>
          </w:p>
        </w:tc>
        <w:tc>
          <w:p>
            <w:pStyle w:val="Compact"/>
          </w:p>
        </w:tc>
        <w:tc>
          <w:p>
            <w:pPr>
              <w:pStyle w:val="Compact"/>
              <w:jc w:val="left"/>
            </w:pPr>
            <w:r>
              <w:t xml:space="preserve">7.3-45</w:t>
            </w:r>
          </w:p>
        </w:tc>
        <w:tc>
          <w:p>
            <w:pPr>
              <w:pStyle w:val="Compact"/>
              <w:jc w:val="left"/>
            </w:pPr>
            <w:r>
              <w:t xml:space="preserve">2016-04-21</w:t>
            </w:r>
          </w:p>
        </w:tc>
        <w:tc>
          <w:p>
            <w:pPr>
              <w:pStyle w:val="Compact"/>
              <w:jc w:val="left"/>
            </w:pPr>
            <w:r>
              <w:t xml:space="preserve">CRAN (R 3.3.2)</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3.3.2)</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3.3.2)</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3.3.2)</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3.3.2)</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3.3.2)</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3.3.2)</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3.3.2)</w:t>
            </w:r>
          </w:p>
        </w:tc>
      </w:tr>
      <w:tr>
        <w:tc>
          <w:p>
            <w:pPr>
              <w:pStyle w:val="Compact"/>
              <w:jc w:val="left"/>
            </w:pPr>
            <w:r>
              <w:t xml:space="preserve">rmarkdown</w:t>
            </w:r>
          </w:p>
        </w:tc>
        <w:tc>
          <w:p>
            <w:pStyle w:val="Compact"/>
          </w:p>
        </w:tc>
        <w:tc>
          <w:p>
            <w:pPr>
              <w:pStyle w:val="Compact"/>
              <w:jc w:val="left"/>
            </w:pPr>
            <w:r>
              <w:t xml:space="preserve">1.3</w:t>
            </w:r>
          </w:p>
        </w:tc>
        <w:tc>
          <w:p>
            <w:pPr>
              <w:pStyle w:val="Compact"/>
              <w:jc w:val="left"/>
            </w:pPr>
            <w:r>
              <w:t xml:space="preserve">2016-12-21</w:t>
            </w:r>
          </w:p>
        </w:tc>
        <w:tc>
          <w:p>
            <w:pPr>
              <w:pStyle w:val="Compact"/>
              <w:jc w:val="left"/>
            </w:pPr>
            <w:r>
              <w:t xml:space="preserve">CRAN (R 3.3.2)</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3.3.2)</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3.3.2)</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3.3.2)</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3.3.2)</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3.3.2)</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3.3.2)</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3.3.2)</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3.3.2)</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3.3.2)</w:t>
            </w:r>
          </w:p>
        </w:tc>
      </w:tr>
      <w:tr>
        <w:tc>
          <w:p>
            <w:pPr>
              <w:pStyle w:val="Compact"/>
              <w:jc w:val="left"/>
            </w:pPr>
            <w:r>
              <w:t xml:space="preserve">viridis</w:t>
            </w:r>
          </w:p>
        </w:tc>
        <w:tc>
          <w:p>
            <w:pPr>
              <w:pStyle w:val="Compact"/>
              <w:jc w:val="left"/>
            </w:pPr>
            <w:r>
              <w:t xml:space="preserve">*</w:t>
            </w:r>
          </w:p>
        </w:tc>
        <w:tc>
          <w:p>
            <w:pPr>
              <w:pStyle w:val="Compact"/>
              <w:jc w:val="left"/>
            </w:pPr>
            <w:r>
              <w:t xml:space="preserve">0.3.4</w:t>
            </w:r>
          </w:p>
        </w:tc>
        <w:tc>
          <w:p>
            <w:pPr>
              <w:pStyle w:val="Compact"/>
              <w:jc w:val="left"/>
            </w:pPr>
            <w:r>
              <w:t xml:space="preserve">2016-03-12</w:t>
            </w:r>
          </w:p>
        </w:tc>
        <w:tc>
          <w:p>
            <w:pPr>
              <w:pStyle w:val="Compact"/>
              <w:jc w:val="left"/>
            </w:pPr>
            <w:r>
              <w:t xml:space="preserve">CRAN (R 3.3.2)</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3.3.2)</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3.3.2)</w:t>
            </w:r>
          </w:p>
        </w:tc>
      </w:tr>
    </w:tbl>
    <w:p>
      <w:pPr>
        <w:pStyle w:val="BodyText"/>
      </w:pPr>
      <w:r>
        <w:t xml:space="preserve">The current git commit of this file is 999d705b31fabb2573b91bebac930209000532c6, which is on the master branch and was made by Ben Marwick on 2017-02-13 09:30:59. The current commit message is "update map to put RD in arid zone fully". The repository is online at</w:t>
      </w:r>
      <w:r>
        <w:t xml:space="preserve"> </w:t>
      </w:r>
      <w:hyperlink r:id="rId52">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b87c68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6114728c"/>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Marjorie Sullivan; Peter Hiscock; Philip Hughes</dc:creator>
  <dcterms:created xsi:type="dcterms:W3CDTF">2017-02-16T07:12:05Z</dcterms:created>
  <dcterms:modified xsi:type="dcterms:W3CDTF">2017-02-16T07:12:05Z</dcterms:modified>
</cp:coreProperties>
</file>