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20</w:t>
      </w:r>
      <w:r>
        <w:t xml:space="preserve"> </w:t>
      </w:r>
      <w:r>
        <w:t xml:space="preserve">April,</w:t>
      </w:r>
      <w:r>
        <w:t xml:space="preserve"> </w:t>
      </w:r>
      <w:r>
        <w:t xml:space="preserve">2022</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Evolutionary Archaeology is concerned with the study of cultural evolution through material culture proxies and commonly over extended timescales not readily accessible by other means. While evolutionary thinking</w:t>
      </w:r>
      <w:r>
        <w:t xml:space="preserve"> </w:t>
      </w:r>
      <w:r>
        <w:rPr>
          <w:iCs/>
          <w:i/>
        </w:rPr>
        <w:t xml:space="preserve">per se</w:t>
      </w:r>
      <w:r>
        <w:t xml:space="preserve"> </w:t>
      </w:r>
      <w:r>
        <w:t xml:space="preserve">is not new in the discipline, an operational evolutionary archaeology emerged only recently, and on the back of several major paradigm transitions</w:t>
      </w:r>
      <w:r>
        <w:t xml:space="preserve"> </w:t>
      </w:r>
      <w:r>
        <w:t xml:space="preserve">(Prentiss, 2019)</w:t>
      </w:r>
      <w:r>
        <w:t xml:space="preserve">. The notion of major paradigm shifts in the history of archaeology is, however, characterized by a great deal of hyperbole and rhetorical maneuvering. That said, the late 1960s and 1970s do stand out as revolutionary. In the US, the Binfordian juggernaut increasingly hammered away at its culture-historical nemesis, while in the UK, David Clarke’s</w:t>
      </w:r>
      <w:r>
        <w:t xml:space="preserve"> </w:t>
      </w:r>
      <w:r>
        <w:t xml:space="preserve">(Clarke, 1968)</w:t>
      </w:r>
      <w:r>
        <w:t xml:space="preserve"> </w:t>
      </w:r>
      <w:r>
        <w:t xml:space="preserve">formidable</w:t>
      </w:r>
      <w:r>
        <w:t xml:space="preserve"> </w:t>
      </w:r>
      <w:r>
        <w:rPr>
          <w:iCs/>
          <w:i/>
        </w:rPr>
        <w:t xml:space="preserve">Analytical Archaeology</w:t>
      </w:r>
      <w:r>
        <w:t xml:space="preserve"> </w:t>
      </w:r>
      <w:r>
        <w:t xml:space="preserve">was shaking up the establishment with novel concepts and methods as well as incisive rhetoric. The reception and impact of these works has seen a great deal of attention in later years, especially as many researchers working within ecological and evolutionary approaches to past culture change are rediscovering the merits of Clarke’s conceptual approach in particular, and Binford’s extensive data synthesis</w:t>
      </w:r>
      <w:r>
        <w:t xml:space="preserve"> </w:t>
      </w:r>
      <w:r>
        <w:t xml:space="preserve">(Lycett &amp; Shennan, 2018; Nicholas, 2012)</w:t>
      </w:r>
      <w:r>
        <w:t xml:space="preserve">. The year 2021 marked the fiftieth anniversary of the publication of Robert C. Dunnell’s</w:t>
      </w:r>
      <w:r>
        <w:t xml:space="preserve"> </w:t>
      </w:r>
      <w:r>
        <w:t xml:space="preserve">(Dunnell, 1971)</w:t>
      </w:r>
      <w:r>
        <w:t xml:space="preserve"> </w:t>
      </w:r>
      <w:r>
        <w:t xml:space="preserve">diminutive yet dense</w:t>
      </w:r>
      <w:r>
        <w:t xml:space="preserve"> </w:t>
      </w:r>
      <w:r>
        <w:rPr>
          <w:iCs/>
          <w:i/>
        </w:rPr>
        <w:t xml:space="preserve">Systematics in Prehistory</w:t>
      </w:r>
      <w:r>
        <w:t xml:space="preserve">, a volume that is concerned entirely with classification in archaeology. Appearing at the height of the debate between Culture History and New Archaeology, Dunnell’s work was no less iconoclastic than that of Binford or Clarke, but it was considerably narrower in its goal of addressing a more fundamental issue that was and still is relevant to all branches of archaeology: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t xml:space="preserve"> </w:t>
      </w:r>
      <w:r>
        <w:t xml:space="preserve">(Bayard, 1973; Shenkel, 1973; Spaulding, 1974; Tuggle, 1974)</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t xml:space="preserve"> </w:t>
      </w:r>
      <w:r>
        <w:t xml:space="preserve">(Lyman, 2021)</w:t>
      </w:r>
      <w:r>
        <w:t xml:space="preserve">. In striking contrast, biological systematics is a well developed field with faculty positions, courses, and journals dedicated to this fundamental scientific concern. If at least some of the success of Clarke and Binford can be attributed to them boldly tackling exciting and large-scale topics such as migration and adaptation adaptation through the introduction of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quotidian.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at least. In countries where archaeology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 certainly, evolutionary analysis would hardly be possible without robust classification.</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t xml:space="preserve"> </w:t>
      </w:r>
      <w:r>
        <w:t xml:space="preserve">(Dunnell, 1980, 1982)</w:t>
      </w:r>
      <w:r>
        <w:t xml:space="preserve">. While his writing style did not attract many followers, these arguments have since become foundational for the development of evolutionary archaeology, especially in the Americas</w:t>
      </w:r>
      <w:r>
        <w:t xml:space="preserve"> </w:t>
      </w:r>
      <w:r>
        <w:t xml:space="preserve">(O’Brien, 1996)</w:t>
      </w:r>
      <w:r>
        <w:t xml:space="preserve">. Initially, following the direct lead of Dunnell, this approach was rather narrowly selectionist, treating artefacts as the hard parts of the human phenotype and selection acting on these as the main driver of change</w:t>
      </w:r>
      <w:r>
        <w:t xml:space="preserve"> </w:t>
      </w:r>
      <w:r>
        <w:t xml:space="preserve">(O’Brien &amp; Holland, 1990)</w:t>
      </w:r>
      <w:r>
        <w:t xml:space="preserve">. Evolutionary archaeology has since become both more plural and more fully aligned with cultural evolutionary thinking in the form of behavioural ecology, dual-inheritance and niche construction theory</w:t>
      </w:r>
      <w:r>
        <w:t xml:space="preserve"> </w:t>
      </w:r>
      <w:r>
        <w:t xml:space="preserve">(Marwick, 2006; Prentiss, 2021; Riede, 2019)</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deep history: the Palaeolithic. Rooted in French antiquarianism, the development of Paleolithic systematics, for instance, has been likened to so many</w:t>
      </w:r>
      <w:r>
        <w:t xml:space="preserve"> </w:t>
      </w:r>
      <w:r>
        <w:t xml:space="preserve">‘</w:t>
      </w:r>
      <w:r>
        <w:t xml:space="preserve">accidents of history</w:t>
      </w:r>
      <w:r>
        <w:t xml:space="preserve">’</w:t>
      </w:r>
      <w:r>
        <w:t xml:space="preserve"> </w:t>
      </w:r>
      <w:r>
        <w:t xml:space="preserve">(Clark, 2009)</w:t>
      </w:r>
      <w:r>
        <w:t xml:space="preserve">, but there are few periods or regions of the Palaeolithic that have not seen debate about the validity or otherwise of their analytical units</w:t>
      </w:r>
      <w:r>
        <w:t xml:space="preserve"> </w:t>
      </w:r>
      <w:r>
        <w:t xml:space="preserve">(Reynolds &amp; Riede, 2019)</w:t>
      </w:r>
      <w:r>
        <w:t xml:space="preserve">. The use of older typological classifications remains prevalent, despite clear and repeated critiques</w:t>
      </w:r>
      <w:r>
        <w:t xml:space="preserve"> </w:t>
      </w:r>
      <w:r>
        <w:t xml:space="preserve">(e.g. Bisson, 2000)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t xml:space="preserve"> </w:t>
      </w:r>
      <w:r>
        <w:t xml:space="preserve">(Tostevin, 2013)</w:t>
      </w:r>
      <w:r>
        <w:t xml:space="preserve">. Today, a great deal of attention is again being paid to systematics in prehistory, and as Barton and Clark</w:t>
      </w:r>
      <w:r>
        <w:t xml:space="preserve"> </w:t>
      </w:r>
      <w:r>
        <w:t xml:space="preserve">(Barton &amp; Clark, 2021)</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t xml:space="preserve"> </w:t>
      </w:r>
      <w:r>
        <w:t xml:space="preserve">(Grove &amp; Blinkhorn, 2021; Ivanovaitė et al., 2020; Leplongeon et al., 2020)</w:t>
      </w:r>
      <w:r>
        <w:t xml:space="preserve">. At the same time, however, the topic remains poorly heeded in archaeological pedagogy</w:t>
      </w:r>
      <w:r>
        <w:t xml:space="preserve"> </w:t>
      </w:r>
      <w:r>
        <w:t xml:space="preserve">(Lyman, 2021)</w:t>
      </w:r>
      <w:r>
        <w:t xml:space="preserve">. Given that cultural evolutionary theory itself teaches us that aspects of culture most easily and rapidly change when scaffolded through active teaching</w:t>
      </w:r>
      <w:r>
        <w:t xml:space="preserve"> </w:t>
      </w:r>
      <w:r>
        <w:t xml:space="preserve">(Riede et al., 2021)</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33"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and the R Markdown source document for this paper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t xml:space="preserve"> </w:t>
      </w:r>
      <w:r>
        <w:t xml:space="preserve">(1971)</w:t>
      </w:r>
      <w:r>
        <w:t xml:space="preserve"> </w:t>
      </w:r>
      <w:r>
        <w:t xml:space="preserve">‘</w:t>
      </w:r>
      <w:r>
        <w:t xml:space="preserve">Mortuary Practices: Their Study and Their Potential</w:t>
      </w:r>
      <w:r>
        <w:t xml:space="preserve">’</w:t>
      </w:r>
      <w:r>
        <w:t xml:space="preserve"> </w:t>
      </w:r>
      <w:r>
        <w:t xml:space="preserve">with 1621 citations currently on Google Scholar at the time of our data collection.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t xml:space="preserve"> </w:t>
      </w:r>
      <w:r>
        <w:t xml:space="preserve">(Shanks &amp; Tilley, 1987)</w:t>
      </w:r>
      <w:r>
        <w:t xml:space="preserve">, behavioral archaeology</w:t>
      </w:r>
      <w:r>
        <w:t xml:space="preserve"> </w:t>
      </w:r>
      <w:r>
        <w:t xml:space="preserve">(Schiffer, 2016)</w:t>
      </w:r>
      <w:r>
        <w:t xml:space="preserve">, and lithic analysis</w:t>
      </w:r>
      <w:r>
        <w:t xml:space="preserve"> </w:t>
      </w:r>
      <w:r>
        <w:t xml:space="preserve">(Andrefsky, 1998)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w:t>
      </w:r>
      <w:r>
        <w:t xml:space="preserve"> </w:t>
      </w:r>
      <w:r>
        <w:t xml:space="preserve">‘</w:t>
      </w:r>
      <w:r>
        <w:t xml:space="preserve">variation</w:t>
      </w:r>
      <w:r>
        <w:t xml:space="preserve">’</w:t>
      </w:r>
      <w:r>
        <w:t xml:space="preserve">, and</w:t>
      </w:r>
      <w:r>
        <w:t xml:space="preserve"> </w:t>
      </w:r>
      <w:r>
        <w:t xml:space="preserve">‘</w:t>
      </w:r>
      <w:r>
        <w:t xml:space="preserve">evolutionary</w:t>
      </w:r>
      <w:r>
        <w:t xml:space="preserve">’</w:t>
      </w:r>
      <w:r>
        <w:t xml:space="preserve">. Evolution is a very minor theme in</w:t>
      </w:r>
      <w:r>
        <w:t xml:space="preserve"> </w:t>
      </w:r>
      <w:r>
        <w:rPr>
          <w:iCs/>
          <w:i/>
        </w:rPr>
        <w:t xml:space="preserve">Systematics</w:t>
      </w:r>
      <w:r>
        <w:t xml:space="preserve"> </w:t>
      </w:r>
      <w:r>
        <w:t xml:space="preserve">itself, but these word frequency data show it has proven to be a foundational text in applications of evolutionary theory to explaining variability in the archaeological record.</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25" name="Picture"/>
            <a:graphic>
              <a:graphicData uri="http://schemas.openxmlformats.org/drawingml/2006/picture">
                <pic:pic>
                  <pic:nvPicPr>
                    <pic:cNvPr descr="/Users/bmarwick/Desktop/systematicsinprehistory/analysis/figures/citations-of-citing-works-over-time.png" id="26"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28" name="Picture"/>
            <a:graphic>
              <a:graphicData uri="http://schemas.openxmlformats.org/drawingml/2006/picture">
                <pic:pic>
                  <pic:nvPicPr>
                    <pic:cNvPr descr="/Users/bmarwick/Desktop/systematicsinprehistory/analysis/figures/languages-and-keywords-in-titles-of-citing-works.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Inset shows languages of works citing</w:t>
      </w:r>
      <w:r>
        <w:t xml:space="preserve"> </w:t>
      </w:r>
      <w:r>
        <w:t xml:space="preserve">‘</w:t>
      </w:r>
      <w:r>
        <w:t xml:space="preserve">Systematics</w:t>
      </w:r>
      <w:r>
        <w:t xml:space="preserve">’</w:t>
      </w:r>
    </w:p>
    <w:p>
      <w:pPr>
        <w:pStyle w:val="BodyText"/>
      </w:pPr>
      <w:r>
        <w:t xml:space="preserve">Beyond the Anglosphere, we see citations from a small number works in Russian and European languages (Figure</w:t>
      </w:r>
      <w:r>
        <w:t xml:space="preserve"> </w:t>
      </w:r>
      <w:r>
        <w:t xml:space="preserve">2</w:t>
      </w:r>
      <w:r>
        <w:t xml:space="preserve">), but the impact of</w:t>
      </w:r>
      <w:r>
        <w:t xml:space="preserve"> </w:t>
      </w:r>
      <w:r>
        <w:rPr>
          <w:iCs/>
          <w:i/>
        </w:rPr>
        <w:t xml:space="preserve">Systematics</w:t>
      </w:r>
      <w:r>
        <w:t xml:space="preserve"> </w:t>
      </w:r>
      <w:r>
        <w:t xml:space="preserve">is most evident in Spanish-language publications by scholars working on South American stone artefact assemblages. 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t xml:space="preserve"> </w:t>
      </w:r>
      <w:r>
        <w:t xml:space="preserve">(Cardillo &amp; Charlin, 2018)</w:t>
      </w:r>
      <w:r>
        <w:t xml:space="preserve">, Mercedes Okumura</w:t>
      </w:r>
      <w:r>
        <w:t xml:space="preserve"> </w:t>
      </w:r>
      <w:r>
        <w:t xml:space="preserve">(Okumura &amp; Araujo, 2014)</w:t>
      </w:r>
      <w:r>
        <w:t xml:space="preserve"> </w:t>
      </w:r>
      <w:r>
        <w:t xml:space="preserve">and others have conducted pioneering work in the application of geometric morphometrics to stone artefact assemblages in an effort to provide a materialist view of technological variation where the focus is on continuous quantitative phenomena. While geometric morphometrics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modern phylogenetic comparative methods to model and quantify technological variation and change over space and time</w:t>
      </w:r>
      <w:r>
        <w:t xml:space="preserve"> </w:t>
      </w:r>
      <w:r>
        <w:t xml:space="preserve">(e.g. Cardillo &amp; Alberti, 2015)</w:t>
      </w:r>
      <w:r>
        <w:t xml:space="preserve">. While the work by Cardillo and colleagues</w:t>
      </w:r>
      <w:r>
        <w:t xml:space="preserve"> </w:t>
      </w:r>
      <w:r>
        <w:t xml:space="preserve">(2015; 2018)</w:t>
      </w:r>
      <w:r>
        <w:t xml:space="preserve"> </w:t>
      </w:r>
      <w:r>
        <w:t xml:space="preserve">focuses on phylogenetic signals and material culture diversity across time and space, Okumura and colleagues</w:t>
      </w:r>
      <w:r>
        <w:t xml:space="preserve"> </w:t>
      </w:r>
      <w:r>
        <w:t xml:space="preserve">(2014)</w:t>
      </w:r>
      <w:r>
        <w:t xml:space="preserve"> </w:t>
      </w:r>
      <w:r>
        <w:t xml:space="preserve">are more concerned with the persistence of attributes over long stretches of time. What these works have in common is the use of an explicitly cultural evolutionary rationale. In these studies, the use of paradigmatic classifications is widespread and an overt understanding of the difference between classes (ideational/theoretical) and groups (phenomenological/empirical) evident, underlining the influence of Dunnell’s thinking. Worth noting is that these approaches were embraced chiefly in only two South American countries – Argentina and Brazil – and largely independently of each other. Collectively, these works show that one of the most important contributions of</w:t>
      </w:r>
      <w:r>
        <w:t xml:space="preserve"> </w:t>
      </w:r>
      <w:r>
        <w:rPr>
          <w:iCs/>
          <w:i/>
        </w:rPr>
        <w:t xml:space="preserve">Systematics</w:t>
      </w:r>
      <w:r>
        <w:t xml:space="preserve"> </w:t>
      </w:r>
      <w:r>
        <w:t xml:space="preserve">has been as a bridge between archaeology and cognate fields - first and foremost palaeontology -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 since the first one in 2017.</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31" name="Picture"/>
            <a:graphic>
              <a:graphicData uri="http://schemas.openxmlformats.org/drawingml/2006/picture">
                <pic:pic>
                  <pic:nvPicPr>
                    <pic:cNvPr descr="/Users/bmarwick/Desktop/systematicsinprehistory/analysis/figures/topic-model-on-titles.jpg" id="32" name="Picture"/>
                    <pic:cNvPicPr>
                      <a:picLocks noChangeArrowheads="1" noChangeAspect="1"/>
                    </pic:cNvPicPr>
                  </pic:nvPicPr>
                  <pic:blipFill>
                    <a:blip r:embed="rId30"/>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of works citing</w:t>
      </w:r>
      <w:r>
        <w:t xml:space="preserve"> </w:t>
      </w:r>
      <w:r>
        <w:rPr>
          <w:iCs/>
          <w:i/>
        </w:rPr>
        <w:t xml:space="preserve">Systematics</w:t>
      </w:r>
      <w:r>
        <w:t xml:space="preserve">, that uses a probabilistic approach to generate mixtures of words that represent themes or topics in the collection</w:t>
      </w:r>
      <w:r>
        <w:t xml:space="preserve"> </w:t>
      </w:r>
      <w:r>
        <w:t xml:space="preserve">(Roberts et al., 2016; Roberts et al., 2014)</w:t>
      </w:r>
      <w:r>
        <w:t xml:space="preserve">. This finds natural groups of topics similar to how clustering on numeric data finds groups of similar items. We generated a topic model with the widely-used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For example, the archaeology of the central and southern Pacific Ocean stands out, and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t xml:space="preserve"> </w:t>
      </w:r>
      <w:r>
        <w:t xml:space="preserve">(Lipo et al., 2021)</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The influence of</w:t>
      </w:r>
      <w:r>
        <w:t xml:space="preserve"> </w:t>
      </w:r>
      <w:r>
        <w:rPr>
          <w:iCs/>
          <w:i/>
        </w:rPr>
        <w:t xml:space="preserve">Systematics</w:t>
      </w:r>
      <w:r>
        <w:t xml:space="preserve"> </w:t>
      </w:r>
      <w:r>
        <w:t xml:space="preserve">has extended well beyond Dunnell’s own primary study area of the North American Southeast. For example, the Portuguese translation published in 2007 has received 75 citations, and the Spanish translation 30. At face value these numbers seem low, but when we take into consideration that Binford’s Portuguese translation of</w:t>
      </w:r>
      <w:r>
        <w:t xml:space="preserve"> </w:t>
      </w:r>
      <w:r>
        <w:rPr>
          <w:iCs/>
          <w:i/>
        </w:rPr>
        <w:t xml:space="preserve">In Pursuit of the Past</w:t>
      </w:r>
      <w:r>
        <w:t xml:space="preserve"> </w:t>
      </w:r>
      <w:r>
        <w:t xml:space="preserve">published in 1991 has 31 citations, we can have a better perspective of the influence Dunnell’s work. On the other hand, in our data we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t xml:space="preserve"> </w:t>
      </w:r>
      <w:r>
        <w:t xml:space="preserve">(Henrich et al., 2010)</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t xml:space="preserve"> </w:t>
      </w:r>
      <w:r>
        <w:t xml:space="preserve">(Spaulding, 1974, pp. 515–516)</w:t>
      </w:r>
      <w:r>
        <w:t xml:space="preserve"> </w:t>
      </w:r>
      <w:r>
        <w:t xml:space="preserve">described his reaction to the book), and acknowledged by Dunnell in his foreword to the 2002 edition. The low readability of the book has likely limited the accessibility of its contents for readers whose first language is not English, and made it inherently less attractive as a</w:t>
      </w:r>
      <w:r>
        <w:t xml:space="preserve"> </w:t>
      </w:r>
      <w:r>
        <w:t xml:space="preserve">pedagogical resource.</w:t>
      </w:r>
    </w:p>
    <w:p>
      <w:pPr>
        <w:pStyle w:val="BodyText"/>
      </w:pPr>
      <w:r>
        <w:t xml:space="preserve">A second limitation of</w:t>
      </w:r>
      <w:r>
        <w:t xml:space="preserve"> </w:t>
      </w:r>
      <w:r>
        <w:rPr>
          <w:iCs/>
          <w:i/>
        </w:rPr>
        <w:t xml:space="preserve">Systematics</w:t>
      </w:r>
      <w:r>
        <w:t xml:space="preserve"> </w:t>
      </w:r>
      <w:r>
        <w:t xml:space="preserve">is that it failed to motivate the formation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currently has no equivalent focal points for discussions of specifically culture-historical systematics that transcend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 The result of this fragmentation is a proliferation of bespoke classifications that lack applicability across cases. It also inhibits reproducibility, synthesis, and the transfer of ideas and innovations across research communities, which may limit the sustainability of archaeology as a discipline.</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the New Archaeology on the one hand, while also meeting resistance from deeply entrenched traditional approaches to classification. In addition, the volume also appeared just before personal computers were beginning to have a major impact on archaeological research practice</w:t>
      </w:r>
      <w:r>
        <w:t xml:space="preserve"> </w:t>
      </w:r>
      <w:r>
        <w:t xml:space="preserve">(Aldenderfer, 1987; Clark &amp; Stafford, 1982)</w:t>
      </w:r>
      <w:r>
        <w:t xml:space="preserve">. The rigor advocated by Dunnell would have lent itself smoothly to the sorts of computational approaches now increasingly adopted in the discipline. Yet,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t xml:space="preserve"> </w:t>
      </w:r>
      <w:r>
        <w:t xml:space="preserve">(Shea, 2016, p. xvii)</w:t>
      </w:r>
      <w:r>
        <w:t xml:space="preserve">, namely the inherited and entrenched analytical habits of research traditions dominated by economies of personal prestige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t xml:space="preserve"> </w:t>
      </w:r>
      <w:r>
        <w:t xml:space="preserve">(cf. Perreault, 2019)</w:t>
      </w:r>
      <w:r>
        <w:t xml:space="preserve">, the message of</w:t>
      </w:r>
      <w:r>
        <w:t xml:space="preserve"> </w:t>
      </w:r>
      <w:r>
        <w:rPr>
          <w:iCs/>
          <w:i/>
        </w:rPr>
        <w:t xml:space="preserve">Systematics</w:t>
      </w:r>
      <w:r>
        <w:t xml:space="preserve"> </w:t>
      </w:r>
      <w:r>
        <w:t xml:space="preserve">will only become more relevant.</w:t>
      </w:r>
    </w:p>
    <w:bookmarkEnd w:id="33"/>
    <w:bookmarkStart w:id="34" w:name="acknowledgements"/>
    <w:p>
      <w:pPr>
        <w:pStyle w:val="Heading1"/>
      </w:pPr>
      <w:r>
        <w:t xml:space="preserve">Acknowledgements</w:t>
      </w:r>
    </w:p>
    <w:p>
      <w:pPr>
        <w:pStyle w:val="FirstParagraph"/>
      </w:pPr>
      <w:r>
        <w:t xml:space="preserve">This work is part of the CLIOARCH project, an ERC Consolidator Grant project that has received funding from the European Research Council (ERC) under the European Union’s Horizon 2020 research and innovation programme (grant agreement No. 817564).</w:t>
      </w:r>
    </w:p>
    <w:bookmarkEnd w:id="34"/>
    <w:bookmarkStart w:id="36" w:name="author-biographies"/>
    <w:p>
      <w:pPr>
        <w:pStyle w:val="Heading1"/>
      </w:pPr>
      <w:r>
        <w:t xml:space="preserve">Author biographies</w:t>
      </w:r>
    </w:p>
    <w:p>
      <w:pPr>
        <w:pStyle w:val="FirstParagraph"/>
      </w:pPr>
      <w:r>
        <w:t xml:space="preserve">Felix Riede is Professor of Prehistoric Archaeology at Aarhus University and PI in the ERC-funded project CLIOARCH (</w:t>
      </w:r>
      <w:hyperlink r:id="rId35">
        <w:r>
          <w:rPr>
            <w:rStyle w:val="Hyperlink"/>
          </w:rPr>
          <w:t xml:space="preserve">https://cas.au.dk/en/clioarch/</w:t>
        </w:r>
      </w:hyperlink>
      <w:r>
        <w:t xml:space="preserve">) that is revisiting Paleolithic cultural taxonomies and aims to put these on more robust epistemological and empirical foundations. His main areas of research are the early prehistory of Northern Europe, pioneer dispersals, cultural phylogenetics and human cognitive evolution.</w:t>
      </w:r>
    </w:p>
    <w:p>
      <w:pPr>
        <w:pStyle w:val="BodyText"/>
      </w:pPr>
      <w:r>
        <w:t xml:space="preserve">Astolfo Araujo is Professor at the Museu de Arqueologia e Etnologia da Universidade de São Paulo. He is a leading South American scholar in the application of evolutionary thinking in archaeology. He has researched and written extensively on the cultural taxonomy of prehistoric Brazil and on the history of archaeology in the region.</w:t>
      </w:r>
    </w:p>
    <w:p>
      <w:pPr>
        <w:pStyle w:val="BodyText"/>
      </w:pPr>
      <w:r>
        <w:t xml:space="preserve">Ben Marwick is Professor at the Department of Anthropology, University of Washington – Robert C. Dunnell’s former department. He is widely known for his pioneering work in quantitative methods and reproducibility in archaeology, and his applications of cultural evolutionary and behavioral ecological models to the prehistory of mainland Southeast Asia and Australia in particular.</w:t>
      </w:r>
    </w:p>
    <w:bookmarkEnd w:id="36"/>
    <w:bookmarkStart w:id="37" w:name="data-availability-statement"/>
    <w:p>
      <w:pPr>
        <w:pStyle w:val="Heading1"/>
      </w:pPr>
      <w:r>
        <w:rPr>
          <w:bCs/>
          <w:b/>
        </w:rPr>
        <w:t xml:space="preserve">Data Availability Statement</w:t>
      </w:r>
    </w:p>
    <w:p>
      <w:pPr>
        <w:pStyle w:val="FirstParagraph"/>
      </w:pPr>
      <w:r>
        <w:t xml:space="preserve">The raw data and R code for our analysis of the Google Scholar results are openly available online at</w:t>
      </w:r>
      <w:r>
        <w:t xml:space="preserve"> </w:t>
      </w:r>
      <w:hyperlink r:id="rId23">
        <w:r>
          <w:rPr>
            <w:rStyle w:val="Hyperlink"/>
          </w:rPr>
          <w:t xml:space="preserve">http://doi.org/10.17605/OSF.IO/JBPFW</w:t>
        </w:r>
      </w:hyperlink>
      <w:r>
        <w:t xml:space="preserve">.</w:t>
      </w:r>
    </w:p>
    <w:p>
      <w:r>
        <w:br w:type="page"/>
      </w:r>
    </w:p>
    <w:bookmarkEnd w:id="37"/>
    <w:bookmarkStart w:id="101" w:name="references"/>
    <w:p>
      <w:pPr>
        <w:pStyle w:val="Heading1"/>
      </w:pPr>
      <w:r>
        <w:t xml:space="preserve">References</w:t>
      </w:r>
    </w:p>
    <w:bookmarkStart w:id="99" w:name="refs"/>
    <w:bookmarkStart w:id="38" w:name="ref-aldenderfer1987assessing"/>
    <w:p>
      <w:pPr>
        <w:pStyle w:val="Bibliography"/>
      </w:pPr>
      <w:r>
        <w:t xml:space="preserve">Aldenderfer, M. S. (1987).</w:t>
      </w:r>
      <w:r>
        <w:t xml:space="preserve"> </w:t>
      </w:r>
      <w:r>
        <w:rPr>
          <w:iCs/>
          <w:i/>
        </w:rPr>
        <w:t xml:space="preserve">Assessing the impact of quantitative thinking on archaeological research: Historical and evolutionary insights</w:t>
      </w:r>
      <w:r>
        <w:t xml:space="preserve"> </w:t>
      </w:r>
      <w:r>
        <w:t xml:space="preserve">(M. S. Aldenderfer, Ed.; p. 929). Sage, Newbury Park, CA.</w:t>
      </w:r>
    </w:p>
    <w:bookmarkEnd w:id="38"/>
    <w:bookmarkStart w:id="39" w:name="ref-Andrefsky_1998"/>
    <w:p>
      <w:pPr>
        <w:pStyle w:val="Bibliography"/>
      </w:pPr>
      <w:r>
        <w:t xml:space="preserve">Andrefsky, W. (1998).</w:t>
      </w:r>
      <w:r>
        <w:t xml:space="preserve"> </w:t>
      </w:r>
      <w:r>
        <w:rPr>
          <w:iCs/>
          <w:i/>
        </w:rPr>
        <w:t xml:space="preserve">Lithics: A macroscopic approach</w:t>
      </w:r>
      <w:r>
        <w:t xml:space="preserve">. Cambridge University Press.</w:t>
      </w:r>
    </w:p>
    <w:bookmarkEnd w:id="39"/>
    <w:bookmarkStart w:id="41" w:name="ref-barton2021"/>
    <w:p>
      <w:pPr>
        <w:pStyle w:val="Bibliography"/>
      </w:pPr>
      <w:r>
        <w:t xml:space="preserve">Barton, C. M., &amp; Clark, G. A. (2021). From artifacts to cultures: Technology, society, and knowledge in the upper paleolithic.</w:t>
      </w:r>
      <w:r>
        <w:t xml:space="preserve"> </w:t>
      </w:r>
      <w:r>
        <w:rPr>
          <w:iCs/>
          <w:i/>
        </w:rPr>
        <w:t xml:space="preserve">Journal of Paleolithic Archaeology</w:t>
      </w:r>
      <w:r>
        <w:t xml:space="preserve">,</w:t>
      </w:r>
      <w:r>
        <w:t xml:space="preserve"> </w:t>
      </w:r>
      <w:r>
        <w:rPr>
          <w:iCs/>
          <w:i/>
        </w:rPr>
        <w:t xml:space="preserve">4</w:t>
      </w:r>
      <w:r>
        <w:t xml:space="preserve">(2), 16.</w:t>
      </w:r>
      <w:r>
        <w:t xml:space="preserve"> </w:t>
      </w:r>
      <w:hyperlink r:id="rId40">
        <w:r>
          <w:rPr>
            <w:rStyle w:val="Hyperlink"/>
          </w:rPr>
          <w:t xml:space="preserve">https://doi.org/10.1007/s41982-021-00091-8</w:t>
        </w:r>
      </w:hyperlink>
    </w:p>
    <w:bookmarkEnd w:id="41"/>
    <w:bookmarkStart w:id="43" w:name="ref-bayard1973"/>
    <w:p>
      <w:pPr>
        <w:pStyle w:val="Bibliography"/>
      </w:pPr>
      <w:r>
        <w:t xml:space="preserve">Bayard, D. T. (1973). ’Prehistory: A systematic science?’: A review of robert c. Dunnell’s</w:t>
      </w:r>
      <w:r>
        <w:t xml:space="preserve"> </w:t>
      </w:r>
      <w:r>
        <w:t xml:space="preserve">"</w:t>
      </w:r>
      <w:r>
        <w:t xml:space="preserve">systematics in prehistory</w:t>
      </w:r>
      <w:r>
        <w:t xml:space="preserve">"</w:t>
      </w:r>
      <w:r>
        <w:t xml:space="preserve"> </w:t>
      </w:r>
      <w:r>
        <w:t xml:space="preserve">(book review).</w:t>
      </w:r>
      <w:r>
        <w:t xml:space="preserve"> </w:t>
      </w:r>
      <w:r>
        <w:rPr>
          <w:iCs/>
          <w:i/>
        </w:rPr>
        <w:t xml:space="preserve">Mankind</w:t>
      </w:r>
      <w:r>
        <w:t xml:space="preserve">,</w:t>
      </w:r>
      <w:r>
        <w:t xml:space="preserve"> </w:t>
      </w:r>
      <w:r>
        <w:rPr>
          <w:iCs/>
          <w:i/>
        </w:rPr>
        <w:t xml:space="preserve">9</w:t>
      </w:r>
      <w:r>
        <w:t xml:space="preserve">(1), 39.</w:t>
      </w:r>
      <w:r>
        <w:t xml:space="preserve"> </w:t>
      </w:r>
      <w:hyperlink r:id="rId42">
        <w:r>
          <w:rPr>
            <w:rStyle w:val="Hyperlink"/>
          </w:rPr>
          <w:t xml:space="preserve">https://search.proquest.com/scholarly-journals/prehistory-systematic-science-review-robert-c/docview/1299122177/se-2?accountid=14468</w:t>
        </w:r>
      </w:hyperlink>
    </w:p>
    <w:bookmarkEnd w:id="43"/>
    <w:bookmarkStart w:id="44" w:name="ref-binford1971mortuary"/>
    <w:p>
      <w:pPr>
        <w:pStyle w:val="Bibliography"/>
      </w:pPr>
      <w:r>
        <w:t xml:space="preserve">Binford, L. R. (1971). Mortuary practices: Their study and their potential.</w:t>
      </w:r>
      <w:r>
        <w:t xml:space="preserve"> </w:t>
      </w:r>
      <w:r>
        <w:rPr>
          <w:iCs/>
          <w:i/>
        </w:rPr>
        <w:t xml:space="preserve">Memoirs of the Society for American Archaeology</w:t>
      </w:r>
      <w:r>
        <w:t xml:space="preserve">,</w:t>
      </w:r>
      <w:r>
        <w:t xml:space="preserve"> </w:t>
      </w:r>
      <w:r>
        <w:rPr>
          <w:iCs/>
          <w:i/>
        </w:rPr>
        <w:t xml:space="preserve">25</w:t>
      </w:r>
      <w:r>
        <w:t xml:space="preserve">, 6–29.</w:t>
      </w:r>
    </w:p>
    <w:bookmarkEnd w:id="44"/>
    <w:bookmarkStart w:id="46" w:name="ref-bisson2000"/>
    <w:p>
      <w:pPr>
        <w:pStyle w:val="Bibliography"/>
      </w:pPr>
      <w:r>
        <w:t xml:space="preserve">Bisson, M. S. (2000). Nineteenth century tools for twenty-first century archaeology? Why the middle paleolithic typology of françois bordes must be replaced.</w:t>
      </w:r>
      <w:r>
        <w:t xml:space="preserve"> </w:t>
      </w:r>
      <w:r>
        <w:rPr>
          <w:iCs/>
          <w:i/>
        </w:rPr>
        <w:t xml:space="preserve">Journal of Archaeological Method and Theory</w:t>
      </w:r>
      <w:r>
        <w:t xml:space="preserve">,</w:t>
      </w:r>
      <w:r>
        <w:t xml:space="preserve"> </w:t>
      </w:r>
      <w:r>
        <w:rPr>
          <w:iCs/>
          <w:i/>
        </w:rPr>
        <w:t xml:space="preserve">7</w:t>
      </w:r>
      <w:r>
        <w:t xml:space="preserve">(1), 1–48. https://doi.org/</w:t>
      </w:r>
      <w:hyperlink r:id="rId45">
        <w:r>
          <w:rPr>
            <w:rStyle w:val="Hyperlink"/>
          </w:rPr>
          <w:t xml:space="preserve">http://dx.doi.org/10.1023/A:1009578011590</w:t>
        </w:r>
      </w:hyperlink>
    </w:p>
    <w:bookmarkEnd w:id="46"/>
    <w:bookmarkStart w:id="47" w:name="ref-cardillo2015evolution"/>
    <w:p>
      <w:pPr>
        <w:pStyle w:val="Bibliography"/>
      </w:pPr>
      <w:r>
        <w:t xml:space="preserve">Cardillo, M., &amp; Alberti, J. (2015). The evolution of projectile points and technical systems: A case from northern patagonian coast (argentina).</w:t>
      </w:r>
      <w:r>
        <w:t xml:space="preserve"> </w:t>
      </w:r>
      <w:r>
        <w:rPr>
          <w:iCs/>
          <w:i/>
        </w:rPr>
        <w:t xml:space="preserve">Journal of Archaeological Science: Reports</w:t>
      </w:r>
      <w:r>
        <w:t xml:space="preserve">,</w:t>
      </w:r>
      <w:r>
        <w:t xml:space="preserve"> </w:t>
      </w:r>
      <w:r>
        <w:rPr>
          <w:iCs/>
          <w:i/>
        </w:rPr>
        <w:t xml:space="preserve">2</w:t>
      </w:r>
      <w:r>
        <w:t xml:space="preserve">, 612–623.</w:t>
      </w:r>
    </w:p>
    <w:bookmarkEnd w:id="47"/>
    <w:bookmarkStart w:id="49" w:name="ref-Cardillo_Charlin_2018"/>
    <w:p>
      <w:pPr>
        <w:pStyle w:val="Bibliography"/>
      </w:pPr>
      <w:r>
        <w:t xml:space="preserve">Cardillo, M., &amp; Charlin, J. (2018). Phylogenetic analysis of stemmed points from patagonia: Shape change and morphospace evolution.</w:t>
      </w:r>
      <w:r>
        <w:t xml:space="preserve"> </w:t>
      </w:r>
      <w:r>
        <w:rPr>
          <w:iCs/>
          <w:i/>
        </w:rPr>
        <w:t xml:space="preserve">Journal of Lithic Studies</w:t>
      </w:r>
      <w:r>
        <w:t xml:space="preserve">,</w:t>
      </w:r>
      <w:r>
        <w:t xml:space="preserve"> </w:t>
      </w:r>
      <w:r>
        <w:rPr>
          <w:iCs/>
          <w:i/>
        </w:rPr>
        <w:t xml:space="preserve">5</w:t>
      </w:r>
      <w:r>
        <w:t xml:space="preserve">(22).</w:t>
      </w:r>
      <w:r>
        <w:t xml:space="preserve"> </w:t>
      </w:r>
      <w:hyperlink r:id="rId48">
        <w:r>
          <w:rPr>
            <w:rStyle w:val="Hyperlink"/>
          </w:rPr>
          <w:t xml:space="preserve">https://doi.org/10.2218/jls.2797</w:t>
        </w:r>
      </w:hyperlink>
    </w:p>
    <w:bookmarkEnd w:id="49"/>
    <w:bookmarkStart w:id="50" w:name="ref-clark2009"/>
    <w:p>
      <w:pPr>
        <w:pStyle w:val="Bibliography"/>
      </w:pPr>
      <w:r>
        <w:t xml:space="preserve">Clark, G. A. (2009).</w:t>
      </w:r>
      <w:r>
        <w:t xml:space="preserve"> </w:t>
      </w:r>
      <w:r>
        <w:rPr>
          <w:iCs/>
          <w:i/>
        </w:rPr>
        <w:t xml:space="preserve">Accidents of history: Conceptual frameworks in paleoarchaeology</w:t>
      </w:r>
      <w:r>
        <w:t xml:space="preserve"> </w:t>
      </w:r>
      <w:r>
        <w:t xml:space="preserve">(M. Camps &amp; P. Chauhan, Eds.; pp. 19–41). Springer New York.</w:t>
      </w:r>
    </w:p>
    <w:bookmarkEnd w:id="50"/>
    <w:bookmarkStart w:id="51" w:name="Xe0850368ed4c49c7a6188b6f658a41d20df4b59"/>
    <w:p>
      <w:pPr>
        <w:pStyle w:val="Bibliography"/>
      </w:pPr>
      <w:r>
        <w:t xml:space="preserve">Clark, G. A., &amp; Stafford, C. R. (1982). Quantification in american archaeology: A historical perspective.</w:t>
      </w:r>
      <w:r>
        <w:t xml:space="preserve"> </w:t>
      </w:r>
      <w:r>
        <w:rPr>
          <w:iCs/>
          <w:i/>
        </w:rPr>
        <w:t xml:space="preserve">World Archaeology</w:t>
      </w:r>
      <w:r>
        <w:t xml:space="preserve">,</w:t>
      </w:r>
      <w:r>
        <w:t xml:space="preserve"> </w:t>
      </w:r>
      <w:r>
        <w:rPr>
          <w:iCs/>
          <w:i/>
        </w:rPr>
        <w:t xml:space="preserve">14</w:t>
      </w:r>
      <w:r>
        <w:t xml:space="preserve">(1), 98–119.</w:t>
      </w:r>
    </w:p>
    <w:bookmarkEnd w:id="51"/>
    <w:bookmarkStart w:id="52" w:name="ref-clarke1968a"/>
    <w:p>
      <w:pPr>
        <w:pStyle w:val="Bibliography"/>
      </w:pPr>
      <w:r>
        <w:t xml:space="preserve">Clarke, D. L. (1968).</w:t>
      </w:r>
      <w:r>
        <w:t xml:space="preserve"> </w:t>
      </w:r>
      <w:r>
        <w:rPr>
          <w:iCs/>
          <w:i/>
        </w:rPr>
        <w:t xml:space="preserve">Analytical archaeology</w:t>
      </w:r>
      <w:r>
        <w:t xml:space="preserve">. Methuen &amp; Co.</w:t>
      </w:r>
    </w:p>
    <w:bookmarkEnd w:id="52"/>
    <w:bookmarkStart w:id="53" w:name="ref-dunnell1971"/>
    <w:p>
      <w:pPr>
        <w:pStyle w:val="Bibliography"/>
      </w:pPr>
      <w:r>
        <w:t xml:space="preserve">Dunnell, R. C. (1971).</w:t>
      </w:r>
      <w:r>
        <w:t xml:space="preserve"> </w:t>
      </w:r>
      <w:r>
        <w:rPr>
          <w:iCs/>
          <w:i/>
        </w:rPr>
        <w:t xml:space="preserve">Systematics in prehistory</w:t>
      </w:r>
      <w:r>
        <w:t xml:space="preserve">. The Free Press.</w:t>
      </w:r>
    </w:p>
    <w:bookmarkEnd w:id="53"/>
    <w:bookmarkStart w:id="54" w:name="ref-dunnell1980"/>
    <w:p>
      <w:pPr>
        <w:pStyle w:val="Bibliography"/>
      </w:pPr>
      <w:r>
        <w:t xml:space="preserve">Dunnell, R. C. (1980). Evolutionary theory in archaeology.</w:t>
      </w:r>
      <w:r>
        <w:t xml:space="preserve"> </w:t>
      </w:r>
      <w:r>
        <w:rPr>
          <w:iCs/>
          <w:i/>
        </w:rPr>
        <w:t xml:space="preserve">Advances in Archaeological Method and Theory</w:t>
      </w:r>
      <w:r>
        <w:t xml:space="preserve">,</w:t>
      </w:r>
      <w:r>
        <w:t xml:space="preserve"> </w:t>
      </w:r>
      <w:r>
        <w:rPr>
          <w:iCs/>
          <w:i/>
        </w:rPr>
        <w:t xml:space="preserve">3</w:t>
      </w:r>
      <w:r>
        <w:t xml:space="preserve">, 35–99.</w:t>
      </w:r>
    </w:p>
    <w:bookmarkEnd w:id="54"/>
    <w:bookmarkStart w:id="55" w:name="ref-dunnell1982"/>
    <w:p>
      <w:pPr>
        <w:pStyle w:val="Bibliography"/>
      </w:pPr>
      <w:r>
        <w:t xml:space="preserve">Dunnell, R. C. (1982). Science, social science, and common sense: The agonizing dilemma of modern archaeology.</w:t>
      </w:r>
      <w:r>
        <w:t xml:space="preserve"> </w:t>
      </w:r>
      <w:r>
        <w:rPr>
          <w:iCs/>
          <w:i/>
        </w:rPr>
        <w:t xml:space="preserve">Journal of Anthropological Research</w:t>
      </w:r>
      <w:r>
        <w:t xml:space="preserve">,</w:t>
      </w:r>
      <w:r>
        <w:t xml:space="preserve"> </w:t>
      </w:r>
      <w:r>
        <w:rPr>
          <w:iCs/>
          <w:i/>
        </w:rPr>
        <w:t xml:space="preserve">38</w:t>
      </w:r>
      <w:r>
        <w:t xml:space="preserve">(1), 1–25.</w:t>
      </w:r>
    </w:p>
    <w:bookmarkEnd w:id="55"/>
    <w:bookmarkStart w:id="57" w:name="ref-grove2021"/>
    <w:p>
      <w:pPr>
        <w:pStyle w:val="Bibliography"/>
      </w:pPr>
      <w:r>
        <w:t xml:space="preserve">Grove, M., &amp; Blinkhorn, J. (2021). Testing the integrity of the middle and later stone age cultural taxonomic division in eastern africa.</w:t>
      </w:r>
      <w:r>
        <w:t xml:space="preserve"> </w:t>
      </w:r>
      <w:r>
        <w:rPr>
          <w:iCs/>
          <w:i/>
        </w:rPr>
        <w:t xml:space="preserve">Journal of Paleolithic Archaeology</w:t>
      </w:r>
      <w:r>
        <w:t xml:space="preserve">,</w:t>
      </w:r>
      <w:r>
        <w:t xml:space="preserve"> </w:t>
      </w:r>
      <w:r>
        <w:rPr>
          <w:iCs/>
          <w:i/>
        </w:rPr>
        <w:t xml:space="preserve">4</w:t>
      </w:r>
      <w:r>
        <w:t xml:space="preserve">(2), 14.</w:t>
      </w:r>
      <w:r>
        <w:t xml:space="preserve"> </w:t>
      </w:r>
      <w:hyperlink r:id="rId56">
        <w:r>
          <w:rPr>
            <w:rStyle w:val="Hyperlink"/>
          </w:rPr>
          <w:t xml:space="preserve">https://doi.org/10.1007/s41982-021-00087-4</w:t>
        </w:r>
      </w:hyperlink>
    </w:p>
    <w:bookmarkEnd w:id="57"/>
    <w:bookmarkStart w:id="58" w:name="ref-henrich2010weirdest"/>
    <w:p>
      <w:pPr>
        <w:pStyle w:val="Bibliography"/>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p>
    <w:bookmarkEnd w:id="58"/>
    <w:bookmarkStart w:id="60" w:name="ref-ivanovait2020"/>
    <w:p>
      <w:pPr>
        <w:pStyle w:val="Bibliography"/>
      </w:pPr>
      <w:r>
        <w:t xml:space="preserve">Ivanovaitė, L., Serwatka, K., Hoggard, C. S., Sauer, F., &amp; Riede, F. (2020). All these fantastic cultures? Research history and regionalization in the late palaeolithic tanged point cultures of eastern europe.</w:t>
      </w:r>
      <w:r>
        <w:t xml:space="preserve"> </w:t>
      </w:r>
      <w:r>
        <w:rPr>
          <w:iCs/>
          <w:i/>
        </w:rPr>
        <w:t xml:space="preserve">European Journal of Archaeology</w:t>
      </w:r>
      <w:r>
        <w:t xml:space="preserve">,</w:t>
      </w:r>
      <w:r>
        <w:t xml:space="preserve"> </w:t>
      </w:r>
      <w:r>
        <w:rPr>
          <w:iCs/>
          <w:i/>
        </w:rPr>
        <w:t xml:space="preserve">23</w:t>
      </w:r>
      <w:r>
        <w:t xml:space="preserve">(2), 162–185.</w:t>
      </w:r>
      <w:r>
        <w:t xml:space="preserve"> </w:t>
      </w:r>
      <w:hyperlink r:id="rId59">
        <w:r>
          <w:rPr>
            <w:rStyle w:val="Hyperlink"/>
          </w:rPr>
          <w:t xml:space="preserve">https://doi.org/10.1017/eaa.2019.59</w:t>
        </w:r>
      </w:hyperlink>
    </w:p>
    <w:bookmarkEnd w:id="60"/>
    <w:bookmarkStart w:id="62" w:name="ref-leplongeon2020"/>
    <w:p>
      <w:pPr>
        <w:pStyle w:val="Bibliography"/>
      </w:pPr>
      <w:r>
        <w:t xml:space="preserve">Leplongeon, A., Ménard, C., Bonhomme, V., &amp; Bortolini, E. (2020). Backed pieces and their variability in the later stone age of the horn of africa.</w:t>
      </w:r>
      <w:r>
        <w:t xml:space="preserve"> </w:t>
      </w:r>
      <w:r>
        <w:rPr>
          <w:iCs/>
          <w:i/>
        </w:rPr>
        <w:t xml:space="preserve">African Archaeological Review</w:t>
      </w:r>
      <w:r>
        <w:t xml:space="preserve">,</w:t>
      </w:r>
      <w:r>
        <w:t xml:space="preserve"> </w:t>
      </w:r>
      <w:r>
        <w:rPr>
          <w:iCs/>
          <w:i/>
        </w:rPr>
        <w:t xml:space="preserve">37</w:t>
      </w:r>
      <w:r>
        <w:t xml:space="preserve">(3), 437–468.</w:t>
      </w:r>
      <w:r>
        <w:t xml:space="preserve"> </w:t>
      </w:r>
      <w:hyperlink r:id="rId61">
        <w:r>
          <w:rPr>
            <w:rStyle w:val="Hyperlink"/>
          </w:rPr>
          <w:t xml:space="preserve">https://doi.org/10.1007/s10437-020-09401-x</w:t>
        </w:r>
      </w:hyperlink>
    </w:p>
    <w:bookmarkEnd w:id="62"/>
    <w:bookmarkStart w:id="64" w:name="ref-lipoisland2021"/>
    <w:p>
      <w:pPr>
        <w:pStyle w:val="Bibliography"/>
      </w:pPr>
      <w:r>
        <w:t xml:space="preserve">Lipo, C. P., HUNT, T. L., DINAPOLI, R. J., &amp; Thompson, V. D. (2021). Temporal systematics: The colonization of rapa nui (easter island) and the conceptualization of time. In</w:t>
      </w:r>
      <w:r>
        <w:t xml:space="preserve"> </w:t>
      </w:r>
      <w:r>
        <w:rPr>
          <w:iCs/>
          <w:i/>
        </w:rPr>
        <w:t xml:space="preserve">The archaeology of island colonization: Global approaches to initial human settlement</w:t>
      </w:r>
      <w:r>
        <w:t xml:space="preserve"> </w:t>
      </w:r>
      <w:r>
        <w:t xml:space="preserve">(1st ed., pp. 61–86). University Press of Florida.</w:t>
      </w:r>
      <w:r>
        <w:t xml:space="preserve"> </w:t>
      </w:r>
      <w:hyperlink r:id="rId63">
        <w:r>
          <w:rPr>
            <w:rStyle w:val="Hyperlink"/>
          </w:rPr>
          <w:t xml:space="preserve">http://www.jstor.org/stable/j.ctv1m9x2s3.8</w:t>
        </w:r>
      </w:hyperlink>
    </w:p>
    <w:bookmarkEnd w:id="64"/>
    <w:bookmarkStart w:id="66" w:name="ref-lycett2018a"/>
    <w:p>
      <w:pPr>
        <w:pStyle w:val="Bibliography"/>
      </w:pPr>
      <w:r>
        <w:t xml:space="preserve">Lycett, S. J., &amp; Shennan, S. J. (2018). David clarke</w:t>
      </w:r>
      <w:r>
        <w:t xml:space="preserve">’</w:t>
      </w:r>
      <w:r>
        <w:t xml:space="preserve">s analytical archaeology at 50.</w:t>
      </w:r>
      <w:r>
        <w:t xml:space="preserve"> </w:t>
      </w:r>
      <w:r>
        <w:rPr>
          <w:iCs/>
          <w:i/>
        </w:rPr>
        <w:t xml:space="preserve">World Archaeology</w:t>
      </w:r>
      <w:r>
        <w:t xml:space="preserve">,</w:t>
      </w:r>
      <w:r>
        <w:t xml:space="preserve"> </w:t>
      </w:r>
      <w:r>
        <w:rPr>
          <w:iCs/>
          <w:i/>
        </w:rPr>
        <w:t xml:space="preserve">50</w:t>
      </w:r>
      <w:r>
        <w:t xml:space="preserve">(2), 210–220.</w:t>
      </w:r>
      <w:r>
        <w:t xml:space="preserve"> </w:t>
      </w:r>
      <w:hyperlink r:id="rId65">
        <w:r>
          <w:rPr>
            <w:rStyle w:val="Hyperlink"/>
          </w:rPr>
          <w:t xml:space="preserve">https://doi.org/10.1080/00438243.2018.1470561</w:t>
        </w:r>
      </w:hyperlink>
    </w:p>
    <w:bookmarkEnd w:id="66"/>
    <w:bookmarkStart w:id="68" w:name="ref-lyman2021"/>
    <w:p>
      <w:pPr>
        <w:pStyle w:val="Bibliography"/>
      </w:pPr>
      <w:r>
        <w:t xml:space="preserve">Lyman, R. L. (2021). On the importance of systematics to archaeological research: The covariation of typological diversity and morphological disparity.</w:t>
      </w:r>
      <w:r>
        <w:t xml:space="preserve"> </w:t>
      </w:r>
      <w:r>
        <w:rPr>
          <w:iCs/>
          <w:i/>
        </w:rPr>
        <w:t xml:space="preserve">Journal of Paleolithic Archaeology</w:t>
      </w:r>
      <w:r>
        <w:t xml:space="preserve">,</w:t>
      </w:r>
      <w:r>
        <w:t xml:space="preserve"> </w:t>
      </w:r>
      <w:r>
        <w:rPr>
          <w:iCs/>
          <w:i/>
        </w:rPr>
        <w:t xml:space="preserve">4</w:t>
      </w:r>
      <w:r>
        <w:t xml:space="preserve">(1), 3.</w:t>
      </w:r>
      <w:r>
        <w:t xml:space="preserve"> </w:t>
      </w:r>
      <w:hyperlink r:id="rId67">
        <w:r>
          <w:rPr>
            <w:rStyle w:val="Hyperlink"/>
          </w:rPr>
          <w:t xml:space="preserve">https://doi.org/10.1007/s41982-021-00077-6</w:t>
        </w:r>
      </w:hyperlink>
    </w:p>
    <w:bookmarkEnd w:id="68"/>
    <w:bookmarkStart w:id="69" w:name="ref-marwick2006"/>
    <w:p>
      <w:pPr>
        <w:pStyle w:val="Bibliography"/>
      </w:pPr>
      <w:r>
        <w:t xml:space="preserve">Marwick, B. (2006). What can archaeology do with boyd and richerson’s cultural evolutionary program?</w:t>
      </w:r>
      <w:r>
        <w:t xml:space="preserve"> </w:t>
      </w:r>
      <w:r>
        <w:rPr>
          <w:iCs/>
          <w:i/>
        </w:rPr>
        <w:t xml:space="preserve">The Review of Archaeology</w:t>
      </w:r>
      <w:r>
        <w:t xml:space="preserve">,</w:t>
      </w:r>
      <w:r>
        <w:t xml:space="preserve"> </w:t>
      </w:r>
      <w:r>
        <w:rPr>
          <w:iCs/>
          <w:i/>
        </w:rPr>
        <w:t xml:space="preserve">26</w:t>
      </w:r>
      <w:r>
        <w:t xml:space="preserve">(2), 30–40.</w:t>
      </w:r>
    </w:p>
    <w:bookmarkEnd w:id="69"/>
    <w:bookmarkStart w:id="71" w:name="ref-nicholas2012"/>
    <w:p>
      <w:pPr>
        <w:pStyle w:val="Bibliography"/>
      </w:pPr>
      <w:r>
        <w:t xml:space="preserve">Nicholas, G. P. (2012).</w:t>
      </w:r>
      <w:r>
        <w:t xml:space="preserve"> </w:t>
      </w:r>
      <w:r>
        <w:t xml:space="preserve">“</w:t>
      </w:r>
      <w:r>
        <w:t xml:space="preserve">Making us uneasy</w:t>
      </w:r>
      <w:r>
        <w:t xml:space="preserve">”</w:t>
      </w:r>
      <w:r>
        <w:t xml:space="preserve">: Clarke, wobst, and their critique of archaeology put into practice.</w:t>
      </w:r>
      <w:r>
        <w:t xml:space="preserve"> </w:t>
      </w:r>
      <w:r>
        <w:rPr>
          <w:iCs/>
          <w:i/>
        </w:rPr>
        <w:t xml:space="preserve">Archaeologies</w:t>
      </w:r>
      <w:r>
        <w:t xml:space="preserve">,</w:t>
      </w:r>
      <w:r>
        <w:t xml:space="preserve"> </w:t>
      </w:r>
      <w:r>
        <w:rPr>
          <w:iCs/>
          <w:i/>
        </w:rPr>
        <w:t xml:space="preserve">8</w:t>
      </w:r>
      <w:r>
        <w:t xml:space="preserve">(3), 209–224.</w:t>
      </w:r>
      <w:r>
        <w:t xml:space="preserve"> </w:t>
      </w:r>
      <w:hyperlink r:id="rId70">
        <w:r>
          <w:rPr>
            <w:rStyle w:val="Hyperlink"/>
          </w:rPr>
          <w:t xml:space="preserve">https://doi.org/10.1007/s11759-012-9204-1</w:t>
        </w:r>
      </w:hyperlink>
    </w:p>
    <w:bookmarkEnd w:id="71"/>
    <w:bookmarkStart w:id="73" w:name="ref-obrien1996"/>
    <w:p>
      <w:pPr>
        <w:pStyle w:val="Bibliography"/>
      </w:pPr>
      <w:r>
        <w:t xml:space="preserve">O’Brien, M. J. (1996).</w:t>
      </w:r>
      <w:r>
        <w:t xml:space="preserve"> </w:t>
      </w:r>
      <w:r>
        <w:rPr>
          <w:iCs/>
          <w:i/>
        </w:rPr>
        <w:t xml:space="preserve">The historical development of an evolutionary archaeology</w:t>
      </w:r>
      <w:r>
        <w:t xml:space="preserve"> </w:t>
      </w:r>
      <w:r>
        <w:t xml:space="preserve">(H. D. G. Maschner, Ed.; pp. 17–32). Springer US.</w:t>
      </w:r>
      <w:r>
        <w:t xml:space="preserve"> </w:t>
      </w:r>
      <w:hyperlink r:id="rId72">
        <w:r>
          <w:rPr>
            <w:rStyle w:val="Hyperlink"/>
          </w:rPr>
          <w:t xml:space="preserve">https://doi.org/10.1007/978-1-4757-9945-3_2</w:t>
        </w:r>
      </w:hyperlink>
    </w:p>
    <w:bookmarkEnd w:id="73"/>
    <w:bookmarkStart w:id="74" w:name="ref-obrien1990"/>
    <w:p>
      <w:pPr>
        <w:pStyle w:val="Bibliography"/>
      </w:pPr>
      <w:r>
        <w:t xml:space="preserve">O’Brien, M. J., &amp; Holland, T. D. (1990).</w:t>
      </w:r>
      <w:r>
        <w:t xml:space="preserve"> </w:t>
      </w:r>
      <w:r>
        <w:rPr>
          <w:iCs/>
          <w:i/>
        </w:rPr>
        <w:t xml:space="preserve">Variation, selection, and the archaeological record</w:t>
      </w:r>
      <w:r>
        <w:t xml:space="preserve"> </w:t>
      </w:r>
      <w:r>
        <w:t xml:space="preserve">(M. B. Schiffer, Ed.; Vol. 2, pp. 31–79). University of Arizona Press.</w:t>
      </w:r>
    </w:p>
    <w:bookmarkEnd w:id="74"/>
    <w:bookmarkStart w:id="76" w:name="ref-Okumura_Araujo_2014"/>
    <w:p>
      <w:pPr>
        <w:pStyle w:val="Bibliography"/>
      </w:pPr>
      <w:r>
        <w:t xml:space="preserve">Okumura, M., &amp; Araujo, A. G. M. (2014). Long-term cultural stability in hunter–gatherers: A case study using traditional and geometric morphometric analysis of lithic stemmed bifacial points from southern brazil.</w:t>
      </w:r>
      <w:r>
        <w:t xml:space="preserve"> </w:t>
      </w:r>
      <w:r>
        <w:rPr>
          <w:iCs/>
          <w:i/>
        </w:rPr>
        <w:t xml:space="preserve">Journal of Archaeological Science</w:t>
      </w:r>
      <w:r>
        <w:t xml:space="preserve">,</w:t>
      </w:r>
      <w:r>
        <w:t xml:space="preserve"> </w:t>
      </w:r>
      <w:r>
        <w:rPr>
          <w:iCs/>
          <w:i/>
        </w:rPr>
        <w:t xml:space="preserve">45</w:t>
      </w:r>
      <w:r>
        <w:t xml:space="preserve">, 59–71.</w:t>
      </w:r>
      <w:r>
        <w:t xml:space="preserve"> </w:t>
      </w:r>
      <w:hyperlink r:id="rId75">
        <w:r>
          <w:rPr>
            <w:rStyle w:val="Hyperlink"/>
          </w:rPr>
          <w:t xml:space="preserve">https://doi.org/10.1016/j.jas.2014.02.009</w:t>
        </w:r>
      </w:hyperlink>
    </w:p>
    <w:bookmarkEnd w:id="76"/>
    <w:bookmarkStart w:id="77" w:name="ref-Perreault_2019"/>
    <w:p>
      <w:pPr>
        <w:pStyle w:val="Bibliography"/>
      </w:pPr>
      <w:r>
        <w:t xml:space="preserve">Perreault, C. (2019).</w:t>
      </w:r>
      <w:r>
        <w:t xml:space="preserve"> </w:t>
      </w:r>
      <w:r>
        <w:rPr>
          <w:iCs/>
          <w:i/>
        </w:rPr>
        <w:t xml:space="preserve">The quality of the archaeological record</w:t>
      </w:r>
      <w:r>
        <w:t xml:space="preserve">. University of Chicago Press.</w:t>
      </w:r>
    </w:p>
    <w:bookmarkEnd w:id="77"/>
    <w:bookmarkStart w:id="78" w:name="ref-prentiss2019handbook"/>
    <w:p>
      <w:pPr>
        <w:pStyle w:val="Bibliography"/>
      </w:pPr>
      <w:r>
        <w:t xml:space="preserve">Prentiss, A. M. (2019).</w:t>
      </w:r>
      <w:r>
        <w:t xml:space="preserve"> </w:t>
      </w:r>
      <w:r>
        <w:rPr>
          <w:iCs/>
          <w:i/>
        </w:rPr>
        <w:t xml:space="preserve">Handbook of evolutionary research in archaeology</w:t>
      </w:r>
      <w:r>
        <w:t xml:space="preserve">. Springer.</w:t>
      </w:r>
    </w:p>
    <w:bookmarkEnd w:id="78"/>
    <w:bookmarkStart w:id="79" w:name="ref-prentiss2021theoretical"/>
    <w:p>
      <w:pPr>
        <w:pStyle w:val="Bibliography"/>
      </w:pPr>
      <w:r>
        <w:t xml:space="preserve">Prentiss, A. M. (2021). Theoretical plurality, the extended evolutionary synthesis, and archaeology.</w:t>
      </w:r>
      <w:r>
        <w:t xml:space="preserve"> </w:t>
      </w:r>
      <w:r>
        <w:rPr>
          <w:iCs/>
          <w:i/>
        </w:rPr>
        <w:t xml:space="preserve">Proceedings of the National Academy of Sciences</w:t>
      </w:r>
      <w:r>
        <w:t xml:space="preserve">,</w:t>
      </w:r>
      <w:r>
        <w:t xml:space="preserve"> </w:t>
      </w:r>
      <w:r>
        <w:rPr>
          <w:iCs/>
          <w:i/>
        </w:rPr>
        <w:t xml:space="preserve">118</w:t>
      </w:r>
      <w:r>
        <w:t xml:space="preserve">(2).</w:t>
      </w:r>
    </w:p>
    <w:bookmarkEnd w:id="79"/>
    <w:bookmarkStart w:id="81" w:name="ref-reynolds2019"/>
    <w:p>
      <w:pPr>
        <w:pStyle w:val="Bibliography"/>
      </w:pPr>
      <w:r>
        <w:t xml:space="preserve">Reynolds, N., &amp; Riede, F. (2019). House of cards: cultural taxonomy and the study of the European Upper Palaeolithic.</w:t>
      </w:r>
      <w:r>
        <w:t xml:space="preserve"> </w:t>
      </w:r>
      <w:r>
        <w:rPr>
          <w:iCs/>
          <w:i/>
        </w:rPr>
        <w:t xml:space="preserve">Antiquity</w:t>
      </w:r>
      <w:r>
        <w:t xml:space="preserve">,</w:t>
      </w:r>
      <w:r>
        <w:t xml:space="preserve"> </w:t>
      </w:r>
      <w:r>
        <w:rPr>
          <w:iCs/>
          <w:i/>
        </w:rPr>
        <w:t xml:space="preserve">93</w:t>
      </w:r>
      <w:r>
        <w:t xml:space="preserve">(371), 1350–1358.</w:t>
      </w:r>
      <w:r>
        <w:t xml:space="preserve"> </w:t>
      </w:r>
      <w:hyperlink r:id="rId80">
        <w:r>
          <w:rPr>
            <w:rStyle w:val="Hyperlink"/>
          </w:rPr>
          <w:t xml:space="preserve">https://doi.org/10.15184/aqy.2019.49</w:t>
        </w:r>
      </w:hyperlink>
    </w:p>
    <w:bookmarkEnd w:id="81"/>
    <w:bookmarkStart w:id="83" w:name="ref-riede2019"/>
    <w:p>
      <w:pPr>
        <w:pStyle w:val="Bibliography"/>
      </w:pPr>
      <w:r>
        <w:t xml:space="preserve">Riede, F. (2019).</w:t>
      </w:r>
      <w:r>
        <w:t xml:space="preserve"> </w:t>
      </w:r>
      <w:r>
        <w:rPr>
          <w:iCs/>
          <w:i/>
        </w:rPr>
        <w:t xml:space="preserve">Niche construction theory and human biocultural evolution</w:t>
      </w:r>
      <w:r>
        <w:t xml:space="preserve"> </w:t>
      </w:r>
      <w:r>
        <w:t xml:space="preserve">(A. M. Prentiss, Ed.; pp. 337–358). Springer International Publishing.</w:t>
      </w:r>
      <w:r>
        <w:t xml:space="preserve"> </w:t>
      </w:r>
      <w:hyperlink r:id="rId82">
        <w:r>
          <w:rPr>
            <w:rStyle w:val="Hyperlink"/>
          </w:rPr>
          <w:t xml:space="preserve">https://doi.org/10.1007/978-3-030-11117-5_17</w:t>
        </w:r>
      </w:hyperlink>
    </w:p>
    <w:bookmarkEnd w:id="83"/>
    <w:bookmarkStart w:id="85" w:name="Xcccf2b6a9e05e238421592f13e1c6c012dbb5f6"/>
    <w:p>
      <w:pPr>
        <w:pStyle w:val="Bibliography"/>
      </w:pPr>
      <w:r>
        <w:t xml:space="preserve">Riede, F., Walsh, M. J., Nowell, A., Langley, M. C., &amp; Johannsen, N. N. (2021). Children and innovation: Play, play objects and object play in cultural evolution.</w:t>
      </w:r>
      <w:r>
        <w:t xml:space="preserve"> </w:t>
      </w:r>
      <w:r>
        <w:rPr>
          <w:iCs/>
          <w:i/>
        </w:rPr>
        <w:t xml:space="preserve">Evolutionary Human Sciences</w:t>
      </w:r>
      <w:r>
        <w:t xml:space="preserve">,</w:t>
      </w:r>
      <w:r>
        <w:t xml:space="preserve"> </w:t>
      </w:r>
      <w:r>
        <w:rPr>
          <w:iCs/>
          <w:i/>
        </w:rPr>
        <w:t xml:space="preserve">3</w:t>
      </w:r>
      <w:r>
        <w:t xml:space="preserve">.</w:t>
      </w:r>
      <w:r>
        <w:t xml:space="preserve"> </w:t>
      </w:r>
      <w:hyperlink r:id="rId84">
        <w:r>
          <w:rPr>
            <w:rStyle w:val="Hyperlink"/>
          </w:rPr>
          <w:t xml:space="preserve">https://doi.org/10.1017/ehs.2021.7</w:t>
        </w:r>
      </w:hyperlink>
    </w:p>
    <w:bookmarkEnd w:id="85"/>
    <w:bookmarkStart w:id="87" w:name="ref-Roberts_Stewart_Airoldi_2016"/>
    <w:p>
      <w:pPr>
        <w:pStyle w:val="Bibliography"/>
      </w:pPr>
      <w:r>
        <w:t xml:space="preserve">Roberts, M. E., Stewart, B. M., &amp; Airoldi, E. M. (2016). A model of text for experimentation in the social sciences.</w:t>
      </w:r>
      <w:r>
        <w:t xml:space="preserve"> </w:t>
      </w:r>
      <w:r>
        <w:rPr>
          <w:iCs/>
          <w:i/>
        </w:rPr>
        <w:t xml:space="preserve">Journal of the American Statistical Association</w:t>
      </w:r>
      <w:r>
        <w:t xml:space="preserve">,</w:t>
      </w:r>
      <w:r>
        <w:t xml:space="preserve"> </w:t>
      </w:r>
      <w:r>
        <w:rPr>
          <w:iCs/>
          <w:i/>
        </w:rPr>
        <w:t xml:space="preserve">111</w:t>
      </w:r>
      <w:r>
        <w:t xml:space="preserve">(515), 988–1003.</w:t>
      </w:r>
      <w:r>
        <w:t xml:space="preserve"> </w:t>
      </w:r>
      <w:hyperlink r:id="rId86">
        <w:r>
          <w:rPr>
            <w:rStyle w:val="Hyperlink"/>
          </w:rPr>
          <w:t xml:space="preserve">https://doi.org/10.1080/01621459.2016.1141684</w:t>
        </w:r>
      </w:hyperlink>
    </w:p>
    <w:bookmarkEnd w:id="87"/>
    <w:bookmarkStart w:id="88" w:name="ref-Roberts_Stewart_Tingley_others_2014"/>
    <w:p>
      <w:pPr>
        <w:pStyle w:val="Bibliography"/>
      </w:pPr>
      <w:r>
        <w:t xml:space="preserve">Roberts, M. E., Stewart, B. M., Tingley, D., et al. (2014). Stm: R package for structural topic models.</w:t>
      </w:r>
      <w:r>
        <w:t xml:space="preserve"> </w:t>
      </w:r>
      <w:r>
        <w:rPr>
          <w:iCs/>
          <w:i/>
        </w:rPr>
        <w:t xml:space="preserve">Journal of Statistical Software</w:t>
      </w:r>
      <w:r>
        <w:t xml:space="preserve">,</w:t>
      </w:r>
      <w:r>
        <w:t xml:space="preserve"> </w:t>
      </w:r>
      <w:r>
        <w:rPr>
          <w:iCs/>
          <w:i/>
        </w:rPr>
        <w:t xml:space="preserve">10</w:t>
      </w:r>
      <w:r>
        <w:t xml:space="preserve">(2), 1–40.</w:t>
      </w:r>
    </w:p>
    <w:bookmarkEnd w:id="88"/>
    <w:bookmarkStart w:id="89" w:name="ref-schiffer2016behavioral"/>
    <w:p>
      <w:pPr>
        <w:pStyle w:val="Bibliography"/>
      </w:pPr>
      <w:r>
        <w:t xml:space="preserve">Schiffer, M. B. (2016).</w:t>
      </w:r>
      <w:r>
        <w:t xml:space="preserve"> </w:t>
      </w:r>
      <w:r>
        <w:rPr>
          <w:iCs/>
          <w:i/>
        </w:rPr>
        <w:t xml:space="preserve">Behavioral archaeology: Principles and practice</w:t>
      </w:r>
      <w:r>
        <w:t xml:space="preserve">. Routledge.</w:t>
      </w:r>
    </w:p>
    <w:bookmarkEnd w:id="89"/>
    <w:bookmarkStart w:id="90" w:name="ref-Shanks_Tilley_1987"/>
    <w:p>
      <w:pPr>
        <w:pStyle w:val="Bibliography"/>
      </w:pPr>
      <w:r>
        <w:t xml:space="preserve">Shanks, M., &amp; Tilley, C. Y. (1987).</w:t>
      </w:r>
      <w:r>
        <w:t xml:space="preserve"> </w:t>
      </w:r>
      <w:r>
        <w:rPr>
          <w:iCs/>
          <w:i/>
        </w:rPr>
        <w:t xml:space="preserve">Social theory and archaeology</w:t>
      </w:r>
      <w:r>
        <w:t xml:space="preserve">. Polity Press Cambridge.</w:t>
      </w:r>
    </w:p>
    <w:bookmarkEnd w:id="90"/>
    <w:bookmarkStart w:id="91" w:name="ref-shea2016stone"/>
    <w:p>
      <w:pPr>
        <w:pStyle w:val="Bibliography"/>
      </w:pPr>
      <w:r>
        <w:t xml:space="preserve">Shea, J. J. (2016).</w:t>
      </w:r>
      <w:r>
        <w:t xml:space="preserve"> </w:t>
      </w:r>
      <w:r>
        <w:rPr>
          <w:iCs/>
          <w:i/>
        </w:rPr>
        <w:t xml:space="preserve">Stone tools in human evolution: Behavioral differences among technological primates</w:t>
      </w:r>
      <w:r>
        <w:t xml:space="preserve">. Cambridge University Press.</w:t>
      </w:r>
    </w:p>
    <w:bookmarkEnd w:id="91"/>
    <w:bookmarkStart w:id="93" w:name="ref-shenkel1973"/>
    <w:p>
      <w:pPr>
        <w:pStyle w:val="Bibliography"/>
      </w:pPr>
      <w:r>
        <w:t xml:space="preserve">Shenkel, J. R. (1973). Archeology: Systematics in prehistory. ROBERT c. DUNNELL.</w:t>
      </w:r>
      <w:r>
        <w:t xml:space="preserve"> </w:t>
      </w:r>
      <w:r>
        <w:rPr>
          <w:iCs/>
          <w:i/>
        </w:rPr>
        <w:t xml:space="preserve">American Anthropologist</w:t>
      </w:r>
      <w:r>
        <w:t xml:space="preserve">,</w:t>
      </w:r>
      <w:r>
        <w:t xml:space="preserve"> </w:t>
      </w:r>
      <w:r>
        <w:rPr>
          <w:iCs/>
          <w:i/>
        </w:rPr>
        <w:t xml:space="preserve">75</w:t>
      </w:r>
      <w:r>
        <w:t xml:space="preserve">(2), 505–506. https://doi.org/</w:t>
      </w:r>
      <w:hyperlink r:id="rId92">
        <w:r>
          <w:rPr>
            <w:rStyle w:val="Hyperlink"/>
          </w:rPr>
          <w:t xml:space="preserve">https://doi.org/10.1525/aa.1973.75.2.02a01030</w:t>
        </w:r>
      </w:hyperlink>
    </w:p>
    <w:bookmarkEnd w:id="93"/>
    <w:bookmarkStart w:id="95" w:name="ref-spaulding1974"/>
    <w:p>
      <w:pPr>
        <w:pStyle w:val="Bibliography"/>
      </w:pPr>
      <w:r>
        <w:t xml:space="preserve">Spaulding, A. C. (1974). Review: Systematics in prehistory by robert c. dunnell.</w:t>
      </w:r>
      <w:r>
        <w:t xml:space="preserve"> </w:t>
      </w:r>
      <w:r>
        <w:rPr>
          <w:iCs/>
          <w:i/>
        </w:rPr>
        <w:t xml:space="preserve">American Antiquity</w:t>
      </w:r>
      <w:r>
        <w:t xml:space="preserve">,</w:t>
      </w:r>
      <w:r>
        <w:t xml:space="preserve"> </w:t>
      </w:r>
      <w:r>
        <w:rPr>
          <w:iCs/>
          <w:i/>
        </w:rPr>
        <w:t xml:space="preserve">39</w:t>
      </w:r>
      <w:r>
        <w:t xml:space="preserve">(3), 513516.</w:t>
      </w:r>
      <w:r>
        <w:t xml:space="preserve"> </w:t>
      </w:r>
      <w:hyperlink r:id="rId94">
        <w:r>
          <w:rPr>
            <w:rStyle w:val="Hyperlink"/>
          </w:rPr>
          <w:t xml:space="preserve">http://www.jstor.org/stable/279449</w:t>
        </w:r>
      </w:hyperlink>
    </w:p>
    <w:bookmarkEnd w:id="95"/>
    <w:bookmarkStart w:id="96" w:name="ref-tostevin2013"/>
    <w:p>
      <w:pPr>
        <w:pStyle w:val="Bibliography"/>
      </w:pPr>
      <w:r>
        <w:t xml:space="preserve">Tostevin, G. B. (2013).</w:t>
      </w:r>
      <w:r>
        <w:t xml:space="preserve"> </w:t>
      </w:r>
      <w:r>
        <w:rPr>
          <w:iCs/>
          <w:i/>
        </w:rPr>
        <w:t xml:space="preserve">Seeing lithics: a middle-range theory for testing for cultural transmission in the Pleistocene</w:t>
      </w:r>
      <w:r>
        <w:t xml:space="preserve">. Oxbow Books.</w:t>
      </w:r>
    </w:p>
    <w:bookmarkEnd w:id="96"/>
    <w:bookmarkStart w:id="98" w:name="ref-tuggle1974"/>
    <w:p>
      <w:pPr>
        <w:pStyle w:val="Bibliography"/>
      </w:pPr>
      <w:r>
        <w:t xml:space="preserve">Tuggle, H. D. (1974).</w:t>
      </w:r>
      <w:r>
        <w:t xml:space="preserve"> </w:t>
      </w:r>
      <w:r>
        <w:rPr>
          <w:iCs/>
          <w:i/>
        </w:rPr>
        <w:t xml:space="preserve">Plains Anthropologist</w:t>
      </w:r>
      <w:r>
        <w:t xml:space="preserve">,</w:t>
      </w:r>
      <w:r>
        <w:t xml:space="preserve"> </w:t>
      </w:r>
      <w:r>
        <w:rPr>
          <w:iCs/>
          <w:i/>
        </w:rPr>
        <w:t xml:space="preserve">19</w:t>
      </w:r>
      <w:r>
        <w:t xml:space="preserve">(63), 7678.</w:t>
      </w:r>
      <w:r>
        <w:t xml:space="preserve"> </w:t>
      </w:r>
      <w:hyperlink r:id="rId97">
        <w:r>
          <w:rPr>
            <w:rStyle w:val="Hyperlink"/>
          </w:rPr>
          <w:t xml:space="preserve">http://www.jstor.org/stable/25667187</w:t>
        </w:r>
      </w:hyperlink>
    </w:p>
    <w:bookmarkEnd w:id="98"/>
    <w:bookmarkEnd w:id="99"/>
    <w:p>
      <w:r>
        <w:br w:type="page"/>
      </w:r>
    </w:p>
    <w:bookmarkStart w:id="100" w:name="colophon"/>
    <w:p>
      <w:pPr>
        <w:pStyle w:val="Heading3"/>
      </w:pPr>
      <w:r>
        <w:t xml:space="preserve">Colophon</w:t>
      </w:r>
    </w:p>
    <w:p>
      <w:pPr>
        <w:pStyle w:val="FirstParagraph"/>
      </w:pPr>
      <w:r>
        <w:t xml:space="preserve">This report was generated on 2022-04-20 10:47:22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2022-04-20</w:t>
      </w:r>
      <w:r>
        <w:br/>
      </w:r>
      <w:r>
        <w:rPr>
          <w:rStyle w:val="VerbatimChar"/>
        </w:rPr>
        <w:t xml:space="preserve">#&gt;  pandoc   2.18 @ /usr/local/bin/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P base64url      1.4     2018-05-14 [?] CRAN (R 4.1.0)</w:t>
      </w:r>
      <w:r>
        <w:br/>
      </w:r>
      <w:r>
        <w:rPr>
          <w:rStyle w:val="VerbatimChar"/>
        </w:rPr>
        <w:t xml:space="preserve">#&gt;  P bookdown       0.26    2022-04-15 [?] CRAN (R 4.1.2)</w:t>
      </w:r>
      <w:r>
        <w:br/>
      </w:r>
      <w:r>
        <w:rPr>
          <w:rStyle w:val="VerbatimChar"/>
        </w:rPr>
        <w:t xml:space="preserve">#&gt;    brio           1.1.3   2021-11-30 [2] CRAN (R 4.1.0)</w:t>
      </w:r>
      <w:r>
        <w:br/>
      </w:r>
      <w:r>
        <w:rPr>
          <w:rStyle w:val="VerbatimChar"/>
        </w:rPr>
        <w:t xml:space="preserve">#&gt;  P broom          0.8.0   2022-04-13 [?]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P cli            3.2.0   2022-02-14 [?] CRAN (R 4.1.2)</w:t>
      </w:r>
      <w:r>
        <w:br/>
      </w:r>
      <w:r>
        <w:rPr>
          <w:rStyle w:val="VerbatimChar"/>
        </w:rPr>
        <w:t xml:space="preserve">#&gt;    codetools      0.2-18  2020-11-04 [2] CRAN (R 4.1.2)</w:t>
      </w:r>
      <w:r>
        <w:br/>
      </w:r>
      <w:r>
        <w:rPr>
          <w:rStyle w:val="VerbatimChar"/>
        </w:rPr>
        <w:t xml:space="preserve">#&gt;  P colorspace     2.0-3   2022-02-21 [?] CRAN (R 4.1.2)</w:t>
      </w:r>
      <w:r>
        <w:br/>
      </w:r>
      <w:r>
        <w:rPr>
          <w:rStyle w:val="VerbatimChar"/>
        </w:rPr>
        <w:t xml:space="preserve">#&gt;  P crayon         1.5.1   2022-03-26 [?] CRAN (R 4.1.2)</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P desc           1.4.1   2022-03-06 [?] CRAN (R 4.1.2)</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P dplyr        * 1.0.8   2022-02-08 [?] CRAN (R 4.1.2)</w:t>
      </w:r>
      <w:r>
        <w:br/>
      </w:r>
      <w:r>
        <w:rPr>
          <w:rStyle w:val="VerbatimChar"/>
        </w:rPr>
        <w:t xml:space="preserve">#&gt;    ellipsis       0.3.2   2021-04-29 [2] CRAN (R 4.1.0)</w:t>
      </w:r>
      <w:r>
        <w:br/>
      </w:r>
      <w:r>
        <w:rPr>
          <w:rStyle w:val="VerbatimChar"/>
        </w:rPr>
        <w:t xml:space="preserve">#&gt;  P evaluate       0.15    2022-02-18 [?] CRAN (R 4.1.2)</w:t>
      </w:r>
      <w:r>
        <w:br/>
      </w:r>
      <w:r>
        <w:rPr>
          <w:rStyle w:val="VerbatimChar"/>
        </w:rPr>
        <w:t xml:space="preserve">#&gt;  P fansi          1.0.3   2022-03-24 [?] CRAN (R 4.1.2)</w:t>
      </w:r>
      <w:r>
        <w:br/>
      </w:r>
      <w:r>
        <w:rPr>
          <w:rStyle w:val="VerbatimChar"/>
        </w:rPr>
        <w:t xml:space="preserve">#&gt;    fastmap        1.1.0   2021-01-25 [2] CRAN (R 4.1.0)</w:t>
      </w:r>
      <w:r>
        <w:br/>
      </w:r>
      <w:r>
        <w:rPr>
          <w:rStyle w:val="VerbatimChar"/>
        </w:rPr>
        <w:t xml:space="preserve">#&gt;    fastmatch      1.1-3   2021-07-23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P glue           1.6.2   2022-02-24 [?] CRAN (R 4.1.2)</w:t>
      </w:r>
      <w:r>
        <w:br/>
      </w:r>
      <w:r>
        <w:rPr>
          <w:rStyle w:val="VerbatimChar"/>
        </w:rPr>
        <w:t xml:space="preserve">#&gt;    gtable         0.3.0   2019-03-25 [2] CRAN (R 4.1.0)</w:t>
      </w:r>
      <w:r>
        <w:br/>
      </w:r>
      <w:r>
        <w:rPr>
          <w:rStyle w:val="VerbatimChar"/>
        </w:rPr>
        <w:t xml:space="preserve">#&gt;  P haven          2.5.0   2022-04-15 [?] CRAN (R 4.1.2)</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P igraph         1.3.0   2022-04-01 [?] CRAN (R 4.1.2)</w:t>
      </w:r>
      <w:r>
        <w:br/>
      </w:r>
      <w:r>
        <w:rPr>
          <w:rStyle w:val="VerbatimChar"/>
        </w:rPr>
        <w:t xml:space="preserve">#&gt;    jpeg           0.1-9   2021-07-24 [2] CRAN (R 4.1.0)</w:t>
      </w:r>
      <w:r>
        <w:br/>
      </w:r>
      <w:r>
        <w:rPr>
          <w:rStyle w:val="VerbatimChar"/>
        </w:rPr>
        <w:t xml:space="preserve">#&gt;  P jsonlite       1.8.0   2022-02-22 [?] CRAN (R 4.1.2)</w:t>
      </w:r>
      <w:r>
        <w:br/>
      </w:r>
      <w:r>
        <w:rPr>
          <w:rStyle w:val="VerbatimChar"/>
        </w:rPr>
        <w:t xml:space="preserve">#&gt;  P knitr          1.38    2022-03-25 [?] CRAN (R 4.1.2)</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P magrittr       2.0.3   2022-03-30 [?] CRAN (R 4.1.2)</w:t>
      </w:r>
      <w:r>
        <w:br/>
      </w:r>
      <w:r>
        <w:rPr>
          <w:rStyle w:val="VerbatimChar"/>
        </w:rPr>
        <w:t xml:space="preserve">#&gt;  P Matrix         1.4-1   2022-03-23 [?] CRAN (R 4.1.2)</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png            0.1-7   2013-12-03 [2] CRAN (R 4.1.0)</w:t>
      </w:r>
      <w:r>
        <w:br/>
      </w:r>
      <w:r>
        <w:rPr>
          <w:rStyle w:val="VerbatimChar"/>
        </w:rPr>
        <w:t xml:space="preserve">#&gt;    prettyunits    1.1.1   2020-01-24 [2] CRAN (R 4.1.0)</w:t>
      </w:r>
      <w:r>
        <w:br/>
      </w:r>
      <w:r>
        <w:rPr>
          <w:rStyle w:val="VerbatimChar"/>
        </w:rPr>
        <w:t xml:space="preserve">#&gt;  P processx       3.5.3   2022-03-25 [?] CRAN (R 4.1.2)</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P quanteda     * 3.2.1   2022-03-01 [?] CRAN (R 4.1.2)</w:t>
      </w:r>
      <w:r>
        <w:br/>
      </w:r>
      <w:r>
        <w:rPr>
          <w:rStyle w:val="VerbatimChar"/>
        </w:rPr>
        <w:t xml:space="preserve">#&gt;    R6             2.5.1   2021-08-19 [2] CRAN (R 4.1.0)</w:t>
      </w:r>
      <w:r>
        <w:br/>
      </w:r>
      <w:r>
        <w:rPr>
          <w:rStyle w:val="VerbatimChar"/>
        </w:rPr>
        <w:t xml:space="preserve">#&gt;  P Rcpp           1.0.8.3 2022-03-17 [?] CRAN (R 4.1.2)</w:t>
      </w:r>
      <w:r>
        <w:br/>
      </w:r>
      <w:r>
        <w:rPr>
          <w:rStyle w:val="VerbatimChar"/>
        </w:rPr>
        <w:t xml:space="preserve">#&gt;    RcppParallel   5.1.5   2022-01-05 [2] CRAN (R 4.1.2)</w:t>
      </w:r>
      <w:r>
        <w:br/>
      </w:r>
      <w:r>
        <w:rPr>
          <w:rStyle w:val="VerbatimChar"/>
        </w:rPr>
        <w:t xml:space="preserve">#&gt;    readr        * 2.1.2   2022-01-30 [2] CRAN (R 4.1.2)</w:t>
      </w:r>
      <w:r>
        <w:br/>
      </w:r>
      <w:r>
        <w:rPr>
          <w:rStyle w:val="VerbatimChar"/>
        </w:rPr>
        <w:t xml:space="preserve">#&gt;  P readxl         1.4.0   2022-03-28 [?] CRAN (R 4.1.2)</w:t>
      </w:r>
      <w:r>
        <w:br/>
      </w:r>
      <w:r>
        <w:rPr>
          <w:rStyle w:val="VerbatimChar"/>
        </w:rPr>
        <w:t xml:space="preserve">#&gt;    remotes        2.4.2   2021-11-30 [2] CRAN (R 4.1.0)</w:t>
      </w:r>
      <w:r>
        <w:br/>
      </w:r>
      <w:r>
        <w:rPr>
          <w:rStyle w:val="VerbatimChar"/>
        </w:rPr>
        <w:t xml:space="preserve">#&gt;  P renv           0.15.4  2022-03-03 [?] CRAN (R 4.1.2)</w:t>
      </w:r>
      <w:r>
        <w:br/>
      </w:r>
      <w:r>
        <w:rPr>
          <w:rStyle w:val="VerbatimChar"/>
        </w:rPr>
        <w:t xml:space="preserve">#&gt;    reprex         2.0.1   2021-08-05 [2] CRAN (R 4.1.0)</w:t>
      </w:r>
      <w:r>
        <w:br/>
      </w:r>
      <w:r>
        <w:rPr>
          <w:rStyle w:val="VerbatimChar"/>
        </w:rPr>
        <w:t xml:space="preserve">#&gt;  P rlang          1.0.2   2022-03-04 [?] CRAN (R 4.1.2)</w:t>
      </w:r>
      <w:r>
        <w:br/>
      </w:r>
      <w:r>
        <w:rPr>
          <w:rStyle w:val="VerbatimChar"/>
        </w:rPr>
        <w:t xml:space="preserve">#&gt;  P rmarkdown      2.13    2022-03-10 [?] CRAN (R 4.1.2)</w:t>
      </w:r>
      <w:r>
        <w:br/>
      </w:r>
      <w:r>
        <w:rPr>
          <w:rStyle w:val="VerbatimChar"/>
        </w:rPr>
        <w:t xml:space="preserve">#&gt;  P rprojroot      2.0.3   2022-04-02 [?] CRAN (R 4.1.2)</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P scales         1.2.0   2022-04-13 [?] CRAN (R 4.1.2)</w:t>
      </w:r>
      <w:r>
        <w:br/>
      </w:r>
      <w:r>
        <w:rPr>
          <w:rStyle w:val="VerbatimChar"/>
        </w:rPr>
        <w:t xml:space="preserve">#&gt;    sessioninfo    1.2.2   2021-12-06 [2] CRAN (R 4.1.0)</w:t>
      </w:r>
      <w:r>
        <w:br/>
      </w:r>
      <w:r>
        <w:rPr>
          <w:rStyle w:val="VerbatimChar"/>
        </w:rPr>
        <w:t xml:space="preserve">#&gt;    stopwords      2.3     2021-10-28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P tarchetypes  * 0.6.0   2022-04-19 [?] CRAN (R 4.1.2)</w:t>
      </w:r>
      <w:r>
        <w:br/>
      </w:r>
      <w:r>
        <w:rPr>
          <w:rStyle w:val="VerbatimChar"/>
        </w:rPr>
        <w:t xml:space="preserve">#&gt;  P targets      * 0.12.0  2022-04-19 [?] CRAN (R 4.1.2)</w:t>
      </w:r>
      <w:r>
        <w:br/>
      </w:r>
      <w:r>
        <w:rPr>
          <w:rStyle w:val="VerbatimChar"/>
        </w:rPr>
        <w:t xml:space="preserve">#&gt;  P testthat       3.1.3   2022-03-29 [?]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P tidyselect     1.1.2   2022-02-21 [?] CRAN (R 4.1.2)</w:t>
      </w:r>
      <w:r>
        <w:br/>
      </w:r>
      <w:r>
        <w:rPr>
          <w:rStyle w:val="VerbatimChar"/>
        </w:rPr>
        <w:t xml:space="preserve">#&gt;    tidyverse    * 1.3.1   2021-04-15 [2] CRAN (R 4.1.0)</w:t>
      </w:r>
      <w:r>
        <w:br/>
      </w:r>
      <w:r>
        <w:rPr>
          <w:rStyle w:val="VerbatimChar"/>
        </w:rPr>
        <w:t xml:space="preserve">#&gt;  P tzdb           0.3.0   2022-03-28 [?] CRAN (R 4.1.2)</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P vctrs          0.4.1   2022-04-13 [?] CRAN (R 4.1.2)</w:t>
      </w:r>
      <w:r>
        <w:br/>
      </w:r>
      <w:r>
        <w:rPr>
          <w:rStyle w:val="VerbatimChar"/>
        </w:rPr>
        <w:t xml:space="preserve">#&gt;  P withr          2.5.0   2022-03-03 [?] CRAN (R 4.1.2)</w:t>
      </w:r>
      <w:r>
        <w:br/>
      </w:r>
      <w:r>
        <w:rPr>
          <w:rStyle w:val="VerbatimChar"/>
        </w:rPr>
        <w:t xml:space="preserve">#&gt;  P xfun           0.30    2022-03-02 [?] CRAN (R 4.1.2)</w:t>
      </w:r>
      <w:r>
        <w:br/>
      </w:r>
      <w:r>
        <w:rPr>
          <w:rStyle w:val="VerbatimChar"/>
        </w:rPr>
        <w:t xml:space="preserve">#&gt;    xml2           1.3.3   2021-11-30 [2] CRAN (R 4.1.0)</w:t>
      </w:r>
      <w:r>
        <w:br/>
      </w:r>
      <w:r>
        <w:rPr>
          <w:rStyle w:val="VerbatimChar"/>
        </w:rPr>
        <w:t xml:space="preserve">#&gt;  P yaml           2.3.5   2022-02-21 [?] CRAN (R 4.1.2)</w:t>
      </w:r>
      <w:r>
        <w:br/>
      </w:r>
      <w:r>
        <w:rPr>
          <w:rStyle w:val="VerbatimChar"/>
        </w:rPr>
        <w:t xml:space="preserve">#&gt; </w:t>
      </w:r>
      <w:r>
        <w:br/>
      </w:r>
      <w:r>
        <w:rPr>
          <w:rStyle w:val="VerbatimChar"/>
        </w:rPr>
        <w:t xml:space="preserve">#&gt;  [1] /Users/bmarwick/Library/Caches/org.R-project.R/R/renv/library/systematicsinprehistory-4a29795a/R-4.1/x86_64-apple-darwin17.0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[039db7e] 2022-02-16: Merge branch 'master' of github.com:benmarwick/systematicsinprehistory</w:t>
      </w:r>
    </w:p>
    <w:bookmarkEnd w:id="100"/>
    <w:bookmarkEnd w:id="10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hyperlink" Id="rId23" Target="http://doi.org/10.17605/OSF.IO/JBPFW" TargetMode="External" /><Relationship Type="http://schemas.openxmlformats.org/officeDocument/2006/relationships/hyperlink" Id="rId45" Target="http://dx.doi.org/10.1023/A:1009578011590" TargetMode="External" /><Relationship Type="http://schemas.openxmlformats.org/officeDocument/2006/relationships/hyperlink" Id="rId97" Target="http://www.jstor.org/stable/25667187" TargetMode="External" /><Relationship Type="http://schemas.openxmlformats.org/officeDocument/2006/relationships/hyperlink" Id="rId94" Target="http://www.jstor.org/stable/279449" TargetMode="External" /><Relationship Type="http://schemas.openxmlformats.org/officeDocument/2006/relationships/hyperlink" Id="rId63" Target="http://www.jstor.org/stable/j.ctv1m9x2s3.8" TargetMode="External" /><Relationship Type="http://schemas.openxmlformats.org/officeDocument/2006/relationships/hyperlink" Id="rId35" Target="https://cas.au.dk/en/clioarch/" TargetMode="External" /><Relationship Type="http://schemas.openxmlformats.org/officeDocument/2006/relationships/hyperlink" Id="rId72" Target="https://doi.org/10.1007/978-1-4757-9945-3_2" TargetMode="External" /><Relationship Type="http://schemas.openxmlformats.org/officeDocument/2006/relationships/hyperlink" Id="rId82" Target="https://doi.org/10.1007/978-3-030-11117-5_17" TargetMode="External" /><Relationship Type="http://schemas.openxmlformats.org/officeDocument/2006/relationships/hyperlink" Id="rId61" Target="https://doi.org/10.1007/s10437-020-09401-x" TargetMode="External" /><Relationship Type="http://schemas.openxmlformats.org/officeDocument/2006/relationships/hyperlink" Id="rId70" Target="https://doi.org/10.1007/s11759-012-9204-1" TargetMode="External" /><Relationship Type="http://schemas.openxmlformats.org/officeDocument/2006/relationships/hyperlink" Id="rId67" Target="https://doi.org/10.1007/s41982-021-00077-6" TargetMode="External" /><Relationship Type="http://schemas.openxmlformats.org/officeDocument/2006/relationships/hyperlink" Id="rId56" Target="https://doi.org/10.1007/s41982-021-00087-4" TargetMode="External" /><Relationship Type="http://schemas.openxmlformats.org/officeDocument/2006/relationships/hyperlink" Id="rId40" Target="https://doi.org/10.1007/s41982-021-00091-8" TargetMode="External" /><Relationship Type="http://schemas.openxmlformats.org/officeDocument/2006/relationships/hyperlink" Id="rId75" Target="https://doi.org/10.1016/j.jas.2014.02.009" TargetMode="External" /><Relationship Type="http://schemas.openxmlformats.org/officeDocument/2006/relationships/hyperlink" Id="rId59" Target="https://doi.org/10.1017/eaa.2019.59" TargetMode="External" /><Relationship Type="http://schemas.openxmlformats.org/officeDocument/2006/relationships/hyperlink" Id="rId84" Target="https://doi.org/10.1017/ehs.2021.7" TargetMode="External" /><Relationship Type="http://schemas.openxmlformats.org/officeDocument/2006/relationships/hyperlink" Id="rId65" Target="https://doi.org/10.1080/00438243.2018.1470561" TargetMode="External" /><Relationship Type="http://schemas.openxmlformats.org/officeDocument/2006/relationships/hyperlink" Id="rId86" Target="https://doi.org/10.1080/01621459.2016.1141684" TargetMode="External" /><Relationship Type="http://schemas.openxmlformats.org/officeDocument/2006/relationships/hyperlink" Id="rId80" Target="https://doi.org/10.15184/aqy.2019.49" TargetMode="External" /><Relationship Type="http://schemas.openxmlformats.org/officeDocument/2006/relationships/hyperlink" Id="rId92" Target="https://doi.org/10.1525/aa.1973.75.2.02a01030" TargetMode="External" /><Relationship Type="http://schemas.openxmlformats.org/officeDocument/2006/relationships/hyperlink" Id="rId48" Target="https://doi.org/10.2218/jls.2797" TargetMode="External" /><Relationship Type="http://schemas.openxmlformats.org/officeDocument/2006/relationships/hyperlink" Id="rId42"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_rels/footnotes.xml.rels><?xml version="1.0" encoding="UTF-8"?><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45" Target="http://dx.doi.org/10.1023/A:1009578011590" TargetMode="External" /><Relationship Type="http://schemas.openxmlformats.org/officeDocument/2006/relationships/hyperlink" Id="rId97" Target="http://www.jstor.org/stable/25667187" TargetMode="External" /><Relationship Type="http://schemas.openxmlformats.org/officeDocument/2006/relationships/hyperlink" Id="rId94" Target="http://www.jstor.org/stable/279449" TargetMode="External" /><Relationship Type="http://schemas.openxmlformats.org/officeDocument/2006/relationships/hyperlink" Id="rId63" Target="http://www.jstor.org/stable/j.ctv1m9x2s3.8" TargetMode="External" /><Relationship Type="http://schemas.openxmlformats.org/officeDocument/2006/relationships/hyperlink" Id="rId35" Target="https://cas.au.dk/en/clioarch/" TargetMode="External" /><Relationship Type="http://schemas.openxmlformats.org/officeDocument/2006/relationships/hyperlink" Id="rId72" Target="https://doi.org/10.1007/978-1-4757-9945-3_2" TargetMode="External" /><Relationship Type="http://schemas.openxmlformats.org/officeDocument/2006/relationships/hyperlink" Id="rId82" Target="https://doi.org/10.1007/978-3-030-11117-5_17" TargetMode="External" /><Relationship Type="http://schemas.openxmlformats.org/officeDocument/2006/relationships/hyperlink" Id="rId61" Target="https://doi.org/10.1007/s10437-020-09401-x" TargetMode="External" /><Relationship Type="http://schemas.openxmlformats.org/officeDocument/2006/relationships/hyperlink" Id="rId70" Target="https://doi.org/10.1007/s11759-012-9204-1" TargetMode="External" /><Relationship Type="http://schemas.openxmlformats.org/officeDocument/2006/relationships/hyperlink" Id="rId67" Target="https://doi.org/10.1007/s41982-021-00077-6" TargetMode="External" /><Relationship Type="http://schemas.openxmlformats.org/officeDocument/2006/relationships/hyperlink" Id="rId56" Target="https://doi.org/10.1007/s41982-021-00087-4" TargetMode="External" /><Relationship Type="http://schemas.openxmlformats.org/officeDocument/2006/relationships/hyperlink" Id="rId40" Target="https://doi.org/10.1007/s41982-021-00091-8" TargetMode="External" /><Relationship Type="http://schemas.openxmlformats.org/officeDocument/2006/relationships/hyperlink" Id="rId75" Target="https://doi.org/10.1016/j.jas.2014.02.009" TargetMode="External" /><Relationship Type="http://schemas.openxmlformats.org/officeDocument/2006/relationships/hyperlink" Id="rId59" Target="https://doi.org/10.1017/eaa.2019.59" TargetMode="External" /><Relationship Type="http://schemas.openxmlformats.org/officeDocument/2006/relationships/hyperlink" Id="rId84" Target="https://doi.org/10.1017/ehs.2021.7" TargetMode="External" /><Relationship Type="http://schemas.openxmlformats.org/officeDocument/2006/relationships/hyperlink" Id="rId65" Target="https://doi.org/10.1080/00438243.2018.1470561" TargetMode="External" /><Relationship Type="http://schemas.openxmlformats.org/officeDocument/2006/relationships/hyperlink" Id="rId86" Target="https://doi.org/10.1080/01621459.2016.1141684" TargetMode="External" /><Relationship Type="http://schemas.openxmlformats.org/officeDocument/2006/relationships/hyperlink" Id="rId80" Target="https://doi.org/10.15184/aqy.2019.49" TargetMode="External" /><Relationship Type="http://schemas.openxmlformats.org/officeDocument/2006/relationships/hyperlink" Id="rId92" Target="https://doi.org/10.1525/aa.1973.75.2.02a01030" TargetMode="External" /><Relationship Type="http://schemas.openxmlformats.org/officeDocument/2006/relationships/hyperlink" Id="rId48" Target="https://doi.org/10.2218/jls.2797" TargetMode="External" /><Relationship Type="http://schemas.openxmlformats.org/officeDocument/2006/relationships/hyperlink" Id="rId42"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2022-04-20T17:47:25Z</dcterms:created>
  <dcterms:modified xsi:type="dcterms:W3CDTF">2022-04-20T17:47:25Z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../templates/apa.csl</vt:lpwstr>
  </property>
  <property fmtid="{D5CDD505-2E9C-101B-9397-08002B2CF9AE}" pid="5" name="date">
    <vt:lpwstr>20 April, 2022</vt:lpwstr>
  </property>
  <property fmtid="{D5CDD505-2E9C-101B-9397-08002B2CF9AE}" pid="6" name="output">
    <vt:lpwstr/>
  </property>
</Properties>
</file>