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B4346" w14:textId="77777777" w:rsidR="009007FF" w:rsidRPr="006E0719" w:rsidRDefault="009007FF" w:rsidP="009007F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6E0719">
        <w:rPr>
          <w:rFonts w:cstheme="minorHAnsi"/>
          <w:b/>
          <w:bCs/>
          <w:sz w:val="28"/>
          <w:szCs w:val="28"/>
          <w:u w:val="single"/>
        </w:rPr>
        <w:t>Transfer Learning</w:t>
      </w:r>
    </w:p>
    <w:p w14:paraId="6A10A80C" w14:textId="62621512" w:rsidR="009007FF" w:rsidRDefault="003634AE" w:rsidP="003634A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9007FF" w:rsidRPr="00326419">
        <w:rPr>
          <w:rFonts w:cstheme="minorHAnsi"/>
          <w:sz w:val="24"/>
          <w:szCs w:val="24"/>
        </w:rPr>
        <w:t>ransfer learning was applied</w:t>
      </w:r>
      <w:r>
        <w:rPr>
          <w:rFonts w:cstheme="minorHAnsi"/>
          <w:sz w:val="24"/>
          <w:szCs w:val="24"/>
        </w:rPr>
        <w:t xml:space="preserve"> to the fruits 360 dataset</w:t>
      </w:r>
      <w:r w:rsidR="009007FF">
        <w:rPr>
          <w:rFonts w:cstheme="minorHAnsi"/>
          <w:sz w:val="24"/>
          <w:szCs w:val="24"/>
        </w:rPr>
        <w:t>,</w:t>
      </w:r>
      <w:r w:rsidR="009007FF" w:rsidRPr="00326419">
        <w:rPr>
          <w:rFonts w:cstheme="minorHAnsi"/>
          <w:sz w:val="24"/>
          <w:szCs w:val="24"/>
        </w:rPr>
        <w:t xml:space="preserve"> </w:t>
      </w:r>
      <w:r w:rsidR="009007FF">
        <w:rPr>
          <w:rFonts w:cstheme="minorHAnsi"/>
          <w:sz w:val="24"/>
          <w:szCs w:val="24"/>
        </w:rPr>
        <w:t xml:space="preserve">in a second </w:t>
      </w:r>
      <w:r>
        <w:rPr>
          <w:rFonts w:cstheme="minorHAnsi"/>
          <w:sz w:val="24"/>
          <w:szCs w:val="24"/>
        </w:rPr>
        <w:t>J</w:t>
      </w:r>
      <w:r w:rsidR="009007FF">
        <w:rPr>
          <w:rFonts w:cstheme="minorHAnsi"/>
          <w:sz w:val="24"/>
          <w:szCs w:val="24"/>
        </w:rPr>
        <w:t xml:space="preserve">upyter notebook, </w:t>
      </w:r>
      <w:r w:rsidR="009007FF" w:rsidRPr="00326419">
        <w:rPr>
          <w:rFonts w:cstheme="minorHAnsi"/>
          <w:sz w:val="24"/>
          <w:szCs w:val="24"/>
        </w:rPr>
        <w:t>by using a pretrained model (VGG16)</w:t>
      </w:r>
      <w:r>
        <w:rPr>
          <w:rFonts w:cstheme="minorHAnsi"/>
          <w:sz w:val="24"/>
          <w:szCs w:val="24"/>
        </w:rPr>
        <w:t xml:space="preserve">. </w:t>
      </w:r>
      <w:r w:rsidR="009007FF" w:rsidRPr="00326419">
        <w:rPr>
          <w:rFonts w:cstheme="minorHAnsi"/>
          <w:sz w:val="24"/>
          <w:szCs w:val="24"/>
        </w:rPr>
        <w:t>VGG16 is a convolutional neural network model proposed by K. Simonyan and A. Zisserman from the University of Oxford in their paper “Very Deep Convolutional Networks for Large-Scale Image Recognition”</w:t>
      </w:r>
      <w:r w:rsidR="00350460">
        <w:rPr>
          <w:rFonts w:cstheme="minorHAnsi"/>
          <w:sz w:val="24"/>
          <w:szCs w:val="24"/>
        </w:rPr>
        <w:t xml:space="preserve"> (</w:t>
      </w:r>
      <w:r w:rsidR="00350460" w:rsidRPr="00724BEA">
        <w:rPr>
          <w:sz w:val="24"/>
          <w:szCs w:val="24"/>
        </w:rPr>
        <w:t>ul Hassan</w:t>
      </w:r>
      <w:r w:rsidR="00350460">
        <w:rPr>
          <w:sz w:val="24"/>
          <w:szCs w:val="24"/>
        </w:rPr>
        <w:t xml:space="preserve">, </w:t>
      </w:r>
      <w:r w:rsidR="00350460" w:rsidRPr="00E80346">
        <w:rPr>
          <w:sz w:val="24"/>
          <w:szCs w:val="24"/>
        </w:rPr>
        <w:t>2018)</w:t>
      </w:r>
      <w:r w:rsidR="009007FF" w:rsidRPr="00326419">
        <w:rPr>
          <w:rFonts w:cstheme="minorHAnsi"/>
          <w:sz w:val="24"/>
          <w:szCs w:val="24"/>
        </w:rPr>
        <w:t>. The model achieves 92.7% top-5 test accuracy in ImageNet, which is a dataset of over 14 million images belonging to 1000 classes</w:t>
      </w:r>
      <w:r w:rsidR="00A55161">
        <w:rPr>
          <w:rFonts w:cstheme="minorHAnsi"/>
          <w:sz w:val="24"/>
          <w:szCs w:val="24"/>
        </w:rPr>
        <w:t xml:space="preserve"> (</w:t>
      </w:r>
      <w:r w:rsidR="00A55161" w:rsidRPr="00724BEA">
        <w:rPr>
          <w:sz w:val="24"/>
          <w:szCs w:val="24"/>
        </w:rPr>
        <w:t>ul Hassan</w:t>
      </w:r>
      <w:r w:rsidR="00A55161" w:rsidRPr="00E80346">
        <w:rPr>
          <w:sz w:val="24"/>
          <w:szCs w:val="24"/>
        </w:rPr>
        <w:t>,</w:t>
      </w:r>
      <w:r w:rsidR="00A55161">
        <w:rPr>
          <w:sz w:val="24"/>
          <w:szCs w:val="24"/>
        </w:rPr>
        <w:t xml:space="preserve"> </w:t>
      </w:r>
      <w:r w:rsidR="00A55161" w:rsidRPr="00E80346">
        <w:rPr>
          <w:sz w:val="24"/>
          <w:szCs w:val="24"/>
        </w:rPr>
        <w:t>2018)</w:t>
      </w:r>
      <w:r w:rsidR="009007FF" w:rsidRPr="00326419">
        <w:rPr>
          <w:rFonts w:cstheme="minorHAnsi"/>
          <w:sz w:val="24"/>
          <w:szCs w:val="24"/>
        </w:rPr>
        <w:t xml:space="preserve">. It was one of the models submitted to </w:t>
      </w:r>
      <w:r w:rsidR="009007FF" w:rsidRPr="00350460">
        <w:rPr>
          <w:rFonts w:cstheme="minorHAnsi"/>
          <w:sz w:val="24"/>
          <w:szCs w:val="24"/>
        </w:rPr>
        <w:t>ILSVRC-2014</w:t>
      </w:r>
      <w:r w:rsidR="00350460" w:rsidRPr="00350460">
        <w:rPr>
          <w:sz w:val="24"/>
          <w:szCs w:val="24"/>
        </w:rPr>
        <w:t xml:space="preserve"> </w:t>
      </w:r>
      <w:r w:rsidR="00350460">
        <w:rPr>
          <w:sz w:val="24"/>
          <w:szCs w:val="24"/>
        </w:rPr>
        <w:t>(</w:t>
      </w:r>
      <w:r w:rsidR="00350460" w:rsidRPr="00724BEA">
        <w:rPr>
          <w:sz w:val="24"/>
          <w:szCs w:val="24"/>
        </w:rPr>
        <w:t>ul Hassan</w:t>
      </w:r>
      <w:r w:rsidR="00350460" w:rsidRPr="00E80346">
        <w:rPr>
          <w:sz w:val="24"/>
          <w:szCs w:val="24"/>
        </w:rPr>
        <w:t>,</w:t>
      </w:r>
      <w:r w:rsidR="00350460">
        <w:rPr>
          <w:sz w:val="24"/>
          <w:szCs w:val="24"/>
        </w:rPr>
        <w:t xml:space="preserve"> </w:t>
      </w:r>
      <w:r w:rsidR="00350460" w:rsidRPr="00E80346">
        <w:rPr>
          <w:sz w:val="24"/>
          <w:szCs w:val="24"/>
        </w:rPr>
        <w:t>2018</w:t>
      </w:r>
      <w:r w:rsidR="00350460">
        <w:rPr>
          <w:sz w:val="24"/>
          <w:szCs w:val="24"/>
        </w:rPr>
        <w:t>)</w:t>
      </w:r>
      <w:r w:rsidR="009007FF" w:rsidRPr="00326419">
        <w:rPr>
          <w:rFonts w:cstheme="minorHAnsi"/>
          <w:sz w:val="24"/>
          <w:szCs w:val="24"/>
        </w:rPr>
        <w:t>. The architecture of the VGG16 network is below</w:t>
      </w:r>
      <w:r w:rsidR="009007FF">
        <w:rPr>
          <w:rFonts w:cstheme="minorHAnsi"/>
          <w:sz w:val="24"/>
          <w:szCs w:val="24"/>
        </w:rPr>
        <w:t>:</w:t>
      </w:r>
      <w:r w:rsidR="009007FF" w:rsidRPr="00326419">
        <w:rPr>
          <w:rFonts w:cstheme="minorHAnsi"/>
          <w:sz w:val="24"/>
          <w:szCs w:val="24"/>
        </w:rPr>
        <w:t xml:space="preserve"> </w:t>
      </w:r>
    </w:p>
    <w:p w14:paraId="1C0BC97A" w14:textId="77777777" w:rsidR="009007FF" w:rsidRDefault="009007FF" w:rsidP="009007FF">
      <w:pPr>
        <w:rPr>
          <w:rFonts w:cstheme="minorHAnsi"/>
          <w:sz w:val="24"/>
          <w:szCs w:val="24"/>
        </w:rPr>
      </w:pPr>
    </w:p>
    <w:p w14:paraId="0B3CFD21" w14:textId="77777777" w:rsidR="009007FF" w:rsidRDefault="009007FF" w:rsidP="009007FF">
      <w:pPr>
        <w:rPr>
          <w:rFonts w:cstheme="minorHAnsi"/>
          <w:sz w:val="24"/>
          <w:szCs w:val="24"/>
        </w:rPr>
      </w:pPr>
      <w:r w:rsidRPr="00326419">
        <w:rPr>
          <w:rFonts w:cstheme="minorHAnsi"/>
          <w:noProof/>
          <w:sz w:val="24"/>
          <w:szCs w:val="24"/>
        </w:rPr>
        <w:drawing>
          <wp:inline distT="0" distB="0" distL="0" distR="0" wp14:anchorId="3A4F87E0" wp14:editId="181C82A8">
            <wp:extent cx="5943600" cy="3502660"/>
            <wp:effectExtent l="0" t="0" r="0" b="2540"/>
            <wp:docPr id="2" name="Picture 2" descr="VGG16 Art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GG16 Art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8A1E" w14:textId="77777777" w:rsidR="009007FF" w:rsidRDefault="009007FF" w:rsidP="009007FF">
      <w:pPr>
        <w:spacing w:after="0" w:line="240" w:lineRule="auto"/>
        <w:rPr>
          <w:rFonts w:cstheme="minorHAnsi"/>
          <w:sz w:val="24"/>
          <w:szCs w:val="24"/>
        </w:rPr>
      </w:pPr>
      <w:r w:rsidRPr="00326419">
        <w:rPr>
          <w:rFonts w:cstheme="minorHAnsi"/>
          <w:sz w:val="24"/>
          <w:szCs w:val="24"/>
        </w:rPr>
        <w:t xml:space="preserve">VGG16 Architecture </w:t>
      </w:r>
    </w:p>
    <w:p w14:paraId="2B0A8468" w14:textId="77777777" w:rsidR="009007FF" w:rsidRPr="00C359D0" w:rsidRDefault="009007FF" w:rsidP="009007FF">
      <w:pPr>
        <w:spacing w:after="0" w:line="240" w:lineRule="auto"/>
        <w:rPr>
          <w:rFonts w:cstheme="minorHAnsi"/>
          <w:sz w:val="20"/>
          <w:szCs w:val="20"/>
        </w:rPr>
      </w:pPr>
      <w:r w:rsidRPr="00C359D0">
        <w:rPr>
          <w:rFonts w:cstheme="minorHAnsi"/>
          <w:sz w:val="20"/>
          <w:szCs w:val="20"/>
        </w:rPr>
        <w:t>Retrieved from:</w:t>
      </w:r>
      <w:hyperlink r:id="rId7" w:history="1">
        <w:r w:rsidRPr="00C359D0">
          <w:rPr>
            <w:rStyle w:val="Hyperlink"/>
            <w:rFonts w:cstheme="minorHAnsi"/>
            <w:sz w:val="20"/>
            <w:szCs w:val="20"/>
          </w:rPr>
          <w:t>https://neurohive.io/en/popular-networks/vgg16/</w:t>
        </w:r>
      </w:hyperlink>
      <w:r w:rsidRPr="00C359D0">
        <w:rPr>
          <w:rFonts w:cstheme="minorHAnsi"/>
          <w:sz w:val="20"/>
          <w:szCs w:val="20"/>
        </w:rPr>
        <w:t xml:space="preserve"> </w:t>
      </w:r>
    </w:p>
    <w:p w14:paraId="4D8645A6" w14:textId="77777777" w:rsidR="009007FF" w:rsidRDefault="009007FF" w:rsidP="009007FF">
      <w:pPr>
        <w:rPr>
          <w:rFonts w:cstheme="minorHAnsi"/>
          <w:sz w:val="24"/>
          <w:szCs w:val="24"/>
        </w:rPr>
      </w:pPr>
    </w:p>
    <w:p w14:paraId="332AD02A" w14:textId="0A831862" w:rsidR="009007FF" w:rsidRDefault="009007FF" w:rsidP="009007FF">
      <w:pPr>
        <w:rPr>
          <w:rFonts w:cstheme="minorHAnsi"/>
          <w:sz w:val="24"/>
          <w:szCs w:val="24"/>
        </w:rPr>
      </w:pPr>
      <w:r w:rsidRPr="00326419">
        <w:rPr>
          <w:rFonts w:cstheme="minorHAnsi"/>
          <w:sz w:val="24"/>
          <w:szCs w:val="24"/>
        </w:rPr>
        <w:t xml:space="preserve">In transfer learning, a </w:t>
      </w:r>
      <w:r w:rsidRPr="003374C6">
        <w:rPr>
          <w:rFonts w:cstheme="minorHAnsi"/>
          <w:sz w:val="24"/>
          <w:szCs w:val="24"/>
        </w:rPr>
        <w:t>pre-trained model (</w:t>
      </w:r>
      <w:r w:rsidR="00BB24D2" w:rsidRPr="00326419">
        <w:rPr>
          <w:rFonts w:cstheme="minorHAnsi"/>
          <w:sz w:val="24"/>
          <w:szCs w:val="24"/>
        </w:rPr>
        <w:t>i.e.</w:t>
      </w:r>
      <w:r w:rsidRPr="00326419">
        <w:rPr>
          <w:rFonts w:cstheme="minorHAnsi"/>
          <w:sz w:val="24"/>
          <w:szCs w:val="24"/>
        </w:rPr>
        <w:t xml:space="preserve"> </w:t>
      </w:r>
      <w:r w:rsidRPr="003374C6">
        <w:rPr>
          <w:rFonts w:cstheme="minorHAnsi"/>
          <w:sz w:val="24"/>
          <w:szCs w:val="24"/>
        </w:rPr>
        <w:t xml:space="preserve">the weights and parameters of a network that has been trained on a large dataset by somebody else) </w:t>
      </w:r>
      <w:r w:rsidRPr="00326419">
        <w:rPr>
          <w:rFonts w:cstheme="minorHAnsi"/>
          <w:sz w:val="24"/>
          <w:szCs w:val="24"/>
        </w:rPr>
        <w:t xml:space="preserve">is implemented and then </w:t>
      </w:r>
      <w:r w:rsidRPr="003374C6">
        <w:rPr>
          <w:rFonts w:cstheme="minorHAnsi"/>
          <w:sz w:val="24"/>
          <w:szCs w:val="24"/>
        </w:rPr>
        <w:t>“fine-tune</w:t>
      </w:r>
      <w:r w:rsidRPr="00326419">
        <w:rPr>
          <w:rFonts w:cstheme="minorHAnsi"/>
          <w:sz w:val="24"/>
          <w:szCs w:val="24"/>
        </w:rPr>
        <w:t>d</w:t>
      </w:r>
      <w:r w:rsidRPr="003374C6">
        <w:rPr>
          <w:rFonts w:cstheme="minorHAnsi"/>
          <w:sz w:val="24"/>
          <w:szCs w:val="24"/>
        </w:rPr>
        <w:t xml:space="preserve">” with </w:t>
      </w:r>
      <w:r w:rsidRPr="00326419">
        <w:rPr>
          <w:rFonts w:cstheme="minorHAnsi"/>
          <w:sz w:val="24"/>
          <w:szCs w:val="24"/>
        </w:rPr>
        <w:t xml:space="preserve">the </w:t>
      </w:r>
      <w:r w:rsidRPr="003374C6">
        <w:rPr>
          <w:rFonts w:cstheme="minorHAnsi"/>
          <w:sz w:val="24"/>
          <w:szCs w:val="24"/>
        </w:rPr>
        <w:t>dataset</w:t>
      </w:r>
      <w:r w:rsidRPr="00326419">
        <w:rPr>
          <w:rFonts w:cstheme="minorHAnsi"/>
          <w:sz w:val="24"/>
          <w:szCs w:val="24"/>
        </w:rPr>
        <w:t xml:space="preserve"> of interest (the fruit</w:t>
      </w:r>
      <w:r w:rsidR="0038649A">
        <w:rPr>
          <w:rFonts w:cstheme="minorHAnsi"/>
          <w:sz w:val="24"/>
          <w:szCs w:val="24"/>
        </w:rPr>
        <w:t>s</w:t>
      </w:r>
      <w:r w:rsidRPr="00326419">
        <w:rPr>
          <w:rFonts w:cstheme="minorHAnsi"/>
          <w:sz w:val="24"/>
          <w:szCs w:val="24"/>
        </w:rPr>
        <w:t>-360 dataset)</w:t>
      </w:r>
      <w:r w:rsidR="00BB24D2">
        <w:rPr>
          <w:rFonts w:cstheme="minorHAnsi"/>
          <w:sz w:val="24"/>
          <w:szCs w:val="24"/>
        </w:rPr>
        <w:t xml:space="preserve"> (IS, 2018)</w:t>
      </w:r>
      <w:r w:rsidRPr="003374C6">
        <w:rPr>
          <w:rFonts w:cstheme="minorHAnsi"/>
          <w:sz w:val="24"/>
          <w:szCs w:val="24"/>
        </w:rPr>
        <w:t>. T</w:t>
      </w:r>
      <w:r w:rsidRPr="00326419">
        <w:rPr>
          <w:rFonts w:cstheme="minorHAnsi"/>
          <w:sz w:val="24"/>
          <w:szCs w:val="24"/>
        </w:rPr>
        <w:t xml:space="preserve">he </w:t>
      </w:r>
      <w:r w:rsidRPr="003374C6">
        <w:rPr>
          <w:rFonts w:cstheme="minorHAnsi"/>
          <w:sz w:val="24"/>
          <w:szCs w:val="24"/>
        </w:rPr>
        <w:t>pre-trained model will either provide the initialized weights leading to a faster convergence or it will act as a fixed feature extractor for the task of interest</w:t>
      </w:r>
      <w:r w:rsidR="00D65728">
        <w:rPr>
          <w:rFonts w:cstheme="minorHAnsi"/>
          <w:sz w:val="24"/>
          <w:szCs w:val="24"/>
        </w:rPr>
        <w:t xml:space="preserve"> (IS, 2018)</w:t>
      </w:r>
      <w:r w:rsidRPr="003374C6">
        <w:rPr>
          <w:rFonts w:cstheme="minorHAnsi"/>
          <w:sz w:val="24"/>
          <w:szCs w:val="24"/>
        </w:rPr>
        <w:t>.</w:t>
      </w:r>
      <w:r w:rsidRPr="00326419">
        <w:rPr>
          <w:rFonts w:cstheme="minorHAnsi"/>
          <w:sz w:val="24"/>
          <w:szCs w:val="24"/>
        </w:rPr>
        <w:t xml:space="preserve"> In this case, the pretrained VGG16 model provides the initialized weights and then the network </w:t>
      </w:r>
      <w:r>
        <w:rPr>
          <w:rFonts w:cstheme="minorHAnsi"/>
          <w:sz w:val="24"/>
          <w:szCs w:val="24"/>
        </w:rPr>
        <w:t>was</w:t>
      </w:r>
      <w:r w:rsidRPr="00326419">
        <w:rPr>
          <w:rFonts w:cstheme="minorHAnsi"/>
          <w:sz w:val="24"/>
          <w:szCs w:val="24"/>
        </w:rPr>
        <w:t xml:space="preserve"> retrained on the fruit-360 dataset.  </w:t>
      </w:r>
    </w:p>
    <w:p w14:paraId="0C80B374" w14:textId="01EFE3E1" w:rsidR="009007FF" w:rsidRDefault="009007FF" w:rsidP="009007FF">
      <w:pPr>
        <w:rPr>
          <w:rFonts w:cstheme="minorHAnsi"/>
          <w:sz w:val="24"/>
          <w:szCs w:val="24"/>
        </w:rPr>
      </w:pPr>
      <w:r w:rsidRPr="007F6E59">
        <w:rPr>
          <w:rFonts w:cstheme="minorHAnsi"/>
          <w:sz w:val="24"/>
          <w:szCs w:val="24"/>
        </w:rPr>
        <w:t xml:space="preserve">There are three </w:t>
      </w:r>
      <w:r>
        <w:rPr>
          <w:rFonts w:cstheme="minorHAnsi"/>
          <w:sz w:val="24"/>
          <w:szCs w:val="24"/>
        </w:rPr>
        <w:t xml:space="preserve">benefits to transfer </w:t>
      </w:r>
      <w:r w:rsidRPr="007F6E59">
        <w:rPr>
          <w:rFonts w:cstheme="minorHAnsi"/>
          <w:sz w:val="24"/>
          <w:szCs w:val="24"/>
        </w:rPr>
        <w:t>learning</w:t>
      </w:r>
      <w:r>
        <w:rPr>
          <w:rFonts w:cstheme="minorHAnsi"/>
          <w:sz w:val="24"/>
          <w:szCs w:val="24"/>
        </w:rPr>
        <w:t xml:space="preserve"> as shown in the figure below.</w:t>
      </w:r>
      <w:r w:rsidRPr="007F6E59">
        <w:rPr>
          <w:rFonts w:cstheme="minorHAnsi"/>
          <w:sz w:val="24"/>
          <w:szCs w:val="24"/>
        </w:rPr>
        <w:t xml:space="preserve"> First</w:t>
      </w:r>
      <w:r>
        <w:rPr>
          <w:rFonts w:cstheme="minorHAnsi"/>
          <w:sz w:val="24"/>
          <w:szCs w:val="24"/>
        </w:rPr>
        <w:t>,</w:t>
      </w:r>
      <w:r w:rsidRPr="007F6E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there is a higher start or </w:t>
      </w:r>
      <w:r w:rsidRPr="007F6E59">
        <w:rPr>
          <w:rFonts w:cstheme="minorHAnsi"/>
          <w:sz w:val="24"/>
          <w:szCs w:val="24"/>
        </w:rPr>
        <w:t xml:space="preserve">initial performance </w:t>
      </w:r>
      <w:r>
        <w:rPr>
          <w:rFonts w:cstheme="minorHAnsi"/>
          <w:sz w:val="24"/>
          <w:szCs w:val="24"/>
        </w:rPr>
        <w:t xml:space="preserve">achieved compared to the initial performance of a model </w:t>
      </w:r>
      <w:r>
        <w:rPr>
          <w:rFonts w:cstheme="minorHAnsi"/>
          <w:sz w:val="24"/>
          <w:szCs w:val="24"/>
        </w:rPr>
        <w:lastRenderedPageBreak/>
        <w:t>that is trained from scratch</w:t>
      </w:r>
      <w:r w:rsidR="00D65728">
        <w:rPr>
          <w:rFonts w:cstheme="minorHAnsi"/>
          <w:sz w:val="24"/>
          <w:szCs w:val="24"/>
        </w:rPr>
        <w:t xml:space="preserve"> (</w:t>
      </w:r>
      <w:r w:rsidR="00D65728" w:rsidRPr="0067722D">
        <w:rPr>
          <w:rFonts w:cstheme="minorHAnsi"/>
          <w:sz w:val="24"/>
          <w:szCs w:val="24"/>
        </w:rPr>
        <w:t>Torrey &amp; Shavli</w:t>
      </w:r>
      <w:r w:rsidR="00D65728">
        <w:rPr>
          <w:rFonts w:cstheme="minorHAnsi"/>
          <w:sz w:val="24"/>
          <w:szCs w:val="24"/>
        </w:rPr>
        <w:t xml:space="preserve">, </w:t>
      </w:r>
      <w:r w:rsidR="001D110B">
        <w:rPr>
          <w:rFonts w:cstheme="minorHAnsi"/>
          <w:sz w:val="24"/>
          <w:szCs w:val="24"/>
        </w:rPr>
        <w:t>n.d</w:t>
      </w:r>
      <w:r w:rsidR="00D65728" w:rsidRPr="0067722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  <w:r w:rsidRPr="007F6E59">
        <w:rPr>
          <w:rFonts w:cstheme="minorHAnsi"/>
          <w:sz w:val="24"/>
          <w:szCs w:val="24"/>
        </w:rPr>
        <w:t xml:space="preserve"> Second</w:t>
      </w:r>
      <w:r>
        <w:rPr>
          <w:rFonts w:cstheme="minorHAnsi"/>
          <w:sz w:val="24"/>
          <w:szCs w:val="24"/>
        </w:rPr>
        <w:t xml:space="preserve">, </w:t>
      </w:r>
      <w:r w:rsidRPr="007F6E59">
        <w:rPr>
          <w:rFonts w:cstheme="minorHAnsi"/>
          <w:sz w:val="24"/>
          <w:szCs w:val="24"/>
        </w:rPr>
        <w:t xml:space="preserve">the amount of time it takes to learn the target task </w:t>
      </w:r>
      <w:r>
        <w:rPr>
          <w:rFonts w:cstheme="minorHAnsi"/>
          <w:sz w:val="24"/>
          <w:szCs w:val="24"/>
        </w:rPr>
        <w:t>is shorter resulting in a higher slope</w:t>
      </w:r>
      <w:r w:rsidR="00D65728">
        <w:rPr>
          <w:rFonts w:cstheme="minorHAnsi"/>
          <w:sz w:val="24"/>
          <w:szCs w:val="24"/>
        </w:rPr>
        <w:t xml:space="preserve"> (</w:t>
      </w:r>
      <w:r w:rsidR="00D65728" w:rsidRPr="0067722D">
        <w:rPr>
          <w:rFonts w:cstheme="minorHAnsi"/>
          <w:sz w:val="24"/>
          <w:szCs w:val="24"/>
        </w:rPr>
        <w:t>Torrey &amp; Shavli</w:t>
      </w:r>
      <w:r w:rsidR="00D65728">
        <w:rPr>
          <w:rFonts w:cstheme="minorHAnsi"/>
          <w:sz w:val="24"/>
          <w:szCs w:val="24"/>
        </w:rPr>
        <w:t xml:space="preserve">, </w:t>
      </w:r>
      <w:r w:rsidR="001D110B">
        <w:rPr>
          <w:rFonts w:cstheme="minorHAnsi"/>
          <w:sz w:val="24"/>
          <w:szCs w:val="24"/>
        </w:rPr>
        <w:t>n.d</w:t>
      </w:r>
      <w:r w:rsidR="00D65728" w:rsidRPr="0067722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</w:t>
      </w:r>
      <w:r w:rsidRPr="007F6E59">
        <w:rPr>
          <w:rFonts w:cstheme="minorHAnsi"/>
          <w:sz w:val="24"/>
          <w:szCs w:val="24"/>
        </w:rPr>
        <w:t>Third</w:t>
      </w:r>
      <w:r>
        <w:rPr>
          <w:rFonts w:cstheme="minorHAnsi"/>
          <w:sz w:val="24"/>
          <w:szCs w:val="24"/>
        </w:rPr>
        <w:t xml:space="preserve">, a higher </w:t>
      </w:r>
      <w:r w:rsidRPr="007F6E59">
        <w:rPr>
          <w:rFonts w:cstheme="minorHAnsi"/>
          <w:sz w:val="24"/>
          <w:szCs w:val="24"/>
        </w:rPr>
        <w:t xml:space="preserve">ﬁnal performance level </w:t>
      </w:r>
      <w:r>
        <w:rPr>
          <w:rFonts w:cstheme="minorHAnsi"/>
          <w:sz w:val="24"/>
          <w:szCs w:val="24"/>
        </w:rPr>
        <w:t xml:space="preserve">is </w:t>
      </w:r>
      <w:r w:rsidRPr="007F6E59">
        <w:rPr>
          <w:rFonts w:cstheme="minorHAnsi"/>
          <w:sz w:val="24"/>
          <w:szCs w:val="24"/>
        </w:rPr>
        <w:t>achiev</w:t>
      </w:r>
      <w:r>
        <w:rPr>
          <w:rFonts w:cstheme="minorHAnsi"/>
          <w:sz w:val="24"/>
          <w:szCs w:val="24"/>
        </w:rPr>
        <w:t>ed (</w:t>
      </w:r>
      <w:r w:rsidR="00BB24D2">
        <w:rPr>
          <w:rFonts w:cstheme="minorHAnsi"/>
          <w:sz w:val="24"/>
          <w:szCs w:val="24"/>
        </w:rPr>
        <w:t>i.e.</w:t>
      </w:r>
      <w:r>
        <w:rPr>
          <w:rFonts w:cstheme="minorHAnsi"/>
          <w:sz w:val="24"/>
          <w:szCs w:val="24"/>
        </w:rPr>
        <w:t xml:space="preserve"> higher asymptote in the figure below)</w:t>
      </w:r>
      <w:r w:rsidR="00D65728">
        <w:rPr>
          <w:rFonts w:cstheme="minorHAnsi"/>
          <w:sz w:val="24"/>
          <w:szCs w:val="24"/>
        </w:rPr>
        <w:t xml:space="preserve"> (</w:t>
      </w:r>
      <w:r w:rsidR="00D65728" w:rsidRPr="0067722D">
        <w:rPr>
          <w:rFonts w:cstheme="minorHAnsi"/>
          <w:sz w:val="24"/>
          <w:szCs w:val="24"/>
        </w:rPr>
        <w:t>Torrey &amp; Shavli</w:t>
      </w:r>
      <w:r w:rsidR="00D65728">
        <w:rPr>
          <w:rFonts w:cstheme="minorHAnsi"/>
          <w:sz w:val="24"/>
          <w:szCs w:val="24"/>
        </w:rPr>
        <w:t xml:space="preserve">, </w:t>
      </w:r>
      <w:r w:rsidR="001D110B">
        <w:rPr>
          <w:rFonts w:cstheme="minorHAnsi"/>
          <w:sz w:val="24"/>
          <w:szCs w:val="24"/>
        </w:rPr>
        <w:t>n.d</w:t>
      </w:r>
      <w:r w:rsidR="00D65728" w:rsidRPr="0067722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>.</w:t>
      </w:r>
    </w:p>
    <w:p w14:paraId="40711499" w14:textId="77777777" w:rsidR="009007FF" w:rsidRDefault="009007FF" w:rsidP="009007F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8CD1830" wp14:editId="0F25A2E9">
            <wp:extent cx="48768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18E8" w14:textId="77777777" w:rsidR="009007FF" w:rsidRPr="003374C6" w:rsidRDefault="002F0A3A" w:rsidP="009007FF">
      <w:pPr>
        <w:rPr>
          <w:rFonts w:cstheme="minorHAnsi"/>
          <w:sz w:val="24"/>
          <w:szCs w:val="24"/>
        </w:rPr>
      </w:pPr>
      <w:hyperlink r:id="rId9" w:history="1">
        <w:r w:rsidR="009007FF" w:rsidRPr="000E615F">
          <w:rPr>
            <w:rStyle w:val="Hyperlink"/>
            <w:rFonts w:cstheme="minorHAnsi"/>
            <w:sz w:val="24"/>
            <w:szCs w:val="24"/>
          </w:rPr>
          <w:t>http://ftp.cs.wisc.edu/machine-learning/shavlik-group/torrey.handbook09.pdf</w:t>
        </w:r>
      </w:hyperlink>
      <w:r w:rsidR="009007FF">
        <w:rPr>
          <w:rFonts w:cstheme="minorHAnsi"/>
          <w:sz w:val="24"/>
          <w:szCs w:val="24"/>
        </w:rPr>
        <w:t xml:space="preserve"> </w:t>
      </w:r>
    </w:p>
    <w:p w14:paraId="1412B4FE" w14:textId="391E167C" w:rsidR="009007FF" w:rsidRDefault="009007FF" w:rsidP="009007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VGG16 pretrained model can be imported </w:t>
      </w:r>
      <w:r w:rsidRPr="00182551">
        <w:rPr>
          <w:rFonts w:cstheme="minorHAnsi"/>
          <w:sz w:val="24"/>
          <w:szCs w:val="24"/>
        </w:rPr>
        <w:t>from keras.applications</w:t>
      </w:r>
      <w:r>
        <w:rPr>
          <w:rFonts w:cstheme="minorHAnsi"/>
          <w:sz w:val="24"/>
          <w:szCs w:val="24"/>
        </w:rPr>
        <w:t xml:space="preserve">. When importing the model, certain arguments must be specified. Since we want to provide our own fully connected input layer, </w:t>
      </w:r>
      <w:r w:rsidRPr="002E42D0">
        <w:rPr>
          <w:rFonts w:cstheme="minorHAnsi"/>
          <w:sz w:val="24"/>
          <w:szCs w:val="24"/>
        </w:rPr>
        <w:t>include_top</w:t>
      </w:r>
      <w:r>
        <w:rPr>
          <w:rFonts w:cstheme="minorHAnsi"/>
          <w:sz w:val="24"/>
          <w:szCs w:val="24"/>
        </w:rPr>
        <w:t xml:space="preserve"> is set to False.  This will exclude the first </w:t>
      </w:r>
      <w:r w:rsidRPr="00887C81">
        <w:rPr>
          <w:rFonts w:cstheme="minorHAnsi"/>
          <w:sz w:val="24"/>
          <w:szCs w:val="24"/>
        </w:rPr>
        <w:t>3 fully-connected layers at the top of the network</w:t>
      </w:r>
      <w:r w:rsidR="001D110B">
        <w:rPr>
          <w:rFonts w:cstheme="minorHAnsi"/>
          <w:sz w:val="24"/>
          <w:szCs w:val="24"/>
        </w:rPr>
        <w:t xml:space="preserve"> (Keras, n.d)</w:t>
      </w:r>
      <w:r>
        <w:rPr>
          <w:rFonts w:cstheme="minorHAnsi"/>
          <w:sz w:val="24"/>
          <w:szCs w:val="24"/>
        </w:rPr>
        <w:t xml:space="preserve">. The input shape can then be specified. It </w:t>
      </w:r>
      <w:r w:rsidRPr="002E42D0">
        <w:rPr>
          <w:rFonts w:cstheme="minorHAnsi"/>
          <w:sz w:val="24"/>
          <w:szCs w:val="24"/>
        </w:rPr>
        <w:t>should have 3 input channels, and width and height should be no smaller than 32</w:t>
      </w:r>
      <w:r w:rsidR="00F27F36">
        <w:rPr>
          <w:rFonts w:cstheme="minorHAnsi"/>
          <w:sz w:val="24"/>
          <w:szCs w:val="24"/>
        </w:rPr>
        <w:t xml:space="preserve"> (Keras, n.d)</w:t>
      </w:r>
      <w:r w:rsidRPr="002E42D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An </w:t>
      </w:r>
      <w:r w:rsidRPr="002E42D0">
        <w:rPr>
          <w:rFonts w:cstheme="minorHAnsi"/>
          <w:sz w:val="24"/>
          <w:szCs w:val="24"/>
        </w:rPr>
        <w:t xml:space="preserve">input_shape </w:t>
      </w:r>
      <w:r>
        <w:rPr>
          <w:rFonts w:cstheme="minorHAnsi"/>
          <w:sz w:val="24"/>
          <w:szCs w:val="24"/>
        </w:rPr>
        <w:t xml:space="preserve">of </w:t>
      </w:r>
      <w:r w:rsidRPr="002E42D0">
        <w:rPr>
          <w:rFonts w:cstheme="minorHAnsi"/>
          <w:sz w:val="24"/>
          <w:szCs w:val="24"/>
        </w:rPr>
        <w:t>(64,64,3)</w:t>
      </w:r>
      <w:r>
        <w:rPr>
          <w:rFonts w:cstheme="minorHAnsi"/>
          <w:sz w:val="24"/>
          <w:szCs w:val="24"/>
        </w:rPr>
        <w:t xml:space="preserve"> was used in this model. The weights were set to </w:t>
      </w:r>
      <w:r w:rsidRPr="002E42D0">
        <w:rPr>
          <w:rFonts w:cstheme="minorHAnsi"/>
          <w:sz w:val="24"/>
          <w:szCs w:val="24"/>
        </w:rPr>
        <w:t>'imagenet'</w:t>
      </w:r>
      <w:r>
        <w:rPr>
          <w:rFonts w:cstheme="minorHAnsi"/>
          <w:sz w:val="24"/>
          <w:szCs w:val="24"/>
        </w:rPr>
        <w:t xml:space="preserve"> meaning the weight were not randomly initialized but were based on the trained ImageNet model</w:t>
      </w:r>
      <w:r w:rsidR="00F27F36">
        <w:rPr>
          <w:rFonts w:cstheme="minorHAnsi"/>
          <w:sz w:val="24"/>
          <w:szCs w:val="24"/>
        </w:rPr>
        <w:t xml:space="preserve"> (Keras, n.d)</w:t>
      </w:r>
      <w:r>
        <w:rPr>
          <w:rFonts w:cstheme="minorHAnsi"/>
          <w:sz w:val="24"/>
          <w:szCs w:val="24"/>
        </w:rPr>
        <w:t xml:space="preserve">. </w:t>
      </w:r>
    </w:p>
    <w:p w14:paraId="2CB63935" w14:textId="6F8AAED1" w:rsidR="009007FF" w:rsidRDefault="00BB24D2" w:rsidP="009007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prevent</w:t>
      </w:r>
      <w:r w:rsidR="009007FF">
        <w:rPr>
          <w:rFonts w:cstheme="minorHAnsi"/>
          <w:sz w:val="24"/>
          <w:szCs w:val="24"/>
        </w:rPr>
        <w:t xml:space="preserve"> that the model </w:t>
      </w:r>
      <w:r>
        <w:rPr>
          <w:rFonts w:cstheme="minorHAnsi"/>
          <w:sz w:val="24"/>
          <w:szCs w:val="24"/>
        </w:rPr>
        <w:t xml:space="preserve">from </w:t>
      </w:r>
      <w:r w:rsidR="009007FF">
        <w:rPr>
          <w:rFonts w:cstheme="minorHAnsi"/>
          <w:sz w:val="24"/>
          <w:szCs w:val="24"/>
        </w:rPr>
        <w:t>retrain</w:t>
      </w:r>
      <w:r>
        <w:rPr>
          <w:rFonts w:cstheme="minorHAnsi"/>
          <w:sz w:val="24"/>
          <w:szCs w:val="24"/>
        </w:rPr>
        <w:t>ing</w:t>
      </w:r>
      <w:r w:rsidR="009007FF">
        <w:rPr>
          <w:rFonts w:cstheme="minorHAnsi"/>
          <w:sz w:val="24"/>
          <w:szCs w:val="24"/>
        </w:rPr>
        <w:t xml:space="preserve"> the </w:t>
      </w:r>
      <w:r>
        <w:rPr>
          <w:rFonts w:cstheme="minorHAnsi"/>
          <w:sz w:val="24"/>
          <w:szCs w:val="24"/>
        </w:rPr>
        <w:t xml:space="preserve">imported </w:t>
      </w:r>
      <w:r w:rsidR="009007FF">
        <w:rPr>
          <w:rFonts w:cstheme="minorHAnsi"/>
          <w:sz w:val="24"/>
          <w:szCs w:val="24"/>
        </w:rPr>
        <w:t xml:space="preserve">existing layers in the VGG16 model, layer.trainable is set to False. </w:t>
      </w:r>
    </w:p>
    <w:p w14:paraId="65BD8449" w14:textId="3E7D7AD7" w:rsidR="009007FF" w:rsidRDefault="009007FF" w:rsidP="009007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model is then constructed in a similar fashion as the previous CNN model. A flattening layer is added</w:t>
      </w:r>
      <w:r w:rsidR="00BB24D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an output layer with units =111 and activation function = </w:t>
      </w:r>
      <w:proofErr w:type="spellStart"/>
      <w:r w:rsidR="00797C38">
        <w:rPr>
          <w:rFonts w:cstheme="minorHAnsi"/>
          <w:sz w:val="24"/>
          <w:szCs w:val="24"/>
        </w:rPr>
        <w:t>softmax</w:t>
      </w:r>
      <w:proofErr w:type="spellEnd"/>
      <w:r w:rsidR="00797C38">
        <w:rPr>
          <w:rFonts w:cstheme="minorHAnsi"/>
          <w:sz w:val="24"/>
          <w:szCs w:val="24"/>
        </w:rPr>
        <w:t xml:space="preserve"> is</w:t>
      </w:r>
      <w:r>
        <w:rPr>
          <w:rFonts w:cstheme="minorHAnsi"/>
          <w:sz w:val="24"/>
          <w:szCs w:val="24"/>
        </w:rPr>
        <w:t xml:space="preserve"> specified. The model is compiled and then trained in the same fashion as the original CNN model. </w:t>
      </w:r>
    </w:p>
    <w:p w14:paraId="3288E326" w14:textId="1891AEDA" w:rsidR="009007FF" w:rsidRPr="00BB24D2" w:rsidRDefault="009007FF" w:rsidP="009007FF">
      <w:pPr>
        <w:rPr>
          <w:rFonts w:cstheme="minorHAnsi"/>
          <w:sz w:val="24"/>
          <w:szCs w:val="24"/>
        </w:rPr>
      </w:pPr>
      <w:r w:rsidRPr="00685D49">
        <w:rPr>
          <w:rFonts w:cstheme="minorHAnsi"/>
          <w:sz w:val="24"/>
          <w:szCs w:val="24"/>
          <w:u w:val="single"/>
        </w:rPr>
        <w:t>Results</w:t>
      </w:r>
      <w:r w:rsidR="00BB24D2">
        <w:rPr>
          <w:rFonts w:cstheme="minorHAnsi"/>
          <w:sz w:val="24"/>
          <w:szCs w:val="24"/>
          <w:u w:val="single"/>
        </w:rPr>
        <w:t xml:space="preserve"> of Transfer Learning</w:t>
      </w:r>
      <w:r w:rsidRPr="00685D49">
        <w:rPr>
          <w:rFonts w:cstheme="minorHAnsi"/>
          <w:sz w:val="24"/>
          <w:szCs w:val="24"/>
          <w:u w:val="single"/>
        </w:rPr>
        <w:t xml:space="preserve">: </w:t>
      </w:r>
      <w:r w:rsidR="00BB24D2">
        <w:rPr>
          <w:rFonts w:cstheme="minorHAnsi"/>
          <w:sz w:val="24"/>
          <w:szCs w:val="24"/>
        </w:rPr>
        <w:tab/>
      </w:r>
      <w:r w:rsidR="00BB24D2">
        <w:rPr>
          <w:rFonts w:cstheme="minorHAnsi"/>
          <w:sz w:val="24"/>
          <w:szCs w:val="24"/>
        </w:rPr>
        <w:tab/>
      </w:r>
      <w:r w:rsidR="00BB24D2">
        <w:rPr>
          <w:rFonts w:cstheme="minorHAnsi"/>
          <w:sz w:val="24"/>
          <w:szCs w:val="24"/>
        </w:rPr>
        <w:tab/>
      </w:r>
      <w:r w:rsidR="00BB24D2">
        <w:rPr>
          <w:rFonts w:cstheme="minorHAnsi"/>
          <w:sz w:val="24"/>
          <w:szCs w:val="24"/>
        </w:rPr>
        <w:tab/>
      </w:r>
      <w:r w:rsidR="00BB24D2" w:rsidRPr="00BB24D2">
        <w:rPr>
          <w:rFonts w:cstheme="minorHAnsi"/>
          <w:sz w:val="24"/>
          <w:szCs w:val="24"/>
          <w:u w:val="single"/>
        </w:rPr>
        <w:t>Results of Original Model:</w:t>
      </w:r>
    </w:p>
    <w:p w14:paraId="487F0198" w14:textId="37E993B2" w:rsidR="009007FF" w:rsidRPr="00326419" w:rsidRDefault="009007FF" w:rsidP="009007FF">
      <w:pPr>
        <w:spacing w:after="0"/>
        <w:rPr>
          <w:rFonts w:cstheme="minorHAnsi"/>
          <w:sz w:val="24"/>
          <w:szCs w:val="24"/>
        </w:rPr>
      </w:pPr>
      <w:r w:rsidRPr="00326419">
        <w:rPr>
          <w:rFonts w:cstheme="minorHAnsi"/>
          <w:sz w:val="24"/>
          <w:szCs w:val="24"/>
        </w:rPr>
        <w:t>Time to Early Stopping ~ 20 hours</w:t>
      </w:r>
      <w:r w:rsidR="00BB24D2">
        <w:rPr>
          <w:rFonts w:cstheme="minorHAnsi"/>
          <w:sz w:val="24"/>
          <w:szCs w:val="24"/>
        </w:rPr>
        <w:tab/>
      </w:r>
      <w:r w:rsidR="00BB24D2">
        <w:rPr>
          <w:rFonts w:cstheme="minorHAnsi"/>
          <w:sz w:val="24"/>
          <w:szCs w:val="24"/>
        </w:rPr>
        <w:tab/>
      </w:r>
      <w:r w:rsidR="00BB24D2">
        <w:rPr>
          <w:rFonts w:cstheme="minorHAnsi"/>
          <w:sz w:val="24"/>
          <w:szCs w:val="24"/>
        </w:rPr>
        <w:tab/>
        <w:t>Time to Early Stopping ~ 12 hours</w:t>
      </w:r>
    </w:p>
    <w:p w14:paraId="4B6D076C" w14:textId="3220BEA4" w:rsidR="009007FF" w:rsidRDefault="009007FF" w:rsidP="009007FF">
      <w:pPr>
        <w:spacing w:after="0"/>
        <w:rPr>
          <w:rFonts w:cstheme="minorHAnsi"/>
          <w:sz w:val="24"/>
          <w:szCs w:val="24"/>
        </w:rPr>
      </w:pPr>
      <w:r w:rsidRPr="00326419">
        <w:rPr>
          <w:rFonts w:cstheme="minorHAnsi"/>
          <w:sz w:val="24"/>
          <w:szCs w:val="24"/>
        </w:rPr>
        <w:t>Epochs = 41</w:t>
      </w:r>
      <w:r w:rsidR="00BB24D2">
        <w:rPr>
          <w:rFonts w:cstheme="minorHAnsi"/>
          <w:sz w:val="24"/>
          <w:szCs w:val="24"/>
        </w:rPr>
        <w:tab/>
      </w:r>
      <w:r w:rsidR="00BB24D2">
        <w:rPr>
          <w:rFonts w:cstheme="minorHAnsi"/>
          <w:sz w:val="24"/>
          <w:szCs w:val="24"/>
        </w:rPr>
        <w:tab/>
      </w:r>
      <w:r w:rsidR="00BB24D2">
        <w:rPr>
          <w:rFonts w:cstheme="minorHAnsi"/>
          <w:sz w:val="24"/>
          <w:szCs w:val="24"/>
        </w:rPr>
        <w:tab/>
      </w:r>
      <w:r w:rsidR="00BB24D2">
        <w:rPr>
          <w:rFonts w:cstheme="minorHAnsi"/>
          <w:sz w:val="24"/>
          <w:szCs w:val="24"/>
        </w:rPr>
        <w:tab/>
      </w:r>
      <w:r w:rsidR="00BB24D2">
        <w:rPr>
          <w:rFonts w:cstheme="minorHAnsi"/>
          <w:sz w:val="24"/>
          <w:szCs w:val="24"/>
        </w:rPr>
        <w:tab/>
      </w:r>
      <w:r w:rsidR="00BB24D2">
        <w:rPr>
          <w:rFonts w:cstheme="minorHAnsi"/>
          <w:sz w:val="24"/>
          <w:szCs w:val="24"/>
        </w:rPr>
        <w:tab/>
        <w:t>Epochs = 38</w:t>
      </w:r>
    </w:p>
    <w:p w14:paraId="30C2A6F5" w14:textId="77777777" w:rsidR="009007FF" w:rsidRPr="00326419" w:rsidRDefault="009007FF" w:rsidP="009007FF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77"/>
        <w:gridCol w:w="1620"/>
        <w:gridCol w:w="900"/>
      </w:tblGrid>
      <w:tr w:rsidR="009007FF" w:rsidRPr="00E54760" w14:paraId="12F6D833" w14:textId="77777777" w:rsidTr="00BB24D2">
        <w:tc>
          <w:tcPr>
            <w:tcW w:w="1377" w:type="dxa"/>
          </w:tcPr>
          <w:p w14:paraId="368BCDFC" w14:textId="77777777" w:rsidR="009007FF" w:rsidRPr="00326419" w:rsidRDefault="009007FF" w:rsidP="00C957C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C6A133E" w14:textId="77777777" w:rsidR="009007FF" w:rsidRPr="00E54760" w:rsidRDefault="009007FF" w:rsidP="00C957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Accuracy (%)</w:t>
            </w:r>
          </w:p>
        </w:tc>
        <w:tc>
          <w:tcPr>
            <w:tcW w:w="900" w:type="dxa"/>
          </w:tcPr>
          <w:p w14:paraId="7C70EB11" w14:textId="77777777" w:rsidR="009007FF" w:rsidRPr="00E54760" w:rsidRDefault="009007FF" w:rsidP="00C957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Loss</w:t>
            </w:r>
          </w:p>
        </w:tc>
      </w:tr>
      <w:tr w:rsidR="009007FF" w:rsidRPr="00E54760" w14:paraId="0BB371A2" w14:textId="77777777" w:rsidTr="00BB24D2">
        <w:tc>
          <w:tcPr>
            <w:tcW w:w="1377" w:type="dxa"/>
          </w:tcPr>
          <w:p w14:paraId="22D0DB18" w14:textId="7976DAB4" w:rsidR="009007FF" w:rsidRPr="00E54760" w:rsidRDefault="009007FF" w:rsidP="00C957C2">
            <w:pPr>
              <w:rPr>
                <w:rFonts w:cstheme="minorHAnsi"/>
                <w:sz w:val="24"/>
                <w:szCs w:val="24"/>
              </w:rPr>
            </w:pPr>
            <w:r w:rsidRPr="00326419">
              <w:rPr>
                <w:rFonts w:cstheme="minorHAnsi"/>
                <w:sz w:val="24"/>
                <w:szCs w:val="24"/>
              </w:rPr>
              <w:t>Train Set:</w:t>
            </w:r>
          </w:p>
        </w:tc>
        <w:tc>
          <w:tcPr>
            <w:tcW w:w="1620" w:type="dxa"/>
          </w:tcPr>
          <w:p w14:paraId="4171F4E5" w14:textId="77777777" w:rsidR="009007FF" w:rsidRPr="00E54760" w:rsidRDefault="009007FF" w:rsidP="00C957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99.1</w:t>
            </w:r>
          </w:p>
        </w:tc>
        <w:tc>
          <w:tcPr>
            <w:tcW w:w="900" w:type="dxa"/>
          </w:tcPr>
          <w:p w14:paraId="4BCCD27A" w14:textId="77777777" w:rsidR="009007FF" w:rsidRPr="00E54760" w:rsidRDefault="009007FF" w:rsidP="00C957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0.033</w:t>
            </w:r>
          </w:p>
        </w:tc>
      </w:tr>
      <w:tr w:rsidR="009007FF" w:rsidRPr="00CA1C31" w14:paraId="33D744ED" w14:textId="77777777" w:rsidTr="00BB24D2">
        <w:tc>
          <w:tcPr>
            <w:tcW w:w="1377" w:type="dxa"/>
          </w:tcPr>
          <w:p w14:paraId="7E1B091F" w14:textId="77777777" w:rsidR="009007FF" w:rsidRPr="00E54760" w:rsidRDefault="009007FF" w:rsidP="00C957C2">
            <w:pPr>
              <w:rPr>
                <w:rFonts w:cstheme="minorHAnsi"/>
                <w:sz w:val="24"/>
                <w:szCs w:val="24"/>
              </w:rPr>
            </w:pPr>
            <w:r w:rsidRPr="00326419">
              <w:rPr>
                <w:rFonts w:cstheme="minorHAnsi"/>
                <w:sz w:val="24"/>
                <w:szCs w:val="24"/>
              </w:rPr>
              <w:t>Test Set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1620" w:type="dxa"/>
          </w:tcPr>
          <w:p w14:paraId="6E39F015" w14:textId="77777777" w:rsidR="009007FF" w:rsidRPr="00CA1C31" w:rsidRDefault="009007FF" w:rsidP="00C957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95.8</w:t>
            </w:r>
          </w:p>
        </w:tc>
        <w:tc>
          <w:tcPr>
            <w:tcW w:w="900" w:type="dxa"/>
          </w:tcPr>
          <w:p w14:paraId="3FBC3F5A" w14:textId="77777777" w:rsidR="009007FF" w:rsidRPr="00CA1C31" w:rsidRDefault="009007FF" w:rsidP="00C957C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0.140</w:t>
            </w:r>
          </w:p>
        </w:tc>
      </w:tr>
    </w:tbl>
    <w:tbl>
      <w:tblPr>
        <w:tblStyle w:val="TableGrid"/>
        <w:tblpPr w:leftFromText="180" w:rightFromText="180" w:vertAnchor="text" w:horzAnchor="page" w:tblpX="6469" w:tblpY="-936"/>
        <w:tblW w:w="0" w:type="auto"/>
        <w:tblLook w:val="04A0" w:firstRow="1" w:lastRow="0" w:firstColumn="1" w:lastColumn="0" w:noHBand="0" w:noVBand="1"/>
      </w:tblPr>
      <w:tblGrid>
        <w:gridCol w:w="1377"/>
        <w:gridCol w:w="1620"/>
        <w:gridCol w:w="900"/>
      </w:tblGrid>
      <w:tr w:rsidR="00BB24D2" w:rsidRPr="001955B5" w14:paraId="3ECA1E92" w14:textId="77777777" w:rsidTr="00BB24D2">
        <w:tc>
          <w:tcPr>
            <w:tcW w:w="1377" w:type="dxa"/>
          </w:tcPr>
          <w:p w14:paraId="7FEAC1A2" w14:textId="77777777" w:rsidR="00BB24D2" w:rsidRPr="001955B5" w:rsidRDefault="00BB24D2" w:rsidP="00BB24D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C13713D" w14:textId="77777777" w:rsidR="00BB24D2" w:rsidRPr="001955B5" w:rsidRDefault="00BB24D2" w:rsidP="00BB24D2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Accuracy (%)</w:t>
            </w:r>
          </w:p>
        </w:tc>
        <w:tc>
          <w:tcPr>
            <w:tcW w:w="900" w:type="dxa"/>
          </w:tcPr>
          <w:p w14:paraId="40EC2812" w14:textId="77777777" w:rsidR="00BB24D2" w:rsidRPr="001955B5" w:rsidRDefault="00BB24D2" w:rsidP="00BB24D2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Loss</w:t>
            </w:r>
          </w:p>
        </w:tc>
      </w:tr>
      <w:tr w:rsidR="00BB24D2" w:rsidRPr="001955B5" w14:paraId="0B9742F3" w14:textId="77777777" w:rsidTr="00BB24D2">
        <w:tc>
          <w:tcPr>
            <w:tcW w:w="1377" w:type="dxa"/>
          </w:tcPr>
          <w:p w14:paraId="6B038D52" w14:textId="77777777" w:rsidR="00BB24D2" w:rsidRPr="001955B5" w:rsidRDefault="00BB24D2" w:rsidP="00BB24D2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Train Set:</w:t>
            </w:r>
          </w:p>
        </w:tc>
        <w:tc>
          <w:tcPr>
            <w:tcW w:w="1620" w:type="dxa"/>
          </w:tcPr>
          <w:p w14:paraId="02516B2B" w14:textId="77777777" w:rsidR="00BB24D2" w:rsidRPr="001955B5" w:rsidRDefault="00BB24D2" w:rsidP="00BB24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97.8</w:t>
            </w:r>
          </w:p>
        </w:tc>
        <w:tc>
          <w:tcPr>
            <w:tcW w:w="900" w:type="dxa"/>
          </w:tcPr>
          <w:p w14:paraId="08890526" w14:textId="77777777" w:rsidR="00BB24D2" w:rsidRPr="001955B5" w:rsidRDefault="00BB24D2" w:rsidP="00BB24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0.072</w:t>
            </w:r>
          </w:p>
        </w:tc>
      </w:tr>
      <w:tr w:rsidR="00BB24D2" w:rsidRPr="001955B5" w14:paraId="1EE7C50D" w14:textId="77777777" w:rsidTr="00BB24D2">
        <w:tc>
          <w:tcPr>
            <w:tcW w:w="1377" w:type="dxa"/>
          </w:tcPr>
          <w:p w14:paraId="44F01AF7" w14:textId="77777777" w:rsidR="00BB24D2" w:rsidRPr="001955B5" w:rsidRDefault="00BB24D2" w:rsidP="00BB24D2">
            <w:pPr>
              <w:rPr>
                <w:rFonts w:cstheme="minorHAnsi"/>
                <w:sz w:val="24"/>
                <w:szCs w:val="24"/>
              </w:rPr>
            </w:pPr>
            <w:r w:rsidRPr="001955B5">
              <w:rPr>
                <w:rFonts w:cstheme="minorHAnsi"/>
                <w:sz w:val="24"/>
                <w:szCs w:val="24"/>
              </w:rPr>
              <w:t>Test Set:</w:t>
            </w:r>
          </w:p>
        </w:tc>
        <w:tc>
          <w:tcPr>
            <w:tcW w:w="1620" w:type="dxa"/>
          </w:tcPr>
          <w:p w14:paraId="4A47573D" w14:textId="77777777" w:rsidR="00BB24D2" w:rsidRPr="001955B5" w:rsidRDefault="00BB24D2" w:rsidP="00BB24D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96.3</w:t>
            </w:r>
          </w:p>
        </w:tc>
        <w:tc>
          <w:tcPr>
            <w:tcW w:w="900" w:type="dxa"/>
          </w:tcPr>
          <w:p w14:paraId="2DEAAC7B" w14:textId="77777777" w:rsidR="00BB24D2" w:rsidRPr="001955B5" w:rsidRDefault="00BB24D2" w:rsidP="00BB24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0.137</w:t>
            </w:r>
          </w:p>
        </w:tc>
      </w:tr>
    </w:tbl>
    <w:p w14:paraId="5FB12CDD" w14:textId="77777777" w:rsidR="00BB24D2" w:rsidRPr="001955B5" w:rsidRDefault="00BB24D2" w:rsidP="00BB24D2">
      <w:pPr>
        <w:pStyle w:val="uiqtextpara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</w:p>
    <w:p w14:paraId="647BFAC8" w14:textId="77777777" w:rsidR="009007FF" w:rsidRPr="00326419" w:rsidRDefault="009007FF" w:rsidP="009007FF">
      <w:pPr>
        <w:rPr>
          <w:rFonts w:cstheme="minorHAnsi"/>
          <w:sz w:val="24"/>
          <w:szCs w:val="24"/>
        </w:rPr>
      </w:pPr>
    </w:p>
    <w:p w14:paraId="0350BDD3" w14:textId="69A03978" w:rsidR="009007FF" w:rsidRDefault="009007FF" w:rsidP="009007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Since this model took longer to run</w:t>
      </w:r>
      <w:r w:rsidR="00BB24D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the original </w:t>
      </w:r>
      <w:r w:rsidR="00BB24D2">
        <w:rPr>
          <w:rFonts w:cstheme="minorHAnsi"/>
          <w:sz w:val="24"/>
          <w:szCs w:val="24"/>
        </w:rPr>
        <w:t xml:space="preserve">CNN </w:t>
      </w:r>
      <w:r>
        <w:rPr>
          <w:rFonts w:cstheme="minorHAnsi"/>
          <w:sz w:val="24"/>
          <w:szCs w:val="24"/>
        </w:rPr>
        <w:t xml:space="preserve">model showed a bit of overfitting, </w:t>
      </w:r>
      <w:r w:rsidR="00BB24D2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patience </w:t>
      </w:r>
      <w:r w:rsidR="00BB24D2">
        <w:rPr>
          <w:rFonts w:cstheme="minorHAnsi"/>
          <w:sz w:val="24"/>
          <w:szCs w:val="24"/>
        </w:rPr>
        <w:t xml:space="preserve">argument </w:t>
      </w:r>
      <w:r>
        <w:rPr>
          <w:rFonts w:cstheme="minorHAnsi"/>
          <w:sz w:val="24"/>
          <w:szCs w:val="24"/>
        </w:rPr>
        <w:t xml:space="preserve">was set to 10 and not 20 epochs </w:t>
      </w:r>
      <w:r w:rsidR="00BB24D2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as was set in the original model</w:t>
      </w:r>
      <w:r w:rsidR="00BB24D2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</w:t>
      </w:r>
    </w:p>
    <w:p w14:paraId="7767F178" w14:textId="265B8D2C" w:rsidR="00FD1762" w:rsidRDefault="009007FF" w:rsidP="009007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comparing the 2 models, the training accuracy was higher and the loss was lower when using transfer learning. </w:t>
      </w:r>
      <w:r w:rsidR="00FD1762">
        <w:rPr>
          <w:rFonts w:cstheme="minorHAnsi"/>
          <w:sz w:val="24"/>
          <w:szCs w:val="24"/>
        </w:rPr>
        <w:t xml:space="preserve">The three effects as describes above (higher start, higher slope and higher </w:t>
      </w:r>
      <w:r w:rsidR="00EA1486">
        <w:rPr>
          <w:rFonts w:cstheme="minorHAnsi"/>
          <w:sz w:val="24"/>
          <w:szCs w:val="24"/>
        </w:rPr>
        <w:t>asymptote)</w:t>
      </w:r>
      <w:r w:rsidR="00FD1762">
        <w:rPr>
          <w:rFonts w:cstheme="minorHAnsi"/>
          <w:sz w:val="24"/>
          <w:szCs w:val="24"/>
        </w:rPr>
        <w:t xml:space="preserve"> were all seen in the training set when using the transfer learning method. </w:t>
      </w:r>
      <w:r w:rsidR="00737A02">
        <w:rPr>
          <w:rFonts w:cstheme="minorHAnsi"/>
          <w:sz w:val="24"/>
          <w:szCs w:val="24"/>
        </w:rPr>
        <w:t xml:space="preserve">However, the </w:t>
      </w:r>
      <w:r>
        <w:rPr>
          <w:rFonts w:cstheme="minorHAnsi"/>
          <w:sz w:val="24"/>
          <w:szCs w:val="24"/>
        </w:rPr>
        <w:t xml:space="preserve">test set </w:t>
      </w:r>
      <w:r w:rsidR="00BB24D2">
        <w:rPr>
          <w:rFonts w:cstheme="minorHAnsi"/>
          <w:sz w:val="24"/>
          <w:szCs w:val="24"/>
        </w:rPr>
        <w:t xml:space="preserve">accuracy </w:t>
      </w:r>
      <w:r w:rsidR="00737A02">
        <w:rPr>
          <w:rFonts w:cstheme="minorHAnsi"/>
          <w:sz w:val="24"/>
          <w:szCs w:val="24"/>
        </w:rPr>
        <w:t xml:space="preserve">and loss </w:t>
      </w:r>
      <w:r w:rsidR="00BB24D2">
        <w:rPr>
          <w:rFonts w:cstheme="minorHAnsi"/>
          <w:sz w:val="24"/>
          <w:szCs w:val="24"/>
        </w:rPr>
        <w:t>were very similar</w:t>
      </w:r>
      <w:r w:rsidR="00EA1486">
        <w:rPr>
          <w:rFonts w:cstheme="minorHAnsi"/>
          <w:sz w:val="24"/>
          <w:szCs w:val="24"/>
        </w:rPr>
        <w:t xml:space="preserve"> </w:t>
      </w:r>
      <w:r w:rsidR="00737A02">
        <w:rPr>
          <w:rFonts w:cstheme="minorHAnsi"/>
          <w:sz w:val="24"/>
          <w:szCs w:val="24"/>
        </w:rPr>
        <w:t xml:space="preserve">between the two methods. </w:t>
      </w:r>
      <w:r w:rsidR="00BB24D2">
        <w:rPr>
          <w:rFonts w:cstheme="minorHAnsi"/>
          <w:sz w:val="24"/>
          <w:szCs w:val="24"/>
        </w:rPr>
        <w:t xml:space="preserve"> </w:t>
      </w:r>
    </w:p>
    <w:p w14:paraId="1649176B" w14:textId="4F7CB0F4" w:rsidR="00FD1762" w:rsidRDefault="00FD1762" w:rsidP="009007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Although the training accuracy was higher for the transfer learning method, the time to early stopping was nearly double. If these models were run using a GPU, these computational times may be much faster. </w:t>
      </w:r>
      <w:r w:rsidR="00EA1486">
        <w:rPr>
          <w:rFonts w:cstheme="minorHAnsi"/>
          <w:sz w:val="24"/>
          <w:szCs w:val="24"/>
        </w:rPr>
        <w:t>However, based on the computation time</w:t>
      </w:r>
      <w:r w:rsidR="00071068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EA1486">
        <w:rPr>
          <w:rFonts w:cstheme="minorHAnsi"/>
          <w:sz w:val="24"/>
          <w:szCs w:val="24"/>
        </w:rPr>
        <w:t>and the result</w:t>
      </w:r>
      <w:r w:rsidR="009D1D08">
        <w:rPr>
          <w:rFonts w:cstheme="minorHAnsi"/>
          <w:sz w:val="24"/>
          <w:szCs w:val="24"/>
        </w:rPr>
        <w:t xml:space="preserve">s of </w:t>
      </w:r>
      <w:r w:rsidR="00797C38">
        <w:rPr>
          <w:rFonts w:cstheme="minorHAnsi"/>
          <w:sz w:val="24"/>
          <w:szCs w:val="24"/>
        </w:rPr>
        <w:t>the test</w:t>
      </w:r>
      <w:r w:rsidR="00EA1486">
        <w:rPr>
          <w:rFonts w:cstheme="minorHAnsi"/>
          <w:sz w:val="24"/>
          <w:szCs w:val="24"/>
        </w:rPr>
        <w:t xml:space="preserve"> set accuracy and loss, </w:t>
      </w:r>
      <w:r w:rsidR="005C3F7A">
        <w:rPr>
          <w:rFonts w:cstheme="minorHAnsi"/>
          <w:sz w:val="24"/>
          <w:szCs w:val="24"/>
        </w:rPr>
        <w:t xml:space="preserve">transfer learning did not provide improvement over running the </w:t>
      </w:r>
      <w:r w:rsidR="00EA1486">
        <w:rPr>
          <w:rFonts w:cstheme="minorHAnsi"/>
          <w:sz w:val="24"/>
          <w:szCs w:val="24"/>
        </w:rPr>
        <w:t xml:space="preserve">model from scratch. </w:t>
      </w:r>
    </w:p>
    <w:p w14:paraId="4AB2A59E" w14:textId="77777777" w:rsidR="009007FF" w:rsidRDefault="009007FF" w:rsidP="009007FF">
      <w:pPr>
        <w:rPr>
          <w:rFonts w:cstheme="minorHAnsi"/>
          <w:b/>
          <w:bCs/>
          <w:sz w:val="24"/>
          <w:szCs w:val="24"/>
          <w:u w:val="single"/>
        </w:rPr>
      </w:pPr>
    </w:p>
    <w:p w14:paraId="0A98D565" w14:textId="77777777" w:rsidR="009007FF" w:rsidRDefault="009007FF" w:rsidP="009007F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References</w:t>
      </w:r>
    </w:p>
    <w:p w14:paraId="243F2B1B" w14:textId="77777777" w:rsidR="009007FF" w:rsidRDefault="009007FF" w:rsidP="009007FF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67722D">
        <w:rPr>
          <w:rFonts w:cstheme="minorHAnsi"/>
          <w:sz w:val="24"/>
          <w:szCs w:val="24"/>
        </w:rPr>
        <w:t xml:space="preserve">IS (2018). </w:t>
      </w:r>
      <w:r w:rsidRPr="0067722D">
        <w:rPr>
          <w:rFonts w:cstheme="minorHAnsi"/>
          <w:i/>
          <w:iCs/>
          <w:sz w:val="24"/>
          <w:szCs w:val="24"/>
        </w:rPr>
        <w:t>Fruits-360 - Transfer Learning using Keras and ResNet-50</w:t>
      </w:r>
      <w:r w:rsidRPr="0067722D">
        <w:rPr>
          <w:rFonts w:cstheme="minorHAnsi"/>
          <w:sz w:val="24"/>
          <w:szCs w:val="24"/>
        </w:rPr>
        <w:t>. Retrieved July 14, 2019 from :</w:t>
      </w:r>
      <w:hyperlink r:id="rId10" w:history="1">
        <w:r w:rsidRPr="0067722D">
          <w:rPr>
            <w:rStyle w:val="Hyperlink"/>
            <w:rFonts w:cstheme="minorHAnsi"/>
            <w:sz w:val="24"/>
            <w:szCs w:val="24"/>
          </w:rPr>
          <w:t>https://www.kaggle.com/amadeus1996/fruits-360-transfer-learning-using-keras</w:t>
        </w:r>
      </w:hyperlink>
      <w:r w:rsidRPr="0067722D">
        <w:rPr>
          <w:rFonts w:cstheme="minorHAnsi"/>
          <w:sz w:val="24"/>
          <w:szCs w:val="24"/>
        </w:rPr>
        <w:t xml:space="preserve"> </w:t>
      </w:r>
    </w:p>
    <w:p w14:paraId="2665731E" w14:textId="2379E82D" w:rsidR="009007FF" w:rsidRDefault="009007FF" w:rsidP="009007FF">
      <w:pPr>
        <w:rPr>
          <w:rFonts w:cstheme="minorHAnsi"/>
          <w:b/>
          <w:bCs/>
          <w:sz w:val="24"/>
          <w:szCs w:val="24"/>
          <w:u w:val="single"/>
        </w:rPr>
      </w:pPr>
    </w:p>
    <w:p w14:paraId="16CCCC42" w14:textId="3965C856" w:rsidR="00F9756C" w:rsidRDefault="00F9756C" w:rsidP="00F9756C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67722D">
        <w:rPr>
          <w:rFonts w:cstheme="minorHAnsi"/>
          <w:sz w:val="24"/>
          <w:szCs w:val="24"/>
        </w:rPr>
        <w:t>Keras Documentation (</w:t>
      </w:r>
      <w:r w:rsidR="00EF25DA">
        <w:rPr>
          <w:rFonts w:cstheme="minorHAnsi"/>
          <w:sz w:val="24"/>
          <w:szCs w:val="24"/>
        </w:rPr>
        <w:t>n.d</w:t>
      </w:r>
      <w:r w:rsidRPr="0067722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</w:t>
      </w:r>
      <w:r w:rsidRPr="00F9756C">
        <w:rPr>
          <w:rFonts w:cstheme="minorHAnsi"/>
          <w:i/>
          <w:iCs/>
          <w:sz w:val="24"/>
          <w:szCs w:val="24"/>
        </w:rPr>
        <w:t>Applications</w:t>
      </w:r>
      <w:r>
        <w:rPr>
          <w:rFonts w:cstheme="minorHAnsi"/>
          <w:sz w:val="24"/>
          <w:szCs w:val="24"/>
        </w:rPr>
        <w:t>.</w:t>
      </w:r>
      <w:r w:rsidRPr="00F9756C">
        <w:rPr>
          <w:rFonts w:cstheme="minorHAnsi"/>
          <w:sz w:val="24"/>
          <w:szCs w:val="24"/>
        </w:rPr>
        <w:t xml:space="preserve"> </w:t>
      </w:r>
      <w:r w:rsidRPr="0067722D">
        <w:rPr>
          <w:rFonts w:cstheme="minorHAnsi"/>
          <w:sz w:val="24"/>
          <w:szCs w:val="24"/>
        </w:rPr>
        <w:t>Retrieved July 12, 2019 from:</w:t>
      </w:r>
      <w:r>
        <w:rPr>
          <w:rFonts w:cstheme="minorHAnsi"/>
          <w:sz w:val="24"/>
          <w:szCs w:val="24"/>
        </w:rPr>
        <w:t xml:space="preserve"> </w:t>
      </w:r>
      <w:hyperlink r:id="rId11" w:anchor="vgg16" w:history="1">
        <w:r w:rsidRPr="000E615F">
          <w:rPr>
            <w:rStyle w:val="Hyperlink"/>
            <w:rFonts w:cstheme="minorHAnsi"/>
            <w:sz w:val="24"/>
            <w:szCs w:val="24"/>
          </w:rPr>
          <w:t>https://keras.io/applications/#vgg16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7343B7B" w14:textId="77777777" w:rsidR="00F9756C" w:rsidRPr="00F9756C" w:rsidRDefault="00F9756C" w:rsidP="00F9756C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</w:p>
    <w:p w14:paraId="1CFE043E" w14:textId="6B66188E" w:rsidR="009007FF" w:rsidRDefault="009007FF" w:rsidP="009007FF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67722D">
        <w:rPr>
          <w:rFonts w:cstheme="minorHAnsi"/>
          <w:sz w:val="24"/>
          <w:szCs w:val="24"/>
        </w:rPr>
        <w:t>Torrey, L. &amp; Shavli, J. (</w:t>
      </w:r>
      <w:r w:rsidR="00EF25DA">
        <w:rPr>
          <w:rFonts w:cstheme="minorHAnsi"/>
          <w:sz w:val="24"/>
          <w:szCs w:val="24"/>
        </w:rPr>
        <w:t>n.d</w:t>
      </w:r>
      <w:r w:rsidRPr="0067722D">
        <w:rPr>
          <w:rFonts w:cstheme="minorHAnsi"/>
          <w:sz w:val="24"/>
          <w:szCs w:val="24"/>
        </w:rPr>
        <w:t xml:space="preserve">) </w:t>
      </w:r>
      <w:r w:rsidRPr="0067722D">
        <w:rPr>
          <w:rFonts w:cstheme="minorHAnsi"/>
          <w:i/>
          <w:iCs/>
          <w:sz w:val="24"/>
          <w:szCs w:val="24"/>
        </w:rPr>
        <w:t>Transfer Learning</w:t>
      </w:r>
      <w:r w:rsidRPr="0067722D">
        <w:rPr>
          <w:rFonts w:cstheme="minorHAnsi"/>
          <w:sz w:val="24"/>
          <w:szCs w:val="24"/>
        </w:rPr>
        <w:t xml:space="preserve">. University of Wisconsin, Madison,  WI. USA. Retrieved July 14, 2019 from: </w:t>
      </w:r>
      <w:hyperlink r:id="rId12" w:history="1">
        <w:r w:rsidRPr="0067722D">
          <w:rPr>
            <w:rStyle w:val="Hyperlink"/>
            <w:rFonts w:cstheme="minorHAnsi"/>
            <w:sz w:val="24"/>
            <w:szCs w:val="24"/>
          </w:rPr>
          <w:t>http://ftp.cs.wisc.edu/machine-learning/shavlik-group/torrey.handbook09.pdf</w:t>
        </w:r>
      </w:hyperlink>
      <w:r w:rsidRPr="0067722D">
        <w:rPr>
          <w:rFonts w:cstheme="minorHAnsi"/>
          <w:sz w:val="24"/>
          <w:szCs w:val="24"/>
        </w:rPr>
        <w:t xml:space="preserve"> </w:t>
      </w:r>
    </w:p>
    <w:p w14:paraId="57F576CB" w14:textId="77777777" w:rsidR="009007FF" w:rsidRDefault="009007FF" w:rsidP="009007FF">
      <w:pPr>
        <w:rPr>
          <w:rFonts w:cstheme="minorHAnsi"/>
          <w:b/>
          <w:bCs/>
          <w:sz w:val="24"/>
          <w:szCs w:val="24"/>
          <w:u w:val="single"/>
        </w:rPr>
      </w:pPr>
    </w:p>
    <w:p w14:paraId="7EDB3364" w14:textId="18CD308C" w:rsidR="009007FF" w:rsidRPr="00E80346" w:rsidRDefault="009007FF" w:rsidP="009007FF">
      <w:pPr>
        <w:spacing w:after="0" w:line="240" w:lineRule="auto"/>
        <w:ind w:left="720" w:hanging="720"/>
        <w:rPr>
          <w:rFonts w:cstheme="minorHAnsi"/>
          <w:sz w:val="24"/>
          <w:szCs w:val="24"/>
        </w:rPr>
      </w:pPr>
      <w:r w:rsidRPr="00724BEA">
        <w:rPr>
          <w:sz w:val="24"/>
          <w:szCs w:val="24"/>
        </w:rPr>
        <w:t>ul Hassan</w:t>
      </w:r>
      <w:r w:rsidRPr="00E80346">
        <w:rPr>
          <w:sz w:val="24"/>
          <w:szCs w:val="24"/>
        </w:rPr>
        <w:t xml:space="preserve">, M. (2018). </w:t>
      </w:r>
      <w:r w:rsidRPr="00E80346">
        <w:rPr>
          <w:i/>
          <w:iCs/>
          <w:sz w:val="24"/>
          <w:szCs w:val="24"/>
        </w:rPr>
        <w:t xml:space="preserve">VGG16 – Convolutional Network for Classification and Detection. </w:t>
      </w:r>
      <w:r w:rsidRPr="00E80346">
        <w:rPr>
          <w:sz w:val="24"/>
          <w:szCs w:val="24"/>
        </w:rPr>
        <w:t xml:space="preserve">Retrieved </w:t>
      </w:r>
      <w:r w:rsidR="00797C38" w:rsidRPr="00E80346">
        <w:rPr>
          <w:sz w:val="24"/>
          <w:szCs w:val="24"/>
        </w:rPr>
        <w:t>July</w:t>
      </w:r>
      <w:r w:rsidRPr="00E80346">
        <w:rPr>
          <w:sz w:val="24"/>
          <w:szCs w:val="24"/>
        </w:rPr>
        <w:t xml:space="preserve"> 14, 2019 from: </w:t>
      </w:r>
      <w:hyperlink r:id="rId13" w:history="1">
        <w:r w:rsidRPr="00E80346">
          <w:rPr>
            <w:rStyle w:val="Hyperlink"/>
            <w:rFonts w:cstheme="minorHAnsi"/>
            <w:sz w:val="24"/>
            <w:szCs w:val="24"/>
          </w:rPr>
          <w:t>https://neurohive.io/en/popular-networks/vgg16/</w:t>
        </w:r>
      </w:hyperlink>
    </w:p>
    <w:p w14:paraId="78615674" w14:textId="77777777" w:rsidR="009007FF" w:rsidRDefault="009007FF"/>
    <w:sectPr w:rsidR="009007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FC210" w14:textId="77777777" w:rsidR="002F0A3A" w:rsidRDefault="002F0A3A" w:rsidP="000D0829">
      <w:pPr>
        <w:spacing w:after="0" w:line="240" w:lineRule="auto"/>
      </w:pPr>
      <w:r>
        <w:separator/>
      </w:r>
    </w:p>
  </w:endnote>
  <w:endnote w:type="continuationSeparator" w:id="0">
    <w:p w14:paraId="2BE955C4" w14:textId="77777777" w:rsidR="002F0A3A" w:rsidRDefault="002F0A3A" w:rsidP="000D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FF8F5" w14:textId="77777777" w:rsidR="000D0829" w:rsidRDefault="000D08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90281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6EC006" w14:textId="4C7DF14D" w:rsidR="000D0829" w:rsidRDefault="000D082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0CF6D8" w14:textId="77777777" w:rsidR="000D0829" w:rsidRDefault="000D08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EBEE" w14:textId="77777777" w:rsidR="000D0829" w:rsidRDefault="000D0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70660" w14:textId="77777777" w:rsidR="002F0A3A" w:rsidRDefault="002F0A3A" w:rsidP="000D0829">
      <w:pPr>
        <w:spacing w:after="0" w:line="240" w:lineRule="auto"/>
      </w:pPr>
      <w:r>
        <w:separator/>
      </w:r>
    </w:p>
  </w:footnote>
  <w:footnote w:type="continuationSeparator" w:id="0">
    <w:p w14:paraId="49F597A2" w14:textId="77777777" w:rsidR="002F0A3A" w:rsidRDefault="002F0A3A" w:rsidP="000D0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33C0E" w14:textId="77777777" w:rsidR="000D0829" w:rsidRDefault="000D08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59F21" w14:textId="77777777" w:rsidR="000D0829" w:rsidRDefault="000D08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69ED" w14:textId="77777777" w:rsidR="000D0829" w:rsidRDefault="000D08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FF"/>
    <w:rsid w:val="00071068"/>
    <w:rsid w:val="000D0829"/>
    <w:rsid w:val="001D110B"/>
    <w:rsid w:val="002F0A3A"/>
    <w:rsid w:val="00350460"/>
    <w:rsid w:val="003634AE"/>
    <w:rsid w:val="0038649A"/>
    <w:rsid w:val="005705B1"/>
    <w:rsid w:val="005C3F7A"/>
    <w:rsid w:val="00645890"/>
    <w:rsid w:val="00737A02"/>
    <w:rsid w:val="00797C38"/>
    <w:rsid w:val="009007FF"/>
    <w:rsid w:val="00976C9F"/>
    <w:rsid w:val="009D1D08"/>
    <w:rsid w:val="00A55161"/>
    <w:rsid w:val="00BB24D2"/>
    <w:rsid w:val="00D22C32"/>
    <w:rsid w:val="00D65728"/>
    <w:rsid w:val="00DE0DF0"/>
    <w:rsid w:val="00EA1486"/>
    <w:rsid w:val="00EF25DA"/>
    <w:rsid w:val="00F27F36"/>
    <w:rsid w:val="00F9756C"/>
    <w:rsid w:val="00F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78BD"/>
  <w15:chartTrackingRefBased/>
  <w15:docId w15:val="{913FC242-E74E-4642-9089-3FD44352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7FF"/>
    <w:rPr>
      <w:color w:val="0000FF"/>
      <w:u w:val="single"/>
    </w:rPr>
  </w:style>
  <w:style w:type="table" w:styleId="TableGrid">
    <w:name w:val="Table Grid"/>
    <w:basedOn w:val="TableNormal"/>
    <w:uiPriority w:val="39"/>
    <w:rsid w:val="00900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4589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6C"/>
    <w:rPr>
      <w:color w:val="605E5C"/>
      <w:shd w:val="clear" w:color="auto" w:fill="E1DFDD"/>
    </w:rPr>
  </w:style>
  <w:style w:type="paragraph" w:customStyle="1" w:styleId="uiqtextpara">
    <w:name w:val="ui_qtext_para"/>
    <w:basedOn w:val="Normal"/>
    <w:rsid w:val="00BB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829"/>
  </w:style>
  <w:style w:type="paragraph" w:styleId="Footer">
    <w:name w:val="footer"/>
    <w:basedOn w:val="Normal"/>
    <w:link w:val="FooterChar"/>
    <w:uiPriority w:val="99"/>
    <w:unhideWhenUsed/>
    <w:rsid w:val="000D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eurohive.io/en/popular-networks/vgg16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neurohive.io/en/popular-networks/vgg16/" TargetMode="External"/><Relationship Id="rId12" Type="http://schemas.openxmlformats.org/officeDocument/2006/relationships/hyperlink" Target="http://ftp.cs.wisc.edu/machine-learning/shavlik-group/torrey.handbook09.pdf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keras.io/applications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www.kaggle.com/amadeus1996/fruits-360-transfer-learning-using-keras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://ftp.cs.wisc.edu/machine-learning/shavlik-group/torrey.handbook09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bennett</dc:creator>
  <cp:keywords/>
  <dc:description/>
  <cp:lastModifiedBy>melinda bennett</cp:lastModifiedBy>
  <cp:revision>22</cp:revision>
  <dcterms:created xsi:type="dcterms:W3CDTF">2019-07-14T19:19:00Z</dcterms:created>
  <dcterms:modified xsi:type="dcterms:W3CDTF">2019-07-15T00:01:00Z</dcterms:modified>
</cp:coreProperties>
</file>