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3C81" w14:textId="1622CD6E" w:rsidR="00A73B33" w:rsidRDefault="001D6936" w:rsidP="001D6936">
      <w:pPr>
        <w:spacing w:line="360" w:lineRule="auto"/>
      </w:pPr>
      <w:r>
        <w:t>Bennett Hamilton</w:t>
      </w:r>
    </w:p>
    <w:p w14:paraId="02707462" w14:textId="31E55315" w:rsidR="001D6936" w:rsidRDefault="001D6936" w:rsidP="001D6936">
      <w:pPr>
        <w:spacing w:line="360" w:lineRule="auto"/>
      </w:pPr>
      <w:r>
        <w:t>4/30/23</w:t>
      </w:r>
    </w:p>
    <w:p w14:paraId="38CCF361" w14:textId="39E7B4CA" w:rsidR="001D6936" w:rsidRDefault="001D6936" w:rsidP="001D6936">
      <w:pPr>
        <w:spacing w:line="360" w:lineRule="auto"/>
        <w:jc w:val="center"/>
      </w:pPr>
      <w:r>
        <w:t>Project 2 Report</w:t>
      </w:r>
    </w:p>
    <w:p w14:paraId="173A8FAF" w14:textId="77777777" w:rsidR="001D6936" w:rsidRDefault="001D6936" w:rsidP="001D6936">
      <w:pPr>
        <w:spacing w:line="360" w:lineRule="auto"/>
      </w:pPr>
    </w:p>
    <w:p w14:paraId="33E9FE40" w14:textId="71BBE820" w:rsidR="001D6936" w:rsidRDefault="001D6936" w:rsidP="001D6936">
      <w:pPr>
        <w:spacing w:line="360" w:lineRule="auto"/>
      </w:pPr>
      <w:r>
        <w:t xml:space="preserve">For my phenomenon/interaction I chose to incorporate a farmer entity. This farmer performs four main actions. He waters the grass when it falls below 10 inches, which is added to the overall precipitation. He cuts the </w:t>
      </w:r>
      <w:r w:rsidR="004E2049">
        <w:t>g</w:t>
      </w:r>
      <w:r>
        <w:t>rass</w:t>
      </w:r>
      <w:r w:rsidR="004E2049">
        <w:t xml:space="preserve"> when it is taller than 75 inches. </w:t>
      </w:r>
      <w:r w:rsidR="00EB2DD1">
        <w:t>He breeds more rabbits when there are less than two of them and the grass is tall. Lastly, when he has more that 15 rabbits, he sells half of them.</w:t>
      </w:r>
      <w:r w:rsidR="00895DE6">
        <w:t xml:space="preserve"> In the code I added another barrier after the computations and assignments were made so that farming only occurs after all other data is calculated. This way the farmers actions are a response to the updated environment.</w:t>
      </w:r>
    </w:p>
    <w:p w14:paraId="73A46E79" w14:textId="77777777" w:rsidR="00A97C36" w:rsidRDefault="00A97C36" w:rsidP="001D6936">
      <w:pPr>
        <w:spacing w:line="360" w:lineRule="auto"/>
      </w:pPr>
    </w:p>
    <w:p w14:paraId="79AFA9DB" w14:textId="2449D57D" w:rsidR="00EB2DD1" w:rsidRDefault="00A97C36" w:rsidP="001D6936">
      <w:pPr>
        <w:spacing w:line="360" w:lineRule="auto"/>
      </w:pPr>
      <w:r>
        <w:rPr>
          <w:noProof/>
        </w:rPr>
        <w:drawing>
          <wp:inline distT="0" distB="0" distL="0" distR="0" wp14:anchorId="3F8FE371" wp14:editId="7928098E">
            <wp:extent cx="5943600" cy="4688115"/>
            <wp:effectExtent l="0" t="0" r="12700" b="11430"/>
            <wp:docPr id="2" name="Chart 2">
              <a:extLst xmlns:a="http://schemas.openxmlformats.org/drawingml/2006/main">
                <a:ext uri="{FF2B5EF4-FFF2-40B4-BE49-F238E27FC236}">
                  <a16:creationId xmlns:a16="http://schemas.microsoft.com/office/drawing/2014/main" id="{7020DB4E-0E65-1DCE-826A-A0795C4FD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304D2E" w14:textId="1C15C68C" w:rsidR="00895DE6" w:rsidRDefault="00EB2DD1" w:rsidP="001D6936">
      <w:pPr>
        <w:spacing w:line="360" w:lineRule="auto"/>
      </w:pPr>
      <w:r w:rsidRPr="00EB2DD1">
        <w:lastRenderedPageBreak/>
        <w:drawing>
          <wp:inline distT="0" distB="0" distL="0" distR="0" wp14:anchorId="45C657BB" wp14:editId="65208689">
            <wp:extent cx="415353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535" cy="8229600"/>
                    </a:xfrm>
                    <a:prstGeom prst="rect">
                      <a:avLst/>
                    </a:prstGeom>
                  </pic:spPr>
                </pic:pic>
              </a:graphicData>
            </a:graphic>
          </wp:inline>
        </w:drawing>
      </w:r>
    </w:p>
    <w:p w14:paraId="70E5BB28" w14:textId="77777777" w:rsidR="007B184E" w:rsidRDefault="00895DE6" w:rsidP="007B184E">
      <w:pPr>
        <w:spacing w:line="360" w:lineRule="auto"/>
        <w:ind w:firstLine="720"/>
      </w:pPr>
      <w:r>
        <w:lastRenderedPageBreak/>
        <w:t xml:space="preserve">The graph depicts how different elements on this rabbit farm “ecosystem” change over time. Temperature is really the only independent factor. It follows a cosine curve reaching its top temperatures during the summer months (months 6-8, 18-20, which correspond with June, July August) and its lower temperatures in the winter month respectively. </w:t>
      </w:r>
    </w:p>
    <w:p w14:paraId="3EBACC1A" w14:textId="77777777" w:rsidR="007B184E" w:rsidRDefault="00895DE6" w:rsidP="007B184E">
      <w:pPr>
        <w:spacing w:line="360" w:lineRule="auto"/>
        <w:ind w:firstLine="720"/>
      </w:pPr>
      <w:r>
        <w:t xml:space="preserve">Precipitation is technically also an independent </w:t>
      </w:r>
      <w:r w:rsidR="00B77C23">
        <w:t>variable. H</w:t>
      </w:r>
      <w:r>
        <w:t xml:space="preserve">owever, my data includes the farmers watering when calculating precipitation. </w:t>
      </w:r>
      <w:r w:rsidR="00B77C23">
        <w:t xml:space="preserve">The precipitation level increases by 10 inches anytime the grass is less than 10 inches tall. This is most noticeable at months 1, 10, and 27 where the grass height drops below 10 inches, and the precipitation immediately spikes up 10 inches. </w:t>
      </w:r>
      <w:r w:rsidR="00C6730C">
        <w:t xml:space="preserve">Other than those instances, precipitation follows a sine curve where it has more rain in the spring months. </w:t>
      </w:r>
    </w:p>
    <w:p w14:paraId="551EC3DC" w14:textId="77777777" w:rsidR="007B184E" w:rsidRDefault="00793777" w:rsidP="007B184E">
      <w:pPr>
        <w:spacing w:line="360" w:lineRule="auto"/>
        <w:ind w:firstLine="720"/>
      </w:pPr>
      <w:r>
        <w:t>Grass height increases dramatically when temperatures and rain levels are high and rabbit population is relatively low. We can see this condition occur at months 3, 17, 40, and 63. Interestingly it appears that the grass has a pattern of spiking then dropping slightly before reaching its max height. This appears to be mostly due to the dropping precipitation aligning with increasing rabbit populations. This is most noticeable at months 3-10 and 40-47 with months 17-25 being the one outlier to this pattern. The most noticeable action of the farmer is when he cuts th</w:t>
      </w:r>
      <w:r w:rsidR="00A97C36">
        <w:t>e</w:t>
      </w:r>
      <w:r>
        <w:t xml:space="preserve"> grass. By looking at the data we can </w:t>
      </w:r>
      <w:r w:rsidR="00A97C36">
        <w:t xml:space="preserve">see that at months 11, 48, and 64 the grass surpasses 75 inches which causes the farmer to cut the grass down to 10 inches. </w:t>
      </w:r>
    </w:p>
    <w:p w14:paraId="0AFFE827" w14:textId="184CAB16" w:rsidR="00895DE6" w:rsidRDefault="00A97C36" w:rsidP="007B184E">
      <w:pPr>
        <w:spacing w:line="360" w:lineRule="auto"/>
        <w:ind w:firstLine="720"/>
      </w:pPr>
      <w:r>
        <w:t xml:space="preserve">Mowing the grass is the main event that causes the rabbit population to start to decrease which is to be expected. The other event is when the population exceeds 15 at months 26 and 48. This triggers the farmer to cut the population in half by means of selling them. We can see that at months 27 and 49 the population drops down to 7. The last action of the farmer is not very noticeable in the graph. The farmer breeds rabbits when there is fewer than two. The only indication of this is that the rabbit population never drops below two and there appears to be small increases at months 56 and 72. </w:t>
      </w:r>
    </w:p>
    <w:sectPr w:rsidR="0089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906"/>
    <w:multiLevelType w:val="multilevel"/>
    <w:tmpl w:val="23EE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32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36"/>
    <w:rsid w:val="001245B1"/>
    <w:rsid w:val="001D6936"/>
    <w:rsid w:val="004E2049"/>
    <w:rsid w:val="00793777"/>
    <w:rsid w:val="007B184E"/>
    <w:rsid w:val="00895DE6"/>
    <w:rsid w:val="00A73B33"/>
    <w:rsid w:val="00A97C36"/>
    <w:rsid w:val="00B43EAA"/>
    <w:rsid w:val="00B77C23"/>
    <w:rsid w:val="00C6730C"/>
    <w:rsid w:val="00EB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BE388"/>
  <w15:chartTrackingRefBased/>
  <w15:docId w15:val="{ACE7AEC0-D708-184B-B981-B7BA50AA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253890">
      <w:bodyDiv w:val="1"/>
      <w:marLeft w:val="0"/>
      <w:marRight w:val="0"/>
      <w:marTop w:val="0"/>
      <w:marBottom w:val="0"/>
      <w:divBdr>
        <w:top w:val="none" w:sz="0" w:space="0" w:color="auto"/>
        <w:left w:val="none" w:sz="0" w:space="0" w:color="auto"/>
        <w:bottom w:val="none" w:sz="0" w:space="0" w:color="auto"/>
        <w:right w:val="none" w:sz="0" w:space="0" w:color="auto"/>
      </w:divBdr>
    </w:div>
    <w:div w:id="1349941558">
      <w:bodyDiv w:val="1"/>
      <w:marLeft w:val="0"/>
      <w:marRight w:val="0"/>
      <w:marTop w:val="0"/>
      <w:marBottom w:val="0"/>
      <w:divBdr>
        <w:top w:val="none" w:sz="0" w:space="0" w:color="auto"/>
        <w:left w:val="none" w:sz="0" w:space="0" w:color="auto"/>
        <w:bottom w:val="none" w:sz="0" w:space="0" w:color="auto"/>
        <w:right w:val="none" w:sz="0" w:space="0" w:color="auto"/>
      </w:divBdr>
    </w:div>
    <w:div w:id="204447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ennetthamilton/Desktop/CS475/CS475_Projects/Project2/proj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Rabbit</a:t>
            </a:r>
            <a:r>
              <a:rPr lang="en-US" baseline="0"/>
              <a:t> Farm Ecosystem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proj2!$A$1</c:f>
              <c:strCache>
                <c:ptCount val="1"/>
                <c:pt idx="0">
                  <c:v>Number of Rabbits</c:v>
                </c:pt>
              </c:strCache>
            </c:strRef>
          </c:tx>
          <c:spPr>
            <a:ln w="28575" cap="rnd">
              <a:solidFill>
                <a:schemeClr val="accent4"/>
              </a:solidFill>
              <a:round/>
            </a:ln>
            <a:effectLst/>
          </c:spPr>
          <c:marker>
            <c:symbol val="none"/>
          </c:marker>
          <c:val>
            <c:numRef>
              <c:f>proj2!$A$2:$A$73</c:f>
              <c:numCache>
                <c:formatCode>General</c:formatCode>
                <c:ptCount val="72"/>
                <c:pt idx="0">
                  <c:v>2</c:v>
                </c:pt>
                <c:pt idx="1">
                  <c:v>3</c:v>
                </c:pt>
                <c:pt idx="2">
                  <c:v>2</c:v>
                </c:pt>
                <c:pt idx="3">
                  <c:v>2</c:v>
                </c:pt>
                <c:pt idx="4">
                  <c:v>3</c:v>
                </c:pt>
                <c:pt idx="5">
                  <c:v>4</c:v>
                </c:pt>
                <c:pt idx="6">
                  <c:v>5</c:v>
                </c:pt>
                <c:pt idx="7">
                  <c:v>6</c:v>
                </c:pt>
                <c:pt idx="8">
                  <c:v>7</c:v>
                </c:pt>
                <c:pt idx="9">
                  <c:v>8</c:v>
                </c:pt>
                <c:pt idx="10">
                  <c:v>9</c:v>
                </c:pt>
                <c:pt idx="11">
                  <c:v>10</c:v>
                </c:pt>
                <c:pt idx="12">
                  <c:v>9</c:v>
                </c:pt>
                <c:pt idx="13">
                  <c:v>8</c:v>
                </c:pt>
                <c:pt idx="14">
                  <c:v>7</c:v>
                </c:pt>
                <c:pt idx="15">
                  <c:v>7</c:v>
                </c:pt>
                <c:pt idx="16">
                  <c:v>6</c:v>
                </c:pt>
                <c:pt idx="17">
                  <c:v>7</c:v>
                </c:pt>
                <c:pt idx="18">
                  <c:v>8</c:v>
                </c:pt>
                <c:pt idx="19">
                  <c:v>9</c:v>
                </c:pt>
                <c:pt idx="20">
                  <c:v>10</c:v>
                </c:pt>
                <c:pt idx="21">
                  <c:v>11</c:v>
                </c:pt>
                <c:pt idx="22">
                  <c:v>12</c:v>
                </c:pt>
                <c:pt idx="23">
                  <c:v>13</c:v>
                </c:pt>
                <c:pt idx="24">
                  <c:v>14</c:v>
                </c:pt>
                <c:pt idx="25">
                  <c:v>15</c:v>
                </c:pt>
                <c:pt idx="26">
                  <c:v>7</c:v>
                </c:pt>
                <c:pt idx="27">
                  <c:v>7</c:v>
                </c:pt>
                <c:pt idx="28">
                  <c:v>8</c:v>
                </c:pt>
                <c:pt idx="29">
                  <c:v>7</c:v>
                </c:pt>
                <c:pt idx="30">
                  <c:v>7</c:v>
                </c:pt>
                <c:pt idx="31">
                  <c:v>6</c:v>
                </c:pt>
                <c:pt idx="32">
                  <c:v>5</c:v>
                </c:pt>
                <c:pt idx="33">
                  <c:v>4</c:v>
                </c:pt>
                <c:pt idx="34">
                  <c:v>3</c:v>
                </c:pt>
                <c:pt idx="35">
                  <c:v>4</c:v>
                </c:pt>
                <c:pt idx="36">
                  <c:v>5</c:v>
                </c:pt>
                <c:pt idx="37">
                  <c:v>6</c:v>
                </c:pt>
                <c:pt idx="38">
                  <c:v>7</c:v>
                </c:pt>
                <c:pt idx="39">
                  <c:v>8</c:v>
                </c:pt>
                <c:pt idx="40">
                  <c:v>9</c:v>
                </c:pt>
                <c:pt idx="41">
                  <c:v>10</c:v>
                </c:pt>
                <c:pt idx="42">
                  <c:v>11</c:v>
                </c:pt>
                <c:pt idx="43">
                  <c:v>12</c:v>
                </c:pt>
                <c:pt idx="44">
                  <c:v>13</c:v>
                </c:pt>
                <c:pt idx="45">
                  <c:v>14</c:v>
                </c:pt>
                <c:pt idx="46">
                  <c:v>15</c:v>
                </c:pt>
                <c:pt idx="47">
                  <c:v>8</c:v>
                </c:pt>
                <c:pt idx="48">
                  <c:v>8</c:v>
                </c:pt>
                <c:pt idx="49">
                  <c:v>7</c:v>
                </c:pt>
                <c:pt idx="50">
                  <c:v>6</c:v>
                </c:pt>
                <c:pt idx="51">
                  <c:v>6</c:v>
                </c:pt>
                <c:pt idx="52">
                  <c:v>5</c:v>
                </c:pt>
                <c:pt idx="53">
                  <c:v>4</c:v>
                </c:pt>
                <c:pt idx="54">
                  <c:v>3</c:v>
                </c:pt>
                <c:pt idx="55">
                  <c:v>4</c:v>
                </c:pt>
                <c:pt idx="56">
                  <c:v>3</c:v>
                </c:pt>
                <c:pt idx="57">
                  <c:v>4</c:v>
                </c:pt>
                <c:pt idx="58">
                  <c:v>5</c:v>
                </c:pt>
                <c:pt idx="59">
                  <c:v>6</c:v>
                </c:pt>
                <c:pt idx="60">
                  <c:v>7</c:v>
                </c:pt>
                <c:pt idx="61">
                  <c:v>8</c:v>
                </c:pt>
                <c:pt idx="62">
                  <c:v>9</c:v>
                </c:pt>
                <c:pt idx="63">
                  <c:v>9</c:v>
                </c:pt>
                <c:pt idx="64">
                  <c:v>10</c:v>
                </c:pt>
                <c:pt idx="65">
                  <c:v>9</c:v>
                </c:pt>
                <c:pt idx="66">
                  <c:v>9</c:v>
                </c:pt>
                <c:pt idx="67">
                  <c:v>8</c:v>
                </c:pt>
                <c:pt idx="68">
                  <c:v>7</c:v>
                </c:pt>
                <c:pt idx="69">
                  <c:v>6</c:v>
                </c:pt>
                <c:pt idx="70">
                  <c:v>5</c:v>
                </c:pt>
                <c:pt idx="71">
                  <c:v>6</c:v>
                </c:pt>
              </c:numCache>
            </c:numRef>
          </c:val>
          <c:smooth val="0"/>
          <c:extLst>
            <c:ext xmlns:c16="http://schemas.microsoft.com/office/drawing/2014/chart" uri="{C3380CC4-5D6E-409C-BE32-E72D297353CC}">
              <c16:uniqueId val="{00000000-6DD3-4B41-86B1-B2596A4F4475}"/>
            </c:ext>
          </c:extLst>
        </c:ser>
        <c:ser>
          <c:idx val="1"/>
          <c:order val="1"/>
          <c:tx>
            <c:strRef>
              <c:f>proj2!$B$1</c:f>
              <c:strCache>
                <c:ptCount val="1"/>
                <c:pt idx="0">
                  <c:v>Rye Grass Height (in)</c:v>
                </c:pt>
              </c:strCache>
            </c:strRef>
          </c:tx>
          <c:spPr>
            <a:ln w="28575" cap="rnd">
              <a:solidFill>
                <a:schemeClr val="accent6"/>
              </a:solidFill>
              <a:round/>
            </a:ln>
            <a:effectLst/>
          </c:spPr>
          <c:marker>
            <c:symbol val="none"/>
          </c:marker>
          <c:val>
            <c:numRef>
              <c:f>proj2!$B$2:$B$73</c:f>
              <c:numCache>
                <c:formatCode>General</c:formatCode>
                <c:ptCount val="72"/>
                <c:pt idx="0">
                  <c:v>4.09</c:v>
                </c:pt>
                <c:pt idx="1">
                  <c:v>2.97</c:v>
                </c:pt>
                <c:pt idx="2">
                  <c:v>5.09</c:v>
                </c:pt>
                <c:pt idx="3">
                  <c:v>32.07</c:v>
                </c:pt>
                <c:pt idx="4">
                  <c:v>61.56</c:v>
                </c:pt>
                <c:pt idx="5">
                  <c:v>58.57</c:v>
                </c:pt>
                <c:pt idx="6">
                  <c:v>58.57</c:v>
                </c:pt>
                <c:pt idx="7">
                  <c:v>53.94</c:v>
                </c:pt>
                <c:pt idx="8">
                  <c:v>56.63</c:v>
                </c:pt>
                <c:pt idx="9">
                  <c:v>75.67</c:v>
                </c:pt>
                <c:pt idx="10">
                  <c:v>11.9</c:v>
                </c:pt>
                <c:pt idx="11">
                  <c:v>3.04</c:v>
                </c:pt>
                <c:pt idx="12">
                  <c:v>0</c:v>
                </c:pt>
                <c:pt idx="13">
                  <c:v>0</c:v>
                </c:pt>
                <c:pt idx="14">
                  <c:v>0</c:v>
                </c:pt>
                <c:pt idx="15">
                  <c:v>1.71</c:v>
                </c:pt>
                <c:pt idx="16">
                  <c:v>22.99</c:v>
                </c:pt>
                <c:pt idx="17">
                  <c:v>23.88</c:v>
                </c:pt>
                <c:pt idx="18">
                  <c:v>25.6</c:v>
                </c:pt>
                <c:pt idx="19">
                  <c:v>18.71</c:v>
                </c:pt>
                <c:pt idx="20">
                  <c:v>37.69</c:v>
                </c:pt>
                <c:pt idx="21">
                  <c:v>37.69</c:v>
                </c:pt>
                <c:pt idx="22">
                  <c:v>29.37</c:v>
                </c:pt>
                <c:pt idx="23">
                  <c:v>30.84</c:v>
                </c:pt>
                <c:pt idx="24">
                  <c:v>20.97</c:v>
                </c:pt>
                <c:pt idx="25">
                  <c:v>7.85</c:v>
                </c:pt>
                <c:pt idx="26">
                  <c:v>7.66</c:v>
                </c:pt>
                <c:pt idx="27">
                  <c:v>12.17</c:v>
                </c:pt>
                <c:pt idx="28">
                  <c:v>5.96</c:v>
                </c:pt>
                <c:pt idx="29">
                  <c:v>0</c:v>
                </c:pt>
                <c:pt idx="30">
                  <c:v>0</c:v>
                </c:pt>
                <c:pt idx="31">
                  <c:v>0</c:v>
                </c:pt>
                <c:pt idx="32">
                  <c:v>1.06</c:v>
                </c:pt>
                <c:pt idx="33">
                  <c:v>1.06</c:v>
                </c:pt>
                <c:pt idx="34">
                  <c:v>10.56</c:v>
                </c:pt>
                <c:pt idx="35">
                  <c:v>15.59</c:v>
                </c:pt>
                <c:pt idx="36">
                  <c:v>15.27</c:v>
                </c:pt>
                <c:pt idx="37">
                  <c:v>16.45</c:v>
                </c:pt>
                <c:pt idx="38">
                  <c:v>35</c:v>
                </c:pt>
                <c:pt idx="39">
                  <c:v>61.35</c:v>
                </c:pt>
                <c:pt idx="40">
                  <c:v>70.790000000000006</c:v>
                </c:pt>
                <c:pt idx="41">
                  <c:v>63.29</c:v>
                </c:pt>
                <c:pt idx="42">
                  <c:v>58.45</c:v>
                </c:pt>
                <c:pt idx="43">
                  <c:v>60.77</c:v>
                </c:pt>
                <c:pt idx="44">
                  <c:v>55.94</c:v>
                </c:pt>
                <c:pt idx="45">
                  <c:v>68.34</c:v>
                </c:pt>
                <c:pt idx="46">
                  <c:v>82.18</c:v>
                </c:pt>
                <c:pt idx="47">
                  <c:v>4.83</c:v>
                </c:pt>
                <c:pt idx="48">
                  <c:v>4.5599999999999996</c:v>
                </c:pt>
                <c:pt idx="49">
                  <c:v>0</c:v>
                </c:pt>
                <c:pt idx="50">
                  <c:v>4.24</c:v>
                </c:pt>
                <c:pt idx="51">
                  <c:v>4.24</c:v>
                </c:pt>
                <c:pt idx="52">
                  <c:v>4.29</c:v>
                </c:pt>
                <c:pt idx="53">
                  <c:v>0</c:v>
                </c:pt>
                <c:pt idx="54">
                  <c:v>5.8</c:v>
                </c:pt>
                <c:pt idx="55">
                  <c:v>2.91</c:v>
                </c:pt>
                <c:pt idx="56">
                  <c:v>31.85</c:v>
                </c:pt>
                <c:pt idx="57">
                  <c:v>31.85</c:v>
                </c:pt>
                <c:pt idx="58">
                  <c:v>32.979999999999997</c:v>
                </c:pt>
                <c:pt idx="59">
                  <c:v>42.94</c:v>
                </c:pt>
                <c:pt idx="60">
                  <c:v>42.94</c:v>
                </c:pt>
                <c:pt idx="61">
                  <c:v>38.1</c:v>
                </c:pt>
                <c:pt idx="62">
                  <c:v>58.75</c:v>
                </c:pt>
                <c:pt idx="63">
                  <c:v>89.28</c:v>
                </c:pt>
                <c:pt idx="64">
                  <c:v>7.07</c:v>
                </c:pt>
                <c:pt idx="65">
                  <c:v>5.27</c:v>
                </c:pt>
                <c:pt idx="66">
                  <c:v>0</c:v>
                </c:pt>
                <c:pt idx="67">
                  <c:v>0</c:v>
                </c:pt>
                <c:pt idx="68">
                  <c:v>0</c:v>
                </c:pt>
                <c:pt idx="69">
                  <c:v>0</c:v>
                </c:pt>
                <c:pt idx="70">
                  <c:v>12.57</c:v>
                </c:pt>
                <c:pt idx="71">
                  <c:v>7.75</c:v>
                </c:pt>
              </c:numCache>
            </c:numRef>
          </c:val>
          <c:smooth val="0"/>
          <c:extLst>
            <c:ext xmlns:c16="http://schemas.microsoft.com/office/drawing/2014/chart" uri="{C3380CC4-5D6E-409C-BE32-E72D297353CC}">
              <c16:uniqueId val="{00000001-6DD3-4B41-86B1-B2596A4F4475}"/>
            </c:ext>
          </c:extLst>
        </c:ser>
        <c:ser>
          <c:idx val="2"/>
          <c:order val="2"/>
          <c:tx>
            <c:strRef>
              <c:f>proj2!$C$1</c:f>
              <c:strCache>
                <c:ptCount val="1"/>
                <c:pt idx="0">
                  <c:v>Temperature (°F)</c:v>
                </c:pt>
              </c:strCache>
            </c:strRef>
          </c:tx>
          <c:spPr>
            <a:ln w="28575" cap="rnd">
              <a:solidFill>
                <a:srgbClr val="C00000"/>
              </a:solidFill>
              <a:round/>
            </a:ln>
            <a:effectLst/>
          </c:spPr>
          <c:marker>
            <c:symbol val="none"/>
          </c:marker>
          <c:val>
            <c:numRef>
              <c:f>proj2!$C$2:$C$73</c:f>
              <c:numCache>
                <c:formatCode>General</c:formatCode>
                <c:ptCount val="72"/>
                <c:pt idx="0">
                  <c:v>35.5</c:v>
                </c:pt>
                <c:pt idx="1">
                  <c:v>43.5</c:v>
                </c:pt>
                <c:pt idx="2">
                  <c:v>46.2</c:v>
                </c:pt>
                <c:pt idx="3">
                  <c:v>64.900000000000006</c:v>
                </c:pt>
                <c:pt idx="4">
                  <c:v>64.8</c:v>
                </c:pt>
                <c:pt idx="5">
                  <c:v>88</c:v>
                </c:pt>
                <c:pt idx="6">
                  <c:v>81.099999999999994</c:v>
                </c:pt>
                <c:pt idx="7">
                  <c:v>80.8</c:v>
                </c:pt>
                <c:pt idx="8">
                  <c:v>69.900000000000006</c:v>
                </c:pt>
                <c:pt idx="9">
                  <c:v>58.8</c:v>
                </c:pt>
                <c:pt idx="10">
                  <c:v>48.6</c:v>
                </c:pt>
                <c:pt idx="11">
                  <c:v>36.6</c:v>
                </c:pt>
                <c:pt idx="12">
                  <c:v>38.200000000000003</c:v>
                </c:pt>
                <c:pt idx="13">
                  <c:v>36</c:v>
                </c:pt>
                <c:pt idx="14">
                  <c:v>45.1</c:v>
                </c:pt>
                <c:pt idx="15">
                  <c:v>72.2</c:v>
                </c:pt>
                <c:pt idx="16">
                  <c:v>65.2</c:v>
                </c:pt>
                <c:pt idx="17">
                  <c:v>73.3</c:v>
                </c:pt>
                <c:pt idx="18">
                  <c:v>72.2</c:v>
                </c:pt>
                <c:pt idx="19">
                  <c:v>78.7</c:v>
                </c:pt>
                <c:pt idx="20">
                  <c:v>58.8</c:v>
                </c:pt>
                <c:pt idx="21">
                  <c:v>54.2</c:v>
                </c:pt>
                <c:pt idx="22">
                  <c:v>44.9</c:v>
                </c:pt>
                <c:pt idx="23">
                  <c:v>50.2</c:v>
                </c:pt>
                <c:pt idx="24">
                  <c:v>44.3</c:v>
                </c:pt>
                <c:pt idx="25">
                  <c:v>40.5</c:v>
                </c:pt>
                <c:pt idx="26">
                  <c:v>46.8</c:v>
                </c:pt>
                <c:pt idx="27">
                  <c:v>71.099999999999994</c:v>
                </c:pt>
                <c:pt idx="28">
                  <c:v>79.7</c:v>
                </c:pt>
                <c:pt idx="29">
                  <c:v>79.099999999999994</c:v>
                </c:pt>
                <c:pt idx="30">
                  <c:v>81.400000000000006</c:v>
                </c:pt>
                <c:pt idx="31">
                  <c:v>80.400000000000006</c:v>
                </c:pt>
                <c:pt idx="32">
                  <c:v>71.3</c:v>
                </c:pt>
                <c:pt idx="33">
                  <c:v>62</c:v>
                </c:pt>
                <c:pt idx="34">
                  <c:v>51.4</c:v>
                </c:pt>
                <c:pt idx="35">
                  <c:v>47.4</c:v>
                </c:pt>
                <c:pt idx="36">
                  <c:v>44.8</c:v>
                </c:pt>
                <c:pt idx="37">
                  <c:v>46.6</c:v>
                </c:pt>
                <c:pt idx="38">
                  <c:v>53.2</c:v>
                </c:pt>
                <c:pt idx="39">
                  <c:v>62.8</c:v>
                </c:pt>
                <c:pt idx="40">
                  <c:v>68.900000000000006</c:v>
                </c:pt>
                <c:pt idx="41">
                  <c:v>78</c:v>
                </c:pt>
                <c:pt idx="42">
                  <c:v>73.8</c:v>
                </c:pt>
                <c:pt idx="43">
                  <c:v>69</c:v>
                </c:pt>
                <c:pt idx="44">
                  <c:v>71.3</c:v>
                </c:pt>
                <c:pt idx="45">
                  <c:v>60.3</c:v>
                </c:pt>
                <c:pt idx="46">
                  <c:v>55.8</c:v>
                </c:pt>
                <c:pt idx="47">
                  <c:v>42.7</c:v>
                </c:pt>
                <c:pt idx="48">
                  <c:v>47.4</c:v>
                </c:pt>
                <c:pt idx="49">
                  <c:v>36.6</c:v>
                </c:pt>
                <c:pt idx="50">
                  <c:v>48.8</c:v>
                </c:pt>
                <c:pt idx="51">
                  <c:v>70.599999999999994</c:v>
                </c:pt>
                <c:pt idx="52">
                  <c:v>70.3</c:v>
                </c:pt>
                <c:pt idx="53">
                  <c:v>80.5</c:v>
                </c:pt>
                <c:pt idx="54">
                  <c:v>71.599999999999994</c:v>
                </c:pt>
                <c:pt idx="55">
                  <c:v>83.3</c:v>
                </c:pt>
                <c:pt idx="56">
                  <c:v>57.9</c:v>
                </c:pt>
                <c:pt idx="57">
                  <c:v>45.4</c:v>
                </c:pt>
                <c:pt idx="58">
                  <c:v>46.3</c:v>
                </c:pt>
                <c:pt idx="59">
                  <c:v>50.5</c:v>
                </c:pt>
                <c:pt idx="60">
                  <c:v>44.3</c:v>
                </c:pt>
                <c:pt idx="61">
                  <c:v>43.1</c:v>
                </c:pt>
                <c:pt idx="62">
                  <c:v>55.4</c:v>
                </c:pt>
                <c:pt idx="63">
                  <c:v>60.8</c:v>
                </c:pt>
                <c:pt idx="64">
                  <c:v>73.599999999999994</c:v>
                </c:pt>
                <c:pt idx="65">
                  <c:v>72.599999999999994</c:v>
                </c:pt>
                <c:pt idx="66">
                  <c:v>85.6</c:v>
                </c:pt>
                <c:pt idx="67">
                  <c:v>73.7</c:v>
                </c:pt>
                <c:pt idx="68">
                  <c:v>73.2</c:v>
                </c:pt>
                <c:pt idx="69">
                  <c:v>58.5</c:v>
                </c:pt>
                <c:pt idx="70">
                  <c:v>52.3</c:v>
                </c:pt>
                <c:pt idx="71">
                  <c:v>36.9</c:v>
                </c:pt>
              </c:numCache>
            </c:numRef>
          </c:val>
          <c:smooth val="0"/>
          <c:extLst>
            <c:ext xmlns:c16="http://schemas.microsoft.com/office/drawing/2014/chart" uri="{C3380CC4-5D6E-409C-BE32-E72D297353CC}">
              <c16:uniqueId val="{00000002-6DD3-4B41-86B1-B2596A4F4475}"/>
            </c:ext>
          </c:extLst>
        </c:ser>
        <c:ser>
          <c:idx val="3"/>
          <c:order val="3"/>
          <c:tx>
            <c:strRef>
              <c:f>proj2!$D$1</c:f>
              <c:strCache>
                <c:ptCount val="1"/>
                <c:pt idx="0">
                  <c:v>Precipitation (in)</c:v>
                </c:pt>
              </c:strCache>
            </c:strRef>
          </c:tx>
          <c:spPr>
            <a:ln w="28575" cap="rnd">
              <a:solidFill>
                <a:schemeClr val="accent5"/>
              </a:solidFill>
              <a:round/>
            </a:ln>
            <a:effectLst/>
          </c:spPr>
          <c:marker>
            <c:symbol val="none"/>
          </c:marker>
          <c:val>
            <c:numRef>
              <c:f>proj2!$D$2:$D$73</c:f>
              <c:numCache>
                <c:formatCode>General</c:formatCode>
                <c:ptCount val="72"/>
                <c:pt idx="0">
                  <c:v>21.09</c:v>
                </c:pt>
                <c:pt idx="1">
                  <c:v>34.49</c:v>
                </c:pt>
                <c:pt idx="2">
                  <c:v>27.84</c:v>
                </c:pt>
                <c:pt idx="3">
                  <c:v>26.93</c:v>
                </c:pt>
                <c:pt idx="4">
                  <c:v>12.95</c:v>
                </c:pt>
                <c:pt idx="5">
                  <c:v>14.59</c:v>
                </c:pt>
                <c:pt idx="6">
                  <c:v>10.88</c:v>
                </c:pt>
                <c:pt idx="7">
                  <c:v>7.92</c:v>
                </c:pt>
                <c:pt idx="8">
                  <c:v>6.6</c:v>
                </c:pt>
                <c:pt idx="9">
                  <c:v>7.56</c:v>
                </c:pt>
                <c:pt idx="10">
                  <c:v>10.8</c:v>
                </c:pt>
                <c:pt idx="11">
                  <c:v>20.02</c:v>
                </c:pt>
                <c:pt idx="12">
                  <c:v>23.2</c:v>
                </c:pt>
                <c:pt idx="13">
                  <c:v>26.83</c:v>
                </c:pt>
                <c:pt idx="14">
                  <c:v>27.23</c:v>
                </c:pt>
                <c:pt idx="15">
                  <c:v>25.73</c:v>
                </c:pt>
                <c:pt idx="16">
                  <c:v>26.74</c:v>
                </c:pt>
                <c:pt idx="17">
                  <c:v>14.46</c:v>
                </c:pt>
                <c:pt idx="18">
                  <c:v>12.17</c:v>
                </c:pt>
                <c:pt idx="19">
                  <c:v>11.11</c:v>
                </c:pt>
                <c:pt idx="20">
                  <c:v>8.14</c:v>
                </c:pt>
                <c:pt idx="21">
                  <c:v>10.02</c:v>
                </c:pt>
                <c:pt idx="22">
                  <c:v>7.55</c:v>
                </c:pt>
                <c:pt idx="23">
                  <c:v>10.53</c:v>
                </c:pt>
                <c:pt idx="24">
                  <c:v>11.14</c:v>
                </c:pt>
                <c:pt idx="25">
                  <c:v>14.7</c:v>
                </c:pt>
                <c:pt idx="26">
                  <c:v>25.53</c:v>
                </c:pt>
                <c:pt idx="27">
                  <c:v>25.13</c:v>
                </c:pt>
                <c:pt idx="28">
                  <c:v>16.14</c:v>
                </c:pt>
                <c:pt idx="29">
                  <c:v>22.51</c:v>
                </c:pt>
                <c:pt idx="30">
                  <c:v>19.059999999999999</c:v>
                </c:pt>
                <c:pt idx="31">
                  <c:v>18.59</c:v>
                </c:pt>
                <c:pt idx="32">
                  <c:v>17.239999999999998</c:v>
                </c:pt>
                <c:pt idx="33">
                  <c:v>19.940000000000001</c:v>
                </c:pt>
                <c:pt idx="34">
                  <c:v>19.89</c:v>
                </c:pt>
                <c:pt idx="35">
                  <c:v>12.81</c:v>
                </c:pt>
                <c:pt idx="36">
                  <c:v>11.33</c:v>
                </c:pt>
                <c:pt idx="37">
                  <c:v>16.66</c:v>
                </c:pt>
                <c:pt idx="38">
                  <c:v>15.54</c:v>
                </c:pt>
                <c:pt idx="39">
                  <c:v>17.21</c:v>
                </c:pt>
                <c:pt idx="40">
                  <c:v>15.73</c:v>
                </c:pt>
                <c:pt idx="41">
                  <c:v>11.5</c:v>
                </c:pt>
                <c:pt idx="42">
                  <c:v>10.199999999999999</c:v>
                </c:pt>
                <c:pt idx="43">
                  <c:v>8.68</c:v>
                </c:pt>
                <c:pt idx="44">
                  <c:v>7.4</c:v>
                </c:pt>
                <c:pt idx="45">
                  <c:v>7.27</c:v>
                </c:pt>
                <c:pt idx="46">
                  <c:v>9.6999999999999993</c:v>
                </c:pt>
                <c:pt idx="47">
                  <c:v>21</c:v>
                </c:pt>
                <c:pt idx="48">
                  <c:v>21.83</c:v>
                </c:pt>
                <c:pt idx="49">
                  <c:v>25.75</c:v>
                </c:pt>
                <c:pt idx="50">
                  <c:v>25.04</c:v>
                </c:pt>
                <c:pt idx="51">
                  <c:v>24.72</c:v>
                </c:pt>
                <c:pt idx="52">
                  <c:v>23.07</c:v>
                </c:pt>
                <c:pt idx="53">
                  <c:v>22.7</c:v>
                </c:pt>
                <c:pt idx="54">
                  <c:v>21.71</c:v>
                </c:pt>
                <c:pt idx="55">
                  <c:v>20.74</c:v>
                </c:pt>
                <c:pt idx="56">
                  <c:v>10.130000000000001</c:v>
                </c:pt>
                <c:pt idx="57">
                  <c:v>6.73</c:v>
                </c:pt>
                <c:pt idx="58">
                  <c:v>9.74</c:v>
                </c:pt>
                <c:pt idx="59">
                  <c:v>11.28</c:v>
                </c:pt>
                <c:pt idx="60">
                  <c:v>13.74</c:v>
                </c:pt>
                <c:pt idx="61">
                  <c:v>16.489999999999998</c:v>
                </c:pt>
                <c:pt idx="62">
                  <c:v>17.53</c:v>
                </c:pt>
                <c:pt idx="63">
                  <c:v>14.7</c:v>
                </c:pt>
                <c:pt idx="64">
                  <c:v>16.05</c:v>
                </c:pt>
                <c:pt idx="65">
                  <c:v>23.09</c:v>
                </c:pt>
                <c:pt idx="66">
                  <c:v>19.22</c:v>
                </c:pt>
                <c:pt idx="67">
                  <c:v>27.34</c:v>
                </c:pt>
                <c:pt idx="68">
                  <c:v>17.309999999999999</c:v>
                </c:pt>
                <c:pt idx="69">
                  <c:v>16.399999999999999</c:v>
                </c:pt>
                <c:pt idx="70">
                  <c:v>18.14</c:v>
                </c:pt>
                <c:pt idx="71">
                  <c:v>20.93</c:v>
                </c:pt>
              </c:numCache>
            </c:numRef>
          </c:val>
          <c:smooth val="0"/>
          <c:extLst>
            <c:ext xmlns:c16="http://schemas.microsoft.com/office/drawing/2014/chart" uri="{C3380CC4-5D6E-409C-BE32-E72D297353CC}">
              <c16:uniqueId val="{00000003-6DD3-4B41-86B1-B2596A4F4475}"/>
            </c:ext>
          </c:extLst>
        </c:ser>
        <c:dLbls>
          <c:showLegendKey val="0"/>
          <c:showVal val="0"/>
          <c:showCatName val="0"/>
          <c:showSerName val="0"/>
          <c:showPercent val="0"/>
          <c:showBubbleSize val="0"/>
        </c:dLbls>
        <c:smooth val="0"/>
        <c:axId val="438146128"/>
        <c:axId val="438147856"/>
      </c:lineChart>
      <c:catAx>
        <c:axId val="43814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147856"/>
        <c:crosses val="autoZero"/>
        <c:auto val="1"/>
        <c:lblAlgn val="ctr"/>
        <c:lblOffset val="100"/>
        <c:noMultiLvlLbl val="0"/>
      </c:catAx>
      <c:valAx>
        <c:axId val="43814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14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Bennett Kade</dc:creator>
  <cp:keywords/>
  <dc:description/>
  <cp:lastModifiedBy>Hamilton, Bennett Kade</cp:lastModifiedBy>
  <cp:revision>4</cp:revision>
  <dcterms:created xsi:type="dcterms:W3CDTF">2023-04-30T20:27:00Z</dcterms:created>
  <dcterms:modified xsi:type="dcterms:W3CDTF">2023-04-30T22:22:00Z</dcterms:modified>
</cp:coreProperties>
</file>