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 Model and Time Series Analysis</w:t>
        <w:br/>
        <w:t>of Tesla (TSLA) and Disney (DIS)</w:t>
      </w:r>
    </w:p>
    <w:p>
      <w:pPr>
        <w:jc w:val="center"/>
      </w:pPr>
      <w:r>
        <w:rPr>
          <w:sz w:val="24"/>
        </w:rPr>
        <w:t>[YOUR NAME]</w:t>
      </w:r>
    </w:p>
    <w:p>
      <w:pPr>
        <w:jc w:val="center"/>
      </w:pPr>
      <w:r>
        <w:rPr>
          <w:sz w:val="24"/>
        </w:rPr>
        <w:t>[COURSE NAME / NUMBER]</w:t>
      </w:r>
    </w:p>
    <w:p>
      <w:pPr>
        <w:jc w:val="center"/>
      </w:pPr>
      <w:r>
        <w:rPr>
          <w:sz w:val="24"/>
        </w:rPr>
        <w:t>[INSTRUCTOR NAME]</w:t>
      </w:r>
    </w:p>
    <w:p>
      <w:pPr>
        <w:jc w:val="center"/>
      </w:pPr>
      <w:r>
        <w:rPr>
          <w:sz w:val="24"/>
        </w:rPr>
        <w:t>April 30, 2026</w:t>
      </w:r>
    </w:p>
    <w:p>
      <w:r>
        <w:br w:type="page"/>
      </w:r>
    </w:p>
    <w:p>
      <w:pPr>
        <w:pStyle w:val="Heading1"/>
      </w:pPr>
      <w:r>
        <w:t>1. Introduction</w:t>
      </w:r>
    </w:p>
    <w:p>
      <w:pPr>
        <w:jc w:val="both"/>
      </w:pPr>
      <w:r>
        <w:rPr>
          <w:sz w:val="22"/>
        </w:rPr>
        <w:t>This report analyzes the equity risk profiles of Tesla, Inc. (TSLA, Consumer Discretionary / Electric Vehicles) and The Walt Disney Company (DIS, Communication Services / Entertainment) over the fifteen-year period from January 3, 2011 through December 31, 2025 — 3,771 trading days of daily return data. These two stocks were selected to juxtapose a high-volatility, high-growth speculative name against a mature, asset-intensive media and entertainment conglomerate, a pairing that spans much of the systematic-risk spectrum observable among large-cap U.S. equities. TSLA began the sample period as a small-cap electric vehicle startup with minimal revenues and grew into one of the largest companies in the world by market capitalization; DIS entered the sample as an established global entertainment leader and navigated structural disruptions in linear television, the launch of the Disney+ streaming platform, and the near-complete shutdown of its theme-park business during the COVID-19 pandemic. The contrast between the two stocks — a high-beta, speculative-growth name versus a market-neutral, value-tilted conglomerate — motivates the comparative framework used throughout this analysis.</w:t>
      </w:r>
    </w:p>
    <w:p>
      <w:pPr>
        <w:jc w:val="both"/>
      </w:pPr>
      <w:r>
        <w:rPr>
          <w:sz w:val="22"/>
        </w:rPr>
        <w:t>The analysis proceeds in four stages. First, both return series are characterized using time-series methods — price and return plots, rolling 60-day statistics, Augmented Dickey-Fuller stationarity tests, and ACF/PACF analysis of raw and squared returns — to establish their statistical properties before any factor model is fit. These diagnostics confirm that prices are I(1) non-stationary while returns are I(0) stationary, validating OLS regression in return space, and reveal pronounced ARCH-type volatility clustering in both series. Second, the Capital Asset Pricing Model (CAPM) is estimated for each stock, yielding unconditional estimates of market sensitivity (beta) and risk-adjusted abnormal return (alpha). Third, the Fama-French three-factor model (FF3) is estimated, adding the SMB (Small Minus Big) and HML (High Minus Low) factors to disentangle size and value exposures from pure market risk; multicollinearity is assessed via Variance Inflation Factors and model improvement is assessed via adjusted R-squared. Fourth, rolling 252-day CAPM betas are computed to assess whether unconditional estimates are stable across the sample period, and FF3 residuals are subjected to stationarity and autocorrelation diagnostics to characterize what the linear model leaves unexplained.</w:t>
      </w:r>
    </w:p>
    <w:p>
      <w:r>
        <w:br w:type="page"/>
      </w:r>
    </w:p>
    <w:p>
      <w:pPr>
        <w:pStyle w:val="Heading1"/>
      </w:pPr>
      <w:r>
        <w:t>2. Methodology</w:t>
      </w:r>
    </w:p>
    <w:p>
      <w:pPr>
        <w:jc w:val="both"/>
      </w:pPr>
      <w:r>
        <w:rPr>
          <w:sz w:val="22"/>
        </w:rPr>
        <w:t>Daily adjusted close prices for TSLA and DIS were downloaded from Yahoo Finance for January 3, 2011 through December 31, 2025 (end date set to January 1, 2026 to include December 31, 2025, since the yfinance API end date is exclusive). Simple daily returns were computed as r_t = (P_t − P_{t−1}) / P_{t−1} using the pct_change() method, producing decimal-scale returns (e.g., 0.005 for a 0.5% gain). Fama-French three-factor data (Mkt-RF, SMB, HML) and the daily risk-free rate (RF) were sourced from the provided fda1_stock_factor_data.csv file. A critical unit-alignment step is required: the FF data is stored in percent units (e.g., 0.50 for 0.50% return), while yfinance returns are in decimal units (0.005 for 0.50%). All four FF columns were therefore divided by 100 immediately after loading. Failing to apply this conversion would inflate FF factor values by a factor of 100 relative to the dependent variable, silently biasing every alpha and beta estimate by a corresponding factor. The two datasets were inner-joined on date index and residual NaN observations were dropped, yielding a clean 3,771-observation panel spanning January 4, 2011 through December 31, 2025.</w:t>
      </w:r>
    </w:p>
    <w:p>
      <w:pPr>
        <w:jc w:val="both"/>
      </w:pPr>
      <w:r>
        <w:rPr>
          <w:sz w:val="22"/>
        </w:rPr>
        <w:t>Excess returns were computed as r_i_excess = r_i − RF for each stock. The market excess return Mkt-RF was used directly from the FF file without further subtraction of RF, since it is already expressed as an excess return. CAPM was estimated as r_i − r_f = α + β(Mkt-RF) + ε via OLS with an intercept added using sm.add_constant(); the FF3 model extended this to include SMB and HML as additional regressors. All regressions were implemented with statsmodels OLS. VIFs were computed using the variance_inflation_factor function from statsmodels with the constant included in the predictor matrix, matching the linear space in which multicollinearity affects estimates. Rolling 252-day betas were computed using the covariance-variance formulation β_t = Cov(r_i_ex, Mkt-RF; 252) / Var(Mkt-RF; 252) via pandas rolling methods. Stationarity was assessed using the Augmented Dickey-Fuller test (statsmodels adfuller) and autocorrelation structure was examined via ACF and PACF plots at 40 lags.</w:t>
      </w:r>
    </w:p>
    <w:p>
      <w:pPr>
        <w:jc w:val="both"/>
      </w:pPr>
      <w:r>
        <w:rPr>
          <w:sz w:val="22"/>
        </w:rPr>
        <w:t>A key assumption throughout is OLS linearity: the conditional expected excess return is modeled as a linear function of contemporaneous factor realizations. Given the well-documented ARCH effects confirmed by the squared-return ACF analysis, default OLS standard errors are likely downward-biased in high-volatility regimes. Heteroskedasticity-robust standard errors (HC3 or Newey-West) would be preferred for formal hypothesis testing on factor loadings; the regressions as presented use nonrobust standard errors per the course specification, and this limitation is acknowledged where it affects interpretation of significance levels.</w:t>
      </w:r>
    </w:p>
    <w:p>
      <w:r>
        <w:br w:type="page"/>
      </w:r>
    </w:p>
    <w:p>
      <w:pPr>
        <w:pStyle w:val="Heading1"/>
      </w:pPr>
      <w:r>
        <w:t>3. Results</w:t>
      </w:r>
    </w:p>
    <w:p>
      <w:pPr>
        <w:pStyle w:val="Heading2"/>
      </w:pPr>
      <w:r>
        <w:t>3.1 Time Series Characterization</w:t>
      </w:r>
    </w:p>
    <w:p>
      <w:pPr>
        <w:jc w:val="both"/>
      </w:pPr>
      <w:r>
        <w:rPr>
          <w:sz w:val="22"/>
        </w:rPr>
        <w:t>Price levels for both stocks display the hallmark of non-stationarity: both drift persistently over the sample with no fixed mean, and TSLA's price grew by several orders of magnitude from its 2011 levels near $5 to peaks above $400. ADF tests confirm the visual impression: neither price series rejects the unit-root null (TSLA: ADF = −0.496, p = 0.893; DIS: ADF = −2.053, p = 0.264), while both return series reject it with ADF statistics far below critical values and p-values of essentially zero. Returns are I(0) stationary, confirming that working in return space is appropriate and that OLS regression of returns on factor returns will not produce spurious results driven by shared stochastic trends.</w:t>
      </w:r>
    </w:p>
    <w:p>
      <w:pPr>
        <w:jc w:val="center"/>
      </w:pPr>
      <w:r>
        <w:rPr>
          <w:i/>
          <w:color w:val="AAAAAA"/>
          <w:sz w:val="22"/>
        </w:rPr>
        <w:t>[ INSERT FIGURE: Adjusted Close Prices — TSLA and DIS, Jan 2011–Dec 2025 (notebook Section 2.1) ]</w:t>
      </w:r>
    </w:p>
    <w:p>
      <w:pPr>
        <w:jc w:val="center"/>
      </w:pPr>
      <w:r>
        <w:rPr>
          <w:i/>
          <w:color w:val="AAAAAA"/>
          <w:sz w:val="22"/>
        </w:rPr>
        <w:t>[ INSERT FIGURE: Daily Simple Returns — TSLA and DIS, Jan 2011–Dec 2025 (notebook Section 2.1) ]</w:t>
      </w:r>
    </w:p>
    <w:p>
      <w:pPr>
        <w:jc w:val="center"/>
      </w:pPr>
      <w:r>
        <w:rPr>
          <w:i/>
          <w:color w:val="AAAAAA"/>
          <w:sz w:val="22"/>
        </w:rPr>
        <w:t>[ INSERT TABLE: ADF Test Results — Price Levels and Returns for TSLA and DIS (notebook Section 2.3) ]</w:t>
      </w:r>
    </w:p>
    <w:p>
      <w:pPr>
        <w:jc w:val="both"/>
      </w:pPr>
      <w:r>
        <w:rPr>
          <w:sz w:val="22"/>
        </w:rPr>
        <w:t>Rolling 60-day statistics reveal two qualitatively distinct volatility regimes. The COVID-19 shock in March 2020 produced acute spikes in both stocks: TSLA's 60-day rolling annualized volatility briefly exceeded 150%, while DIS spiked above 80% — both far above their respective pre-pandemic baselines. The spike was sudden and short-lived, reflecting indiscriminate liquidation followed by a rapid V-shaped recovery. DIS's spike was amplified by the near-simultaneous closure of its theme parks, a direct revenue disruption layered on top of the market-wide panic. The 2022 Federal Reserve rate-hiking cycle produced a qualitatively different regime: sustained elevated volatility for TSLA throughout 2022, at roughly twice its post-COVID baseline, consistent with the compression of its long-duration growth-stock valuation under rising discount rates. DIS experienced a lower level of volatility elevation in 2022 and for a shorter duration, reflecting its more near-term cash-flow profile and its lesser sensitivity to discount-rate changes relative to a long-duration growth stock.</w:t>
      </w:r>
    </w:p>
    <w:p>
      <w:pPr>
        <w:jc w:val="center"/>
      </w:pPr>
      <w:r>
        <w:rPr>
          <w:i/>
          <w:color w:val="AAAAAA"/>
          <w:sz w:val="22"/>
        </w:rPr>
        <w:t>[ INSERT FIGURE: 60-Day Rolling Mean and Annualized Volatility — TSLA and DIS (notebook Section 2.2) ]</w:t>
      </w:r>
    </w:p>
    <w:p>
      <w:pPr>
        <w:jc w:val="both"/>
      </w:pPr>
      <w:r>
        <w:rPr>
          <w:sz w:val="22"/>
        </w:rPr>
        <w:t>ACF and PACF plots of raw daily returns show at most isolated, marginally significant spikes, with all remaining autocorrelations well within 95% confidence bands — consistent with weak-form market efficiency at the daily frequency. Neither stock exhibits exploitable return autocorrelation. By contrast, ACF plots of squared returns display statistically significant, slowly decaying autocorrelation across all 40 lags for both stocks: the canonical fingerprint of volatility clustering (ARCH effects). The magnitude of returns is serially correlated even when the level and sign are not. TSLA's squared-return autocorrelations decay more slowly than DIS's, indicating more persistent volatility shocks consistent with its higher sensitivity to speculative sentiment and headline risk.</w:t>
      </w:r>
    </w:p>
    <w:p>
      <w:pPr>
        <w:jc w:val="center"/>
      </w:pPr>
      <w:r>
        <w:rPr>
          <w:i/>
          <w:color w:val="AAAAAA"/>
          <w:sz w:val="22"/>
        </w:rPr>
        <w:t>[ INSERT FIGURE: ACF and PACF of Daily Returns, 40 Lags — TSLA and DIS (notebook Section 2.4) ]</w:t>
      </w:r>
    </w:p>
    <w:p>
      <w:pPr>
        <w:jc w:val="center"/>
      </w:pPr>
      <w:r>
        <w:rPr>
          <w:i/>
          <w:color w:val="AAAAAA"/>
          <w:sz w:val="22"/>
        </w:rPr>
        <w:t>[ INSERT FIGURE: ACF of Squared Daily Returns, 40 Lags — TSLA and DIS (notebook Section 2.4) ]</w:t>
      </w:r>
    </w:p>
    <w:p>
      <w:pPr>
        <w:pStyle w:val="Heading2"/>
      </w:pPr>
      <w:r>
        <w:t>3.2 CAPM / Market Model</w:t>
      </w:r>
    </w:p>
    <w:p>
      <w:pPr>
        <w:jc w:val="both"/>
      </w:pPr>
      <w:r>
        <w:rPr>
          <w:sz w:val="22"/>
        </w:rPr>
        <w:t>The Capital Asset Pricing Model was estimated over the full 3,771-observation sample for each stock. Key results are presented in Table 1.</w:t>
      </w:r>
    </w:p>
    <w:p>
      <w:pPr>
        <w:jc w:val="center"/>
      </w:pPr>
      <w:r>
        <w:rPr>
          <w:i/>
          <w:color w:val="AAAAAA"/>
          <w:sz w:val="22"/>
        </w:rPr>
        <w:t>[ INSERT TABLE: CAPM Summary — Alpha, Beta, p-values, R-squared for TSLA and DIS (notebook Section 3.3) ]</w:t>
      </w:r>
    </w:p>
    <w:p>
      <w:pPr>
        <w:jc w:val="both"/>
      </w:pPr>
      <w:r>
        <w:rPr>
          <w:sz w:val="22"/>
        </w:rPr>
        <w:t>TSLA exhibits a market beta of 1.554, well above unity, classifying it as an aggressive stock that amplifies broad market movements: a 1% market gain is associated on average with a 1.554% TSLA gain. TSLA's alpha is statistically significant at the 5% level (α = 0.0012 per day, p = 0.015) — its realized daily returns exceeded CAPM predictions over the full sample, driven primarily by its extraordinary 2019–2021 appreciation. This alpha is a backward-looking, full-sample estimate and should not be interpreted as a signal of repeatable future outperformance. The market factor explains 23.3% of TSLA's daily return variance; the remaining 76.7% is idiosyncratic, reflecting TSLA-specific dynamics that a single broad factor cannot capture.</w:t>
      </w:r>
    </w:p>
    <w:p>
      <w:pPr>
        <w:jc w:val="both"/>
      </w:pPr>
      <w:r>
        <w:rPr>
          <w:sz w:val="22"/>
        </w:rPr>
        <w:t>DIS exhibits a market beta of 0.989, essentially exactly unity, confirming that it tracks broad market movements at a one-for-one rate. DIS's alpha is not statistically significant (α = −0.0001 per day, p = 0.622), consistent with efficient market pricing for a mature large-cap conglomerate. The CAPM explains 43.9% of DIS's daily return variance, a substantially higher fraction than TSLA's, indicating that DIS's returns are more tightly coupled to the broad market factor with proportionally less idiosyncratic noise.</w:t>
      </w:r>
    </w:p>
    <w:p>
      <w:pPr>
        <w:jc w:val="both"/>
      </w:pPr>
      <w:r>
        <w:rPr>
          <w:sz w:val="22"/>
        </w:rPr>
        <w:t>Residual diagnostics (time-series plot, histogram, Q-Q plot) reveal that both stocks' CAPM residuals violate OLS homoskedasticity: time-series plots show pronounced volatility clustering, histograms are highly leptokurtic relative to the normal distribution, and Q-Q plots display systematic fat-tail deviations at both ends. These pathologies do not bias the beta estimates but render default standard errors unreliable, particularly in high-volatility sub-periods.</w:t>
      </w:r>
    </w:p>
    <w:p>
      <w:pPr>
        <w:jc w:val="center"/>
      </w:pPr>
      <w:r>
        <w:rPr>
          <w:i/>
          <w:color w:val="AAAAAA"/>
          <w:sz w:val="22"/>
        </w:rPr>
        <w:t>[ INSERT FIGURE: CAPM Residual Diagnostics (Residuals over Time, Histogram, Q-Q Plot) — TSLA and DIS (notebook Section 3.5) ]</w:t>
      </w:r>
    </w:p>
    <w:p>
      <w:pPr>
        <w:pStyle w:val="Heading2"/>
      </w:pPr>
      <w:r>
        <w:t>3.3 Fama-French Three-Factor Model</w:t>
      </w:r>
    </w:p>
    <w:p>
      <w:pPr>
        <w:jc w:val="both"/>
      </w:pPr>
      <w:r>
        <w:rPr>
          <w:sz w:val="22"/>
        </w:rPr>
        <w:t>The Fama-French three-factor model was estimated by adding SMB and HML to the CAPM regression for each stock. Factor loadings, p-values, and goodness-of-fit statistics are presented in Tables 2–4.</w:t>
      </w:r>
    </w:p>
    <w:p>
      <w:pPr>
        <w:jc w:val="center"/>
      </w:pPr>
      <w:r>
        <w:rPr>
          <w:i/>
          <w:color w:val="AAAAAA"/>
          <w:sz w:val="22"/>
        </w:rPr>
        <w:t>[ INSERT TABLE: FF3 Factor Loadings, p-values, R-squared, Adj. R-squared — TSLA and DIS (notebook Section 4.2) ]</w:t>
      </w:r>
    </w:p>
    <w:p>
      <w:pPr>
        <w:jc w:val="center"/>
      </w:pPr>
      <w:r>
        <w:rPr>
          <w:i/>
          <w:color w:val="AAAAAA"/>
          <w:sz w:val="22"/>
        </w:rPr>
        <w:t>[ INSERT TABLE: VIF — Fama-French Factor Multicollinearity Check (notebook Section 4.4) ]</w:t>
      </w:r>
    </w:p>
    <w:p>
      <w:pPr>
        <w:jc w:val="center"/>
      </w:pPr>
      <w:r>
        <w:rPr>
          <w:i/>
          <w:color w:val="AAAAAA"/>
          <w:sz w:val="22"/>
        </w:rPr>
        <w:t>[ INSERT TABLE: CAPM vs. FF3 R-squared Comparison — TSLA and DIS (notebook Section 4.5) ]</w:t>
      </w:r>
    </w:p>
    <w:p>
      <w:pPr>
        <w:jc w:val="both"/>
      </w:pPr>
      <w:r>
        <w:rPr>
          <w:sz w:val="22"/>
        </w:rPr>
        <w:t>VIF values for all three factors are below 1.14 (Mkt-RF: 1.076, SMB: 1.139, HML: 1.074), confirming that multicollinearity is negligible and each loading reflects that factor's unique contribution to explaining excess returns.</w:t>
      </w:r>
    </w:p>
    <w:p>
      <w:pPr>
        <w:jc w:val="both"/>
      </w:pPr>
      <w:r>
        <w:rPr>
          <w:sz w:val="22"/>
        </w:rPr>
        <w:t>For TSLA, the FF3 market beta (1.448) is slightly lower than the CAPM estimate (1.555), with a portion of the loading reallocated to the SMB factor once size is controlled for. The SMB loading is positive and highly significant (+0.541, p &lt; 0.001): rather than the negative sign typical of established large-caps, TSLA's returns co-move with small-cap stocks, reflecting its genuine small/mid-cap status during the early sample years (2011–2017) and its sustained high-beta-to-risk-sentiment profile that causes it to behave more like speculative growth stocks than large-cap value incumbents regardless of market capitalization. The HML loading is strongly negative and significant (−0.909, p &lt; 0.001), the definitive signature of a growth stock priced on future earnings expectations rather than current book value. Even after three-factor adjustment, TSLA's alpha remains significant at the 1% level (0.0013/day, p = 0.009), reflecting its extraordinary realized appreciation over the full sample. FF3 R-squared rises to 27.2%, a 3.9 percentage-point improvement over CAPM that is confirmed by rising adjusted R-squared.</w:t>
      </w:r>
    </w:p>
    <w:p>
      <w:pPr>
        <w:jc w:val="both"/>
      </w:pPr>
      <w:r>
        <w:rPr>
          <w:sz w:val="22"/>
        </w:rPr>
        <w:t>For DIS, the FF3 market beta is essentially unchanged at 0.990. The SMB loading is near zero and not statistically significant (+0.046, p = 0.171), consistent with DIS's stable large-cap classification. The HML loading is positive and highly significant (+0.229, p &lt; 0.001): Disney's substantial tangible assets — theme parks, resort real estate, physical production infrastructure, and long-lived intellectual property — give it a higher book-to-market ratio than capital-light technology companies, producing the positive HML loading characteristic of value-tilted large-caps. This value characteristic distinguishes DIS sharply from TSLA's anti-value profile. FF3 R-squared rises to 45.2% (+1.3 percentage points over CAPM), driven primarily by the significant HML factor. DIS's alpha remains insignificant after three-factor adjustment (p = 0.667).</w:t>
      </w:r>
    </w:p>
    <w:p>
      <w:pPr>
        <w:jc w:val="center"/>
      </w:pPr>
      <w:r>
        <w:rPr>
          <w:i/>
          <w:color w:val="AAAAAA"/>
          <w:sz w:val="22"/>
        </w:rPr>
        <w:t>[ INSERT FIGURE: FF3 Residual Diagnostics (Residuals over Time, Histogram, Q-Q Plot) — TSLA and DIS (notebook Section 4.6) ]</w:t>
      </w:r>
    </w:p>
    <w:p>
      <w:pPr>
        <w:pStyle w:val="Heading2"/>
      </w:pPr>
      <w:r>
        <w:t>3.4 Synthesis: Rolling Beta and Residual Diagnostics</w:t>
      </w:r>
    </w:p>
    <w:p>
      <w:pPr>
        <w:jc w:val="both"/>
      </w:pPr>
      <w:r>
        <w:rPr>
          <w:sz w:val="22"/>
        </w:rPr>
        <w:t>Rolling 252-day CAPM betas were computed via the covariance-variance formulation (β_t = Cov(r_i_ex, Mkt-RF; 252) / Var(Mkt-RF; 252)), capturing how each stock's systematic market sensitivity evolved over time. The first 251 observations produce NaN values by construction and are excluded from the chart.</w:t>
      </w:r>
    </w:p>
    <w:p>
      <w:pPr>
        <w:jc w:val="center"/>
      </w:pPr>
      <w:r>
        <w:rPr>
          <w:i/>
          <w:color w:val="AAAAAA"/>
          <w:sz w:val="22"/>
        </w:rPr>
        <w:t>[ INSERT FIGURE: Rolling 252-Day CAPM Beta — TSLA and DIS with β=1 Reference Line (notebook Section 5.1) ]</w:t>
      </w:r>
    </w:p>
    <w:p>
      <w:pPr>
        <w:jc w:val="both"/>
      </w:pPr>
      <w:r>
        <w:rPr>
          <w:sz w:val="22"/>
        </w:rPr>
        <w:t>TSLA's rolling beta is highly unstable, spanning a wide range from sub-1.0 readings in the early sample to values well above 2.0 during the 2020–2021 speculative rally. The COVID-19 shock in March 2020 caused a transient spike in both stocks' rolling betas — the standard crisis-period convergence where cross-asset correlations compress and all betas temporarily migrate toward the market. The 2022 Federal Reserve rate-hiking cycle kept TSLA's beta elevated and volatile, as the compression of long-horizon earnings expectations amplified TSLA's drawdown relative to the broad market. DIS's rolling beta is considerably more stable, tracking near 1.0 for most of the sample with only transient deviations during acute stress; the two betas diverge persistently from 2020 onward, confirming that the higher full-sample TSLA beta reflects a durably different risk profile rather than a handful of outlier episodes.</w:t>
      </w:r>
    </w:p>
    <w:p>
      <w:pPr>
        <w:jc w:val="both"/>
      </w:pPr>
      <w:r>
        <w:rPr>
          <w:sz w:val="22"/>
        </w:rPr>
        <w:t>ADF tests on FF3 residuals reject the unit-root null at p ≈ 0.000 for both stocks (TSLA: ADF = −34.94; DIS: ADF = −35.82), confirming that the FF3 model produces stationary residuals as expected when stationary returns are regressed on stationary factors. No structural misspecification drives an integrated residual process.</w:t>
      </w:r>
    </w:p>
    <w:p>
      <w:pPr>
        <w:jc w:val="center"/>
      </w:pPr>
      <w:r>
        <w:rPr>
          <w:i/>
          <w:color w:val="AAAAAA"/>
          <w:sz w:val="22"/>
        </w:rPr>
        <w:t>[ INSERT TABLE: ADF Test on FF3 Residuals — TSLA and DIS (notebook Section 5.3) ]</w:t>
      </w:r>
    </w:p>
    <w:p>
      <w:pPr>
        <w:jc w:val="both"/>
      </w:pPr>
      <w:r>
        <w:rPr>
          <w:sz w:val="22"/>
        </w:rPr>
        <w:t>ACF and PACF plots of FF3 residuals in levels show at most isolated marginally significant spikes, broadly consistent with white noise: the three factors adequately capture the conditional mean structure of daily excess returns. By contrast, ACF plots of squared FF3 residuals display highly significant, slowly decaying autocorrelation across all 40 lags for both stocks — a pattern nearly identical to the squared raw return ACFs. Removing the Fama-French factors does not materially reduce volatility clustering: the factors explain conditional mean dynamics but leave conditional variance dynamics entirely unmodeled. ARCH effects are primarily idiosyncratic, pointing to GARCH-family models as the natural extension for a complete characterization of daily return risk.</w:t>
      </w:r>
    </w:p>
    <w:p>
      <w:pPr>
        <w:jc w:val="center"/>
      </w:pPr>
      <w:r>
        <w:rPr>
          <w:i/>
          <w:color w:val="AAAAAA"/>
          <w:sz w:val="22"/>
        </w:rPr>
        <w:t>[ INSERT FIGURE: ACF and PACF of FF3 Residuals, 40 Lags — TSLA and DIS (notebook Section 5.4) ]</w:t>
      </w:r>
    </w:p>
    <w:p>
      <w:pPr>
        <w:jc w:val="center"/>
      </w:pPr>
      <w:r>
        <w:rPr>
          <w:i/>
          <w:color w:val="AAAAAA"/>
          <w:sz w:val="22"/>
        </w:rPr>
        <w:t>[ INSERT FIGURE: ACF of Squared FF3 Residuals, 40 Lags — TSLA and DIS (notebook Section 5.4) ]</w:t>
      </w:r>
    </w:p>
    <w:p>
      <w:r>
        <w:br w:type="page"/>
      </w:r>
    </w:p>
    <w:p>
      <w:pPr>
        <w:pStyle w:val="Heading1"/>
      </w:pPr>
      <w:r>
        <w:t>4. Discussion</w:t>
      </w:r>
    </w:p>
    <w:p>
      <w:pPr>
        <w:pStyle w:val="Heading2"/>
      </w:pPr>
      <w:r>
        <w:t>4a. Market Sensitivity: CAPM Beta and Rolling Beta</w:t>
      </w:r>
    </w:p>
    <w:p>
      <w:pPr>
        <w:jc w:val="both"/>
      </w:pPr>
      <w:r>
        <w:rPr>
          <w:sz w:val="22"/>
        </w:rPr>
        <w:t>TSLA is unambiguously the more market-sensitive stock across every metric examined. Its full-sample CAPM beta of 1.554 is 56 percentage points above DIS's beta of 0.989, meaning TSLA amplifies a 1% market move by approximately 1.554% while DIS merely tracks it at 0.989%. The FF3 model slightly reduces TSLA's market beta to 1.448 as a portion of the sensitivity is attributed to the SMB factor, but the gap with DIS remains large (1.448 vs. 0.990). The rolling beta analysis confirms this difference and adds a temporal dimension: TSLA's rolling beta is highly unstable, spanning a wide range from below 1.0 in the early sample to well above 2.0 at peak moments, while DIS's rolling beta tracks steadily near 1.0. The practical implication is that a portfolio manager using TSLA's full-sample beta as a hedge ratio would face substantial tracking error in most sub-periods, as the realized beta at any given time may differ significantly from the long-run unconditional estimate. DIS's beta stability makes its unconditional estimate a far more reliable summary of its actual systematic risk exposure in any given period.</w:t>
      </w:r>
    </w:p>
    <w:p>
      <w:pPr>
        <w:pStyle w:val="Heading2"/>
      </w:pPr>
      <w:r>
        <w:t>4b. SMB and HML Loadings vs. Prior Expectations</w:t>
      </w:r>
    </w:p>
    <w:p>
      <w:pPr>
        <w:jc w:val="both"/>
      </w:pPr>
      <w:r>
        <w:rPr>
          <w:sz w:val="22"/>
        </w:rPr>
        <w:t>TSLA's HML loading meets prior expectations precisely: its strongly negative value (−0.909, p &lt; 0.001) confirms TSLA as a canonical growth stock, priced far above book value on expectations of future earnings growth and co-moving with other low book-to-market companies. Its SMB loading (+0.541, p &lt; 0.001), however, initially contradicts naive intuition but makes economic sense on closer examination. For much of the early sample (2011–2017), TSLA was genuinely a small/mid-cap company. Even after becoming a mega-cap, its speculative return profile — high sensitivity to risk appetite, narrative-driven trading, and retail investor participation — causes it to co-move with high-risk small-cap growth stocks rather than with the large-cap value incumbents that carry negative SMB loadings. Factor loadings measure return co-movement, not simply size classification.</w:t>
      </w:r>
    </w:p>
    <w:p>
      <w:pPr>
        <w:jc w:val="both"/>
      </w:pPr>
      <w:r>
        <w:rPr>
          <w:sz w:val="22"/>
        </w:rPr>
        <w:t>DIS's factor loadings also match expectations. Its positive and significant HML loading (+0.229, p &lt; 0.001) correctly identifies DIS as a value-tilted stock: Disney's substantial tangible assets — theme parks, resort real estate, physical production infrastructure, and long-lived intellectual property — produce a higher book-to-market ratio than capital-light technology companies, and the positive HML loading captures this value characteristic. DIS's SMB loading is near zero and insignificant (+0.046, p = 0.171), consistent with stable large-cap classification and no systematic small-cap tilt. Both stocks' factor profiles are economically coherent once the SMB anomaly for TSLA is interpreted as a return-comovement signature rather than a size misclassification.</w:t>
      </w:r>
    </w:p>
    <w:p>
      <w:pPr>
        <w:pStyle w:val="Heading2"/>
      </w:pPr>
      <w:r>
        <w:t>4c. Did FF3 Materially Improve Over CAPM?</w:t>
      </w:r>
    </w:p>
    <w:p>
      <w:pPr>
        <w:jc w:val="both"/>
      </w:pPr>
      <w:r>
        <w:rPr>
          <w:sz w:val="22"/>
        </w:rPr>
        <w:t>For both stocks, CAPM does the dominant explanatory work. The market factor alone accounts for 23.3% of TSLA's and 43.9% of DIS's daily return variance. Adding SMB and HML raises R-squared by 3.9 percentage points for TSLA (to 27.2%) and 1.3 percentage points for DIS (to 45.2%); both gains are confirmed by rising adjusted R-squared, confirming genuine incremental value rather than mechanical overfitting. In relative terms, FF3 provides a larger proportional improvement for TSLA (approximately +17% relative to CAPM R-squared) than for DIS (approximately +3%). For TSLA, both SMB and HML are significant contributors to the improvement; for DIS, the gain is driven almost entirely by the significant HML factor, while the insignificant SMB adds negligible fit. The conclusion is that CAPM captures the dominant systematic risk for both stocks, while FF3 provides meaningful but modest incremental precision — particularly for TSLA, where the size and value dimensions represent economically distinct exposures not subsumed by the market factor.</w:t>
      </w:r>
    </w:p>
    <w:p>
      <w:pPr>
        <w:pStyle w:val="Heading2"/>
      </w:pPr>
      <w:r>
        <w:t>4d. Are FF3 Residuals Close to White Noise?</w:t>
      </w:r>
    </w:p>
    <w:p>
      <w:pPr>
        <w:jc w:val="both"/>
      </w:pPr>
      <w:r>
        <w:rPr>
          <w:sz w:val="22"/>
        </w:rPr>
        <w:t>In levels, the FF3 residuals are broadly consistent with white noise: ACF and PACF plots show at most isolated marginally significant spikes, and ADF tests confirm stationarity with p ≈ 0.000 for both stocks. The linear factor model adequately captures the conditional mean structure of daily excess returns, and there is no evidence of systematic residual autocorrelation in levels. In variance, however, significant structure remains: ACF plots of squared FF3 residuals display highly significant, slowly decaying autocorrelation across all 40 lags for both TSLA and DIS — a pattern nearly identical in character to the squared raw return ACFs from the time-series characterization section. Removing the three Fama-French factors does not materially reduce volatility clustering: the factors explain conditional mean return dynamics but leave conditional variance dynamics entirely unmodeled. ARCH effects are primarily idiosyncratic rather than factor-driven. The practical implication is that FF3 is a good model for the conditional mean of daily returns but a poor model for conditional risk, requiring GARCH-family extensions for accurate characterization of time-varying uncertainty.</w:t>
      </w:r>
    </w:p>
    <w:p>
      <w:pPr>
        <w:pStyle w:val="Heading2"/>
      </w:pPr>
      <w:r>
        <w:t>4e. Did Rolling Beta Change Meaningfully Over Time?</w:t>
      </w:r>
    </w:p>
    <w:p>
      <w:pPr>
        <w:jc w:val="both"/>
      </w:pPr>
      <w:r>
        <w:rPr>
          <w:sz w:val="22"/>
        </w:rPr>
        <w:t>For TSLA, rolling beta changed dramatically over the sample period, with distinct regime-linked patterns. In the early years (2011–2013), TSLA was a small-cap startup with modest market correlation and relatively moderate rolling beta. Beta rose through the 2013–2014 retail enthusiasm period following the Model S commercial launch. The COVID-19 shock in March 2020 caused a sharp transient spike in both stocks' rolling betas — the standard crisis-period effect where diversification disappears, cross-asset correlations converge, and all risky assets become temporarily more correlated with the market. The 2020–2021 speculative growth rally, fueled by near-zero interest rates and retail participation, pushed TSLA's rolling beta to some of its highest realized values as high-multiple assets moved in concert. The 2022 Federal Reserve rate-hiking cycle then kept TSLA's beta elevated and volatile as rate sensitivity drove outsized negative returns relative to the broad market. For DIS, rolling beta evolved far less dramatically, remaining near 1.0 for most of the sample; the March 2020 COVID spike represents the single most notable deviation, amplified by the real-time closure of its theme parks on top of the market-wide dislocation. The two stocks' rolling betas diverge persistently from 2020 onward, reflecting their fundamentally different sensitivities to the monetary policy and sentiment regime that defined the post-pandemic period.</w:t>
      </w:r>
    </w:p>
    <w:p>
      <w:pPr>
        <w:pStyle w:val="Heading2"/>
      </w:pPr>
      <w:r>
        <w:t>4f. Limitations of Full-Sample Linear Models</w:t>
      </w:r>
    </w:p>
    <w:p>
      <w:pPr>
        <w:jc w:val="both"/>
      </w:pPr>
      <w:r>
        <w:rPr>
          <w:sz w:val="22"/>
        </w:rPr>
        <w:t>Full-sample linear factor models face two core limitations when applied to daily equity data over long horizons with shifting market regimes. First, the unconditional beta assumes parameter stability: a single coefficient estimated over 15 years implicitly treats TSLA's beta in 2011 (when it was a small-cap startup) as equivalent to its beta in 2024 (when it was a mega-cap growth stock in the top 10 of the S&amp;P 500). The rolling beta analysis demonstrates that this assumption is materially false for TSLA — the full-sample beta of 1.554 is an average over a highly variable time-series of instantaneous betas, masking substantial regime-dependent variation. For DIS, the stability assumption is closer to valid, but even there the COVID episode demonstrates that transient beta instability can arise during systemic market stress. Investors and risk managers who use full-sample CAPM/FF3 betas as forward-looking estimates implicitly assume that the past distribution of market regimes will persist, an assumption that is frequently violated at precisely the moments when accurate risk estimates are most consequential.</w:t>
      </w:r>
    </w:p>
    <w:p>
      <w:pPr>
        <w:jc w:val="both"/>
      </w:pPr>
      <w:r>
        <w:rPr>
          <w:sz w:val="22"/>
        </w:rPr>
        <w:t>Second, linear factor models explain conditional mean returns but not conditional variance. The persistent ARCH effects in FF3 residuals for both stocks confirm that the variance of idiosyncratic returns follows a dynamic process — volatility clusters, and the clustering is unrelated to the Fama-French factors. OLS standard errors estimated under the homoskedasticity assumption are invalid in high-volatility regimes: they understate parameter uncertainty in periods like March 2020 and overstate it in calm periods. As descriptive tools applied to historical data, CAPM and FF3 perform well — they identify economically meaningful and statistically robust differences in risk exposure between TSLA and DIS. As forecasting tools, they are more limited: the betas they estimate are conditional on the historical sample distribution of market regimes, and structural changes in the composition or investor base of a stock can render those estimates stale. A complete risk model for either stock would require either time-varying-parameter betas (e.g., Kalman filter or rolling regression) or GARCH-family extensions to characterize the time-varying conditional variance that static linear models leave behind.</w:t>
      </w:r>
    </w:p>
    <w:p>
      <w:r>
        <w:br w:type="page"/>
      </w:r>
    </w:p>
    <w:p>
      <w:pPr>
        <w:pStyle w:val="Heading1"/>
      </w:pPr>
      <w:r>
        <w:t>5. Conclusion</w:t>
      </w:r>
    </w:p>
    <w:p>
      <w:pPr>
        <w:jc w:val="both"/>
      </w:pPr>
      <w:r>
        <w:rPr>
          <w:sz w:val="22"/>
        </w:rPr>
        <w:t>This analysis characterized the systematic risk profiles of Tesla (TSLA) and Disney (DIS) over the January 2011 – December 2025 period using CAPM, the Fama-French three-factor model, and supporting time-series diagnostics. The two stocks occupy sharply different positions on the risk spectrum: TSLA is a high-beta, speculative-growth stock with a strongly negative HML loading, positive SMB loading reflecting its small-cap origins and speculative return co-movement, highly unstable rolling beta, and statistically significant positive alpha that reflects its extraordinary realized appreciation over the full sample period; DIS is a market-neutral, value-tilted large-cap conglomerate with a stable near-unity beta, positive HML exposure rooted in its tangible asset holdings, and no detectable alpha after three-factor adjustment. Both stocks exhibit persistent ARCH-type volatility clustering in their FF3 residuals, confirming that the three-factor linear model fully characterizes the mean structure of daily excess returns but leaves conditional variance dynamics unmodeled — a structural limitation that motivates GARCH-family extensions for any application requiring accurate time-varying risk characterization. Together, TSLA and DIS illustrate how the Fama-French framework captures economically meaningful cross-sectional differences in risk exposure while also exposing the fundamental boundary of what static linear models can describe about the dynamic behavior of daily equity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