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4E61E0" w14:textId="3E36D3DF" w:rsidR="008178F8" w:rsidRDefault="00723DA5">
      <w:r>
        <w:t>Sector Business Cycle Analysis</w:t>
      </w:r>
    </w:p>
    <w:p w14:paraId="35D3CDFE" w14:textId="77777777" w:rsidR="00723DA5" w:rsidRDefault="00723DA5"/>
    <w:p w14:paraId="20BA5828" w14:textId="6BD47424" w:rsidR="00723DA5" w:rsidRDefault="000657D4">
      <w:hyperlink r:id="rId5" w:history="1">
        <w:r w:rsidRPr="00633F76">
          <w:rPr>
            <w:rStyle w:val="Hyperlink"/>
          </w:rPr>
          <w:t>https://www.ssga.com/library-content/prod</w:t>
        </w:r>
        <w:r w:rsidRPr="00633F76">
          <w:rPr>
            <w:rStyle w:val="Hyperlink"/>
          </w:rPr>
          <w:t>u</w:t>
        </w:r>
        <w:r w:rsidRPr="00633F76">
          <w:rPr>
            <w:rStyle w:val="Hyperlink"/>
          </w:rPr>
          <w:t>cts/fund-docs/etfs/us/insights-investment-ideas/sector-business-cycle-analysis.pdf</w:t>
        </w:r>
      </w:hyperlink>
      <w:r>
        <w:t xml:space="preserve"> </w:t>
      </w:r>
    </w:p>
    <w:p w14:paraId="19DB30E1" w14:textId="77777777" w:rsidR="00723DA5" w:rsidRDefault="00723DA5"/>
    <w:p w14:paraId="4D8AC818" w14:textId="17506BA1" w:rsidR="00723DA5" w:rsidRDefault="00723DA5">
      <w:r>
        <w:t xml:space="preserve">This piece was written by someone with a CFA as the head of SPDR Americas Research, Matthew Bartolini, alongside Senior Research Strategist </w:t>
      </w:r>
      <w:proofErr w:type="spellStart"/>
      <w:r>
        <w:t>Anqi</w:t>
      </w:r>
      <w:proofErr w:type="spellEnd"/>
      <w:r>
        <w:t xml:space="preserve"> Dong who holds a CFA and CAIA.</w:t>
      </w:r>
    </w:p>
    <w:p w14:paraId="718039F8" w14:textId="77777777" w:rsidR="00723DA5" w:rsidRDefault="00723DA5"/>
    <w:p w14:paraId="3A4CF1F2" w14:textId="5AC43F5B" w:rsidR="00723DA5" w:rsidRDefault="00723DA5">
      <w:r>
        <w:t>The following approaches can be used to find winners and losers of different sectors</w:t>
      </w:r>
    </w:p>
    <w:p w14:paraId="0C724DD7" w14:textId="0A476635" w:rsidR="00723DA5" w:rsidRDefault="00723DA5" w:rsidP="00723DA5">
      <w:pPr>
        <w:pStyle w:val="ListParagraph"/>
        <w:numPr>
          <w:ilvl w:val="0"/>
          <w:numId w:val="1"/>
        </w:numPr>
      </w:pPr>
      <w:r>
        <w:t>Price momentum strategies</w:t>
      </w:r>
    </w:p>
    <w:p w14:paraId="05C3E56E" w14:textId="5599C9E2" w:rsidR="00723DA5" w:rsidRDefault="00723DA5" w:rsidP="00723DA5">
      <w:pPr>
        <w:pStyle w:val="ListParagraph"/>
        <w:numPr>
          <w:ilvl w:val="0"/>
          <w:numId w:val="1"/>
        </w:numPr>
      </w:pPr>
      <w:proofErr w:type="gramStart"/>
      <w:r>
        <w:t>Top down</w:t>
      </w:r>
      <w:proofErr w:type="gramEnd"/>
      <w:r>
        <w:t xml:space="preserve"> approaches (based on macroeconomic indicators)</w:t>
      </w:r>
    </w:p>
    <w:p w14:paraId="24AD2ABA" w14:textId="2625B1E8" w:rsidR="00723DA5" w:rsidRDefault="00723DA5" w:rsidP="00723DA5">
      <w:pPr>
        <w:pStyle w:val="ListParagraph"/>
        <w:numPr>
          <w:ilvl w:val="0"/>
          <w:numId w:val="1"/>
        </w:numPr>
      </w:pPr>
      <w:proofErr w:type="gramStart"/>
      <w:r>
        <w:t>Bottom up</w:t>
      </w:r>
      <w:proofErr w:type="gramEnd"/>
      <w:r>
        <w:t xml:space="preserve"> approaches to improve fundamentals</w:t>
      </w:r>
    </w:p>
    <w:p w14:paraId="613F6B24" w14:textId="65579DFB" w:rsidR="00723DA5" w:rsidRDefault="00723DA5" w:rsidP="00723DA5">
      <w:pPr>
        <w:pStyle w:val="ListParagraph"/>
        <w:numPr>
          <w:ilvl w:val="0"/>
          <w:numId w:val="1"/>
        </w:numPr>
      </w:pPr>
      <w:r>
        <w:t xml:space="preserve">Business cycle analysis </w:t>
      </w:r>
    </w:p>
    <w:p w14:paraId="61A2CB1A" w14:textId="77777777" w:rsidR="00723DA5" w:rsidRDefault="00723DA5" w:rsidP="00723DA5"/>
    <w:p w14:paraId="0E38C41A" w14:textId="1F09B69E" w:rsidR="00723DA5" w:rsidRDefault="00723DA5" w:rsidP="00723DA5">
      <w:r>
        <w:t>Used the Conference Board Leading Economic Indicator Index to segregate business cycles from 1960 to 2018.</w:t>
      </w:r>
    </w:p>
    <w:p w14:paraId="36C4CDF2" w14:textId="77777777" w:rsidR="00723DA5" w:rsidRDefault="00723DA5" w:rsidP="00723DA5"/>
    <w:p w14:paraId="0494E2A5" w14:textId="722A4EFF" w:rsidR="00723DA5" w:rsidRDefault="00723DA5" w:rsidP="00723DA5">
      <w:r>
        <w:rPr>
          <w:noProof/>
        </w:rPr>
        <w:drawing>
          <wp:inline distT="0" distB="0" distL="0" distR="0" wp14:anchorId="5C25790E" wp14:editId="52750216">
            <wp:extent cx="5731510" cy="2172335"/>
            <wp:effectExtent l="0" t="0" r="0" b="0"/>
            <wp:docPr id="834343181" name="Picture 2" descr="A graph showing the growth of the stock mark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343181" name="Picture 2" descr="A graph showing the growth of the stock marke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9CD05" w14:textId="5EB6DD77" w:rsidR="00723DA5" w:rsidRDefault="00723DA5" w:rsidP="00723DA5">
      <w:r>
        <w:t xml:space="preserve">Using LEI change from year </w:t>
      </w:r>
      <w:proofErr w:type="spellStart"/>
      <w:r>
        <w:t>ot</w:t>
      </w:r>
      <w:proofErr w:type="spellEnd"/>
      <w:r>
        <w:t xml:space="preserve"> year to get an understanding of macroeconomic time periods</w:t>
      </w:r>
    </w:p>
    <w:p w14:paraId="76E5FD42" w14:textId="77777777" w:rsidR="00723DA5" w:rsidRDefault="00723DA5" w:rsidP="00723DA5"/>
    <w:p w14:paraId="7F056F0E" w14:textId="0F264542" w:rsidR="00723DA5" w:rsidRDefault="00723DA5" w:rsidP="00723DA5">
      <w:r>
        <w:t>Using the Global Industry Classification Standard (GICS) since 1989 to get a comprehensive account of sector performance.</w:t>
      </w:r>
    </w:p>
    <w:p w14:paraId="6DCB7B09" w14:textId="77777777" w:rsidR="00723DA5" w:rsidRDefault="00723DA5" w:rsidP="00723DA5"/>
    <w:p w14:paraId="40580728" w14:textId="2AF75C6B" w:rsidR="00723DA5" w:rsidRDefault="00723DA5" w:rsidP="00723DA5">
      <w:r>
        <w:t>Uses the following parameters</w:t>
      </w:r>
    </w:p>
    <w:p w14:paraId="395EBB71" w14:textId="5367FB0C" w:rsidR="00723DA5" w:rsidRDefault="00723DA5" w:rsidP="00723DA5">
      <w:pPr>
        <w:pStyle w:val="ListParagraph"/>
        <w:numPr>
          <w:ilvl w:val="0"/>
          <w:numId w:val="2"/>
        </w:numPr>
      </w:pPr>
      <w:r>
        <w:t>Average monthly sector return</w:t>
      </w:r>
    </w:p>
    <w:p w14:paraId="22DE0D1D" w14:textId="63D2243A" w:rsidR="00723DA5" w:rsidRDefault="00723DA5" w:rsidP="00723DA5">
      <w:pPr>
        <w:pStyle w:val="ListParagraph"/>
        <w:numPr>
          <w:ilvl w:val="0"/>
          <w:numId w:val="2"/>
        </w:numPr>
      </w:pPr>
      <w:r>
        <w:t>Average monthly sector excess return over the broad market</w:t>
      </w:r>
    </w:p>
    <w:p w14:paraId="094431F4" w14:textId="52C48392" w:rsidR="00723DA5" w:rsidRDefault="00723DA5" w:rsidP="00723DA5">
      <w:pPr>
        <w:pStyle w:val="ListParagraph"/>
        <w:numPr>
          <w:ilvl w:val="0"/>
          <w:numId w:val="2"/>
        </w:numPr>
      </w:pPr>
      <w:r>
        <w:t>Average return of the sector over each business cycle</w:t>
      </w:r>
    </w:p>
    <w:p w14:paraId="6F32D656" w14:textId="34C0F2CE" w:rsidR="00723DA5" w:rsidRDefault="00723DA5" w:rsidP="00723DA5">
      <w:pPr>
        <w:pStyle w:val="ListParagraph"/>
        <w:numPr>
          <w:ilvl w:val="0"/>
          <w:numId w:val="2"/>
        </w:numPr>
      </w:pPr>
      <w:r>
        <w:t>Average excess return of the sector over each business cycle</w:t>
      </w:r>
    </w:p>
    <w:p w14:paraId="5F2B0A70" w14:textId="3FDDE9BE" w:rsidR="00723DA5" w:rsidRDefault="00723DA5" w:rsidP="00723DA5">
      <w:pPr>
        <w:pStyle w:val="ListParagraph"/>
        <w:numPr>
          <w:ilvl w:val="0"/>
          <w:numId w:val="2"/>
        </w:numPr>
      </w:pPr>
      <w:r>
        <w:t>Percentage of months when the sector outperformed the broader market</w:t>
      </w:r>
    </w:p>
    <w:p w14:paraId="6EA8D36B" w14:textId="16A9318F" w:rsidR="00723DA5" w:rsidRDefault="00723DA5" w:rsidP="00723DA5">
      <w:pPr>
        <w:pStyle w:val="ListParagraph"/>
        <w:numPr>
          <w:ilvl w:val="0"/>
          <w:numId w:val="2"/>
        </w:numPr>
      </w:pPr>
      <w:r>
        <w:t>Percentage of cycles when the sector outperformed the broader market</w:t>
      </w:r>
    </w:p>
    <w:p w14:paraId="49A46652" w14:textId="77777777" w:rsidR="00723DA5" w:rsidRDefault="00723DA5" w:rsidP="00723DA5"/>
    <w:p w14:paraId="2D7F65FD" w14:textId="2B928E01" w:rsidR="00723DA5" w:rsidRDefault="00723DA5" w:rsidP="00723DA5">
      <w:r>
        <w:t>Then create z-scores to standardize.</w:t>
      </w:r>
      <w:r w:rsidR="00A171C6">
        <w:t xml:space="preserve"> The find the top 3 and bottom 3 sectors for a business </w:t>
      </w:r>
      <w:proofErr w:type="gramStart"/>
      <w:r w:rsidR="00A171C6">
        <w:t>cycles</w:t>
      </w:r>
      <w:proofErr w:type="gramEnd"/>
      <w:r w:rsidR="00A171C6">
        <w:t>.</w:t>
      </w:r>
    </w:p>
    <w:p w14:paraId="56C75ABA" w14:textId="77777777" w:rsidR="00A171C6" w:rsidRDefault="00A171C6" w:rsidP="00723DA5"/>
    <w:p w14:paraId="79304578" w14:textId="1273C204" w:rsidR="00A171C6" w:rsidRDefault="00A171C6" w:rsidP="00723DA5">
      <w:r>
        <w:rPr>
          <w:b/>
          <w:bCs/>
        </w:rPr>
        <w:lastRenderedPageBreak/>
        <w:t>Recession</w:t>
      </w:r>
    </w:p>
    <w:p w14:paraId="1D303EAF" w14:textId="4C96237F" w:rsidR="00A171C6" w:rsidRDefault="00A171C6" w:rsidP="00723DA5">
      <w:pPr>
        <w:rPr>
          <w:color w:val="00B050"/>
        </w:rPr>
      </w:pPr>
      <w:r w:rsidRPr="00A171C6">
        <w:rPr>
          <w:color w:val="00B050"/>
        </w:rPr>
        <w:t>Consumer staples, utilities and healthcare</w:t>
      </w:r>
    </w:p>
    <w:p w14:paraId="6E835DEE" w14:textId="67C2B00E" w:rsidR="00A171C6" w:rsidRDefault="00A171C6" w:rsidP="00723DA5">
      <w:pPr>
        <w:rPr>
          <w:color w:val="FF0000"/>
        </w:rPr>
      </w:pPr>
      <w:r w:rsidRPr="00A171C6">
        <w:rPr>
          <w:color w:val="FF0000"/>
        </w:rPr>
        <w:t>Real Estate and Technology</w:t>
      </w:r>
    </w:p>
    <w:p w14:paraId="21732BD9" w14:textId="77777777" w:rsidR="00A171C6" w:rsidRDefault="00A171C6" w:rsidP="00723DA5">
      <w:pPr>
        <w:rPr>
          <w:color w:val="FF0000"/>
        </w:rPr>
      </w:pPr>
    </w:p>
    <w:p w14:paraId="1403F534" w14:textId="6CDF9E3F" w:rsidR="00A171C6" w:rsidRDefault="00A171C6" w:rsidP="00723DA5">
      <w:pPr>
        <w:rPr>
          <w:b/>
          <w:bCs/>
          <w:color w:val="000000" w:themeColor="text1"/>
        </w:rPr>
      </w:pPr>
      <w:r w:rsidRPr="00A171C6">
        <w:rPr>
          <w:b/>
          <w:bCs/>
          <w:color w:val="000000" w:themeColor="text1"/>
        </w:rPr>
        <w:t>Recovery</w:t>
      </w:r>
    </w:p>
    <w:p w14:paraId="1BD18191" w14:textId="7E7E0B4E" w:rsidR="00A171C6" w:rsidRPr="00A171C6" w:rsidRDefault="00A171C6" w:rsidP="00723DA5">
      <w:pPr>
        <w:rPr>
          <w:color w:val="00B050"/>
        </w:rPr>
      </w:pPr>
      <w:r w:rsidRPr="00A171C6">
        <w:rPr>
          <w:color w:val="00B050"/>
        </w:rPr>
        <w:t>Consumer Discretionary, real estate</w:t>
      </w:r>
    </w:p>
    <w:p w14:paraId="2E18F7DE" w14:textId="7A28AC0E" w:rsidR="00A171C6" w:rsidRDefault="00A171C6" w:rsidP="00723DA5">
      <w:pPr>
        <w:rPr>
          <w:color w:val="FF0000"/>
        </w:rPr>
      </w:pPr>
      <w:r w:rsidRPr="00A171C6">
        <w:rPr>
          <w:color w:val="FF0000"/>
        </w:rPr>
        <w:t>Consumer staples utilities and healthcare</w:t>
      </w:r>
    </w:p>
    <w:p w14:paraId="55A8000C" w14:textId="77777777" w:rsidR="00A171C6" w:rsidRDefault="00A171C6" w:rsidP="00723DA5">
      <w:pPr>
        <w:rPr>
          <w:color w:val="FF0000"/>
        </w:rPr>
      </w:pPr>
    </w:p>
    <w:p w14:paraId="647A09A1" w14:textId="6B8B447F" w:rsidR="00A171C6" w:rsidRPr="00A171C6" w:rsidRDefault="00A171C6" w:rsidP="00723DA5">
      <w:pPr>
        <w:rPr>
          <w:b/>
          <w:bCs/>
          <w:color w:val="000000" w:themeColor="text1"/>
        </w:rPr>
      </w:pPr>
      <w:r w:rsidRPr="00A171C6">
        <w:rPr>
          <w:b/>
          <w:bCs/>
          <w:color w:val="000000" w:themeColor="text1"/>
        </w:rPr>
        <w:t>Expansion</w:t>
      </w:r>
    </w:p>
    <w:p w14:paraId="40A501B1" w14:textId="3BE7B989" w:rsidR="00A171C6" w:rsidRDefault="00A171C6" w:rsidP="00723DA5">
      <w:pPr>
        <w:rPr>
          <w:color w:val="00B050"/>
        </w:rPr>
      </w:pPr>
      <w:r w:rsidRPr="00A171C6">
        <w:rPr>
          <w:color w:val="00B050"/>
        </w:rPr>
        <w:t>Technology, Financials</w:t>
      </w:r>
    </w:p>
    <w:p w14:paraId="42252449" w14:textId="0B7396EF" w:rsidR="00A171C6" w:rsidRDefault="00A171C6" w:rsidP="00723DA5">
      <w:pPr>
        <w:rPr>
          <w:color w:val="FF0000"/>
        </w:rPr>
      </w:pPr>
      <w:r w:rsidRPr="00A171C6">
        <w:rPr>
          <w:color w:val="FF0000"/>
        </w:rPr>
        <w:t>Healthcare, consumer staples, utilities</w:t>
      </w:r>
    </w:p>
    <w:p w14:paraId="6EFCBC8E" w14:textId="77777777" w:rsidR="00A171C6" w:rsidRDefault="00A171C6" w:rsidP="00723DA5">
      <w:pPr>
        <w:rPr>
          <w:color w:val="FF0000"/>
        </w:rPr>
      </w:pPr>
    </w:p>
    <w:p w14:paraId="077F3685" w14:textId="0CDAC1C1" w:rsidR="00A171C6" w:rsidRPr="00A171C6" w:rsidRDefault="00A171C6" w:rsidP="00723DA5">
      <w:pPr>
        <w:rPr>
          <w:b/>
          <w:bCs/>
          <w:color w:val="000000" w:themeColor="text1"/>
        </w:rPr>
      </w:pPr>
      <w:r w:rsidRPr="00A171C6">
        <w:rPr>
          <w:b/>
          <w:bCs/>
          <w:color w:val="000000" w:themeColor="text1"/>
        </w:rPr>
        <w:t>Slowdown</w:t>
      </w:r>
    </w:p>
    <w:p w14:paraId="3EF534B3" w14:textId="372A4A13" w:rsidR="00A171C6" w:rsidRPr="00A171C6" w:rsidRDefault="00A171C6" w:rsidP="00723DA5">
      <w:pPr>
        <w:rPr>
          <w:color w:val="4EA72E" w:themeColor="accent6"/>
        </w:rPr>
      </w:pPr>
      <w:r w:rsidRPr="00A171C6">
        <w:rPr>
          <w:color w:val="4EA72E" w:themeColor="accent6"/>
        </w:rPr>
        <w:t>Healthcare Consumer Staples</w:t>
      </w:r>
    </w:p>
    <w:p w14:paraId="7F98774D" w14:textId="69B2616A" w:rsidR="00A171C6" w:rsidRDefault="00A171C6" w:rsidP="00723DA5">
      <w:pPr>
        <w:rPr>
          <w:color w:val="FF0000"/>
        </w:rPr>
      </w:pPr>
      <w:r w:rsidRPr="00A171C6">
        <w:rPr>
          <w:color w:val="FF0000"/>
        </w:rPr>
        <w:t>Consumer Discretionary, Real Estate, Industrials</w:t>
      </w:r>
    </w:p>
    <w:p w14:paraId="647234E1" w14:textId="77777777" w:rsidR="00A171C6" w:rsidRDefault="00A171C6" w:rsidP="00723DA5">
      <w:pPr>
        <w:rPr>
          <w:color w:val="FF0000"/>
        </w:rPr>
      </w:pPr>
    </w:p>
    <w:p w14:paraId="5E914136" w14:textId="421A4196" w:rsidR="00A171C6" w:rsidRPr="00A171C6" w:rsidRDefault="00A171C6" w:rsidP="00723DA5">
      <w:pPr>
        <w:rPr>
          <w:b/>
          <w:bCs/>
          <w:color w:val="000000" w:themeColor="text1"/>
        </w:rPr>
      </w:pPr>
      <w:r w:rsidRPr="00A171C6">
        <w:rPr>
          <w:b/>
          <w:bCs/>
          <w:color w:val="000000" w:themeColor="text1"/>
        </w:rPr>
        <w:t>Less Volatile</w:t>
      </w:r>
    </w:p>
    <w:p w14:paraId="618EC1F7" w14:textId="2A8AC3B2" w:rsidR="00A171C6" w:rsidRDefault="00A171C6" w:rsidP="00723DA5">
      <w:pPr>
        <w:rPr>
          <w:color w:val="000000" w:themeColor="text1"/>
        </w:rPr>
      </w:pPr>
      <w:r>
        <w:rPr>
          <w:color w:val="000000" w:themeColor="text1"/>
        </w:rPr>
        <w:t>Energy,</w:t>
      </w:r>
      <w:r>
        <w:rPr>
          <w:b/>
          <w:bCs/>
          <w:color w:val="000000" w:themeColor="text1"/>
        </w:rPr>
        <w:t xml:space="preserve"> </w:t>
      </w:r>
      <w:r>
        <w:rPr>
          <w:color w:val="000000" w:themeColor="text1"/>
        </w:rPr>
        <w:t>materials</w:t>
      </w:r>
    </w:p>
    <w:p w14:paraId="7783EA30" w14:textId="77777777" w:rsidR="000657D4" w:rsidRDefault="000657D4" w:rsidP="00723DA5">
      <w:pPr>
        <w:rPr>
          <w:color w:val="000000" w:themeColor="text1"/>
        </w:rPr>
      </w:pPr>
    </w:p>
    <w:p w14:paraId="40C29000" w14:textId="44B947EC" w:rsidR="000657D4" w:rsidRPr="00A171C6" w:rsidRDefault="000657D4" w:rsidP="00723DA5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13090DE5" wp14:editId="0BFBC4AE">
            <wp:extent cx="5731510" cy="3980180"/>
            <wp:effectExtent l="0" t="0" r="0" b="0"/>
            <wp:docPr id="1982992506" name="Picture 3" descr="A chart with different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992506" name="Picture 3" descr="A chart with different colored lines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57D4" w:rsidRPr="00A171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277FF7"/>
    <w:multiLevelType w:val="hybridMultilevel"/>
    <w:tmpl w:val="D046B230"/>
    <w:lvl w:ilvl="0" w:tplc="312E2C0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AC35CC"/>
    <w:multiLevelType w:val="hybridMultilevel"/>
    <w:tmpl w:val="09F0A3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67398689">
    <w:abstractNumId w:val="0"/>
  </w:num>
  <w:num w:numId="2" w16cid:durableId="17845732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DA5"/>
    <w:rsid w:val="000657D4"/>
    <w:rsid w:val="00365160"/>
    <w:rsid w:val="00463DDD"/>
    <w:rsid w:val="004B06CB"/>
    <w:rsid w:val="00723DA5"/>
    <w:rsid w:val="008178F8"/>
    <w:rsid w:val="00A171C6"/>
    <w:rsid w:val="00D1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804442"/>
  <w15:chartTrackingRefBased/>
  <w15:docId w15:val="{C1849AE1-3CA6-4743-BD78-F1A59F50E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3D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3D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3D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3D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3D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3DA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3DA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3DA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3DA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3D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3D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3D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3D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3D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3D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3D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3D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3D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3DA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3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3DA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3D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3D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3D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3D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3D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3D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3D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3D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657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7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657D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sga.com/library-content/products/fund-docs/etfs/us/insights-investment-ideas/sector-business-cycle-analysis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Nicholson</dc:creator>
  <cp:keywords/>
  <dc:description/>
  <cp:lastModifiedBy>Benjamin Nicholson</cp:lastModifiedBy>
  <cp:revision>1</cp:revision>
  <dcterms:created xsi:type="dcterms:W3CDTF">2024-11-17T19:05:00Z</dcterms:created>
  <dcterms:modified xsi:type="dcterms:W3CDTF">2024-11-17T19:51:00Z</dcterms:modified>
</cp:coreProperties>
</file>