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7C2" w14:textId="35A7E687" w:rsidR="008178F8" w:rsidRDefault="00793A6C">
      <w:r>
        <w:t>Maryland Automotive Industry: Comprehensive Study</w:t>
      </w:r>
    </w:p>
    <w:p w14:paraId="209B86D3" w14:textId="77777777" w:rsidR="00793A6C" w:rsidRDefault="00793A6C"/>
    <w:p w14:paraId="74702303" w14:textId="77777777" w:rsidR="00793A6C" w:rsidRDefault="00793A6C"/>
    <w:sectPr w:rsidR="0079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C"/>
    <w:rsid w:val="00305F89"/>
    <w:rsid w:val="004B06CB"/>
    <w:rsid w:val="00793A6C"/>
    <w:rsid w:val="008178F8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D426"/>
  <w15:chartTrackingRefBased/>
  <w15:docId w15:val="{3D2585E7-F886-9E47-A66A-0B3EDBB1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1</cp:revision>
  <dcterms:created xsi:type="dcterms:W3CDTF">2024-04-02T23:38:00Z</dcterms:created>
  <dcterms:modified xsi:type="dcterms:W3CDTF">2024-04-03T17:56:00Z</dcterms:modified>
</cp:coreProperties>
</file>