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56"/>
          <w:szCs w:val="56"/>
        </w:rPr>
        <w:t xml:space="preserve">Companion Repository Plan</w:t>
      </w:r>
    </w:p>
    <w:p>
      <w:pPr>
        <w:spacing w:after="360"/>
      </w:pPr>
      <w:r>
        <w:rPr>
          <w:b/>
          <w:bCs/>
          <w:sz w:val="24"/>
          <w:szCs w:val="24"/>
        </w:rPr>
        <w:t xml:space="preserve">Monorepo layout, transformation pipeline, and evaluation harness for Governed AI Data Access</w:t>
      </w:r>
    </w:p>
    <w:p>
      <w:pPr>
        <w:pStyle w:val="Heading1"/>
        <w:spacing w:after="200" w:before="360"/>
      </w:pPr>
      <w:r>
        <w:rPr>
          <w:b/>
          <w:bCs/>
          <w:sz w:val="36"/>
          <w:szCs w:val="36"/>
        </w:rPr>
        <w:t xml:space="preserve">1. Purpose of this document</w:t>
      </w:r>
    </w:p>
    <w:p>
      <w:pPr>
        <w:spacing w:after="160" w:line="300"/>
      </w:pPr>
      <w:r>
        <w:t xml:space="preserve">This document specifies the monorepo layout, the transformation pipeline, and the evaluation harness that together produce the companion code for the book. It is the architectural bridge between the dataset specification workbook (what tables exist, what resolver patterns they carry) and the book's chapters (which build a governed AI system against those tables).</w:t>
      </w:r>
    </w:p>
    <w:p>
      <w:pPr>
        <w:spacing w:after="160" w:line="300"/>
      </w:pPr>
      <w:r>
        <w:t xml:space="preserve">Three audiences are in mind. First, the O'Reilly editorial team, who will use this document to evaluate whether the companion code is a realistic scope commitment. Second, any future collaborator or contractor who implements the repository, who needs a concrete specification rather than a narrative. Third, the author, who uses this document to keep the repo layout, the pipeline, and the book synchronized as all three evolve.</w:t>
      </w:r>
    </w:p>
    <w:p>
      <w:pPr>
        <w:spacing w:after="160" w:line="300"/>
      </w:pPr>
      <w:r>
        <w:t xml:space="preserve">The document is deliberately opinionated about structure and tooling. Every choice is defended. The goal is a single companion repository that a reader can clone, configure, and run to produce the exact dataset the book's examples reference, and to follow the book chapter by chapter, at a scale that fits in a personal BigQuery sandbox.</w:t>
      </w:r>
    </w:p>
    <w:p>
      <w:pPr>
        <w:pStyle w:val="Heading1"/>
        <w:spacing w:after="200" w:before="360"/>
      </w:pPr>
      <w:r>
        <w:rPr>
          <w:b/>
          <w:bCs/>
          <w:sz w:val="36"/>
          <w:szCs w:val="36"/>
        </w:rPr>
        <w:t xml:space="preserve">2. Design principles</w:t>
      </w:r>
    </w:p>
    <w:p>
      <w:pPr>
        <w:spacing w:after="160" w:line="300"/>
      </w:pPr>
      <w:r>
        <w:t xml:space="preserve">Five principles shape every subsequent decision in this document. They are listed here so the rationale for the specific tooling and layout choices below is legible.</w:t>
      </w:r>
    </w:p>
    <w:p>
      <w:pPr>
        <w:pStyle w:val="Heading3"/>
        <w:spacing w:after="120" w:before="240"/>
      </w:pPr>
      <w:r>
        <w:rPr>
          <w:b/>
          <w:bCs/>
          <w:sz w:val="24"/>
          <w:szCs w:val="24"/>
        </w:rPr>
        <w:t xml:space="preserve">2.1 Determinism over flexibility</w:t>
      </w:r>
    </w:p>
    <w:p>
      <w:pPr>
        <w:spacing w:after="160" w:line="300"/>
      </w:pPr>
      <w:r>
        <w:t xml:space="preserve">Every reader who runs the pipeline with the same inputs must produce the same outputs, byte for byte on the data and table for table on the schema. Every source of randomness (the Synthea seed, the RNG for versioning tables, the shuffle of coverage assignments, the choice of which encounters are flagged as planned readmissions) is pinned to a configuration file. Determinism is what makes the Chapter 11 evaluation harness work: if the reader's run produces different KPI values, the golden-answer regression tests fail for the reader, and the book loses credibility.</w:t>
      </w:r>
    </w:p>
    <w:p>
      <w:pPr>
        <w:pStyle w:val="Heading3"/>
        <w:spacing w:after="120" w:before="240"/>
      </w:pPr>
      <w:r>
        <w:rPr>
          <w:b/>
          <w:bCs/>
          <w:sz w:val="24"/>
          <w:szCs w:val="24"/>
        </w:rPr>
        <w:t xml:space="preserve">2.2 The spec workbook is the source of truth</w:t>
      </w:r>
    </w:p>
    <w:p>
      <w:pPr>
        <w:spacing w:after="160" w:line="300"/>
      </w:pPr>
      <w:r>
        <w:t xml:space="preserve">Every table, rule, KPI, and resolver contract in the companion repository traces back to a row in the spec workbook. If the pipeline produces a table not in the spec, it is a bug. If the MCP Server's resolvers reference a column not in the spec, it is a bug. If the spec names a table no subsystem consumes, it is a bug. A consistency check runs in CI to verify the mapping across the dataset pipeline, the resolver configuration, and the spec. This discipline keeps the book, the spec, and all three subsystems of the code in lockstep as the manuscript evolves.</w:t>
      </w:r>
    </w:p>
    <w:p>
      <w:pPr>
        <w:pStyle w:val="Heading3"/>
        <w:spacing w:after="120" w:before="240"/>
      </w:pPr>
      <w:r>
        <w:rPr>
          <w:b/>
          <w:bCs/>
          <w:sz w:val="24"/>
          <w:szCs w:val="24"/>
        </w:rPr>
        <w:t xml:space="preserve">2.3 Observable transformations</w:t>
      </w:r>
    </w:p>
    <w:p>
      <w:pPr>
        <w:spacing w:after="160" w:line="300"/>
      </w:pPr>
      <w:r>
        <w:t xml:space="preserve">Every transformation must be readable by the book's audience. That rules out opaque ORMs and heavy frameworks. It favors SQL files a reader can open, Python modules with obvious entry points, and YAML configurations that state the rule they enforce. The reader must be able to open any table in the spec, find the model or module that produces it, and read the transformation without learning a new framework first.</w:t>
      </w:r>
    </w:p>
    <w:p>
      <w:pPr>
        <w:pStyle w:val="Heading3"/>
        <w:spacing w:after="120" w:before="240"/>
      </w:pPr>
      <w:r>
        <w:rPr>
          <w:b/>
          <w:bCs/>
          <w:sz w:val="24"/>
          <w:szCs w:val="24"/>
        </w:rPr>
        <w:t xml:space="preserve">2.4 Scalable down and up</w:t>
      </w:r>
    </w:p>
    <w:p>
      <w:pPr>
        <w:spacing w:after="160" w:line="300"/>
      </w:pPr>
      <w:r>
        <w:t xml:space="preserve">The pipeline runs at three scales: 1,000 patients for laptop development, 10,000 patients for a reader's first run, and 100,000 patients for the canonical book scale. All volume-dependent logic is parameterized. The 1,000-patient configuration must be runnable end to end in under five minutes on commodity hardware so that iterative development is possible. The 100,000-patient configuration must cost a reader under $25 in BigQuery compute to produce from scratch.</w:t>
      </w:r>
    </w:p>
    <w:p>
      <w:pPr>
        <w:pStyle w:val="Heading3"/>
        <w:spacing w:after="120" w:before="240"/>
      </w:pPr>
      <w:r>
        <w:rPr>
          <w:b/>
          <w:bCs/>
          <w:sz w:val="24"/>
          <w:szCs w:val="24"/>
        </w:rPr>
        <w:t xml:space="preserve">2.5 Testing is a first-class deliverable</w:t>
      </w:r>
    </w:p>
    <w:p>
      <w:pPr>
        <w:spacing w:after="160" w:line="300"/>
      </w:pPr>
      <w:r>
        <w:t xml:space="preserve">The evaluation harness that Chapter 11 builds is not a retrofit on a finished pipeline. It is part of the repository from day one, sits at the monorepo root, and spans all three subsystems. Every table ships with at least one test. Every business rule ships with a test that verifies it fired against a known input. Every KPI ships with a golden-answer snapshot that regression-tests the full pipeline. The test suite is the harness.</w:t>
      </w:r>
    </w:p>
    <w:p>
      <w:pPr>
        <w:pStyle w:val="Heading1"/>
        <w:spacing w:after="200" w:before="360"/>
      </w:pPr>
      <w:r>
        <w:rPr>
          <w:b/>
          <w:bCs/>
          <w:sz w:val="36"/>
          <w:szCs w:val="36"/>
        </w:rPr>
        <w:t xml:space="preserve">3. Two-layer architecture</w:t>
      </w:r>
    </w:p>
    <w:p>
      <w:pPr>
        <w:spacing w:after="160" w:line="300"/>
      </w:pPr>
      <w:r>
        <w:t xml:space="preserve">The dataset pipeline is one of three subsystems in the companion monorepo. The other two, the MCP Server and the Knowledge Graph Studio, are introduced in Section 4 and are covered in their own design documents. This section concerns the dataset pipeline only.</w:t>
      </w:r>
    </w:p>
    <w:p>
      <w:pPr>
        <w:spacing w:after="160" w:line="300"/>
      </w:pPr>
      <w:r>
        <w:t xml:space="preserve">The pipeline has two distinct layers because the work it performs is not homogeneous. Roughly a third of the work is ingestion and projection: reading Synthea FHIR output, mapping resources to relational staging tables, and performing controlled format injections (the epoch conversions, the string coercions) that give downstream tables the format heterogeneity the DateResolver requires. This layer is Python and lives under dataset/ingest/. The rest of the work is SQL-native transformation: deduplication, grain rollups, governance application, KPI computation. This layer is dbt and lives under dataset/dbt/.</w:t>
      </w:r>
    </w:p>
    <w:p>
      <w:pPr>
        <w:spacing w:after="160" w:line="300"/>
      </w:pPr>
      <w:r>
        <w:t xml:space="preserve">Splitting the pipeline this way is not an implementation accident. It matches how real enterprise data estates are structured. Ingest and format normalization live in one tool chain. Analytical transformations live in another. Readers will recognize the shape. And the split is a teaching point: the book's Chapter 3 (retrieval) and Chapter 4 (knowledge graph) have genuinely different substrates to reason about (the semantic metadata over all tables vs the structural relationships between them), and the two-layer pipeline mirrors that distinction.</w:t>
      </w:r>
    </w:p>
    <w:p>
      <w:pPr>
        <w:pStyle w:val="Heading2"/>
        <w:spacing w:after="160" w:before="320"/>
      </w:pPr>
      <w:r>
        <w:rPr>
          <w:b/>
          <w:bCs/>
          <w:sz w:val="30"/>
          <w:szCs w:val="30"/>
        </w:rPr>
        <w:t xml:space="preserve">3.1 Layer one: Python ingest and projection</w:t>
      </w:r>
    </w:p>
    <w:p>
      <w:pPr>
        <w:spacing w:after="160" w:line="300"/>
      </w:pPr>
      <w:r>
        <w:t xml:space="preserve">The Python layer does four things. It runs Synthea with a fixed seed and produces FHIR bundles. It projects those bundles into a set of staging tables in BigQuery, one table per relevant FHIR resource. It applies controlled format injections to introduce heterogeneity where the spec calls for it. And it generates the synthetic tables that Synthea does not produce natively (schedule, provider_assignment, adjustment, payment, formulary, business_rules_registry, metrics_registry).</w:t>
      </w:r>
    </w:p>
    <w:p>
      <w:pPr>
        <w:spacing w:after="160" w:line="300"/>
      </w:pPr>
      <w:r>
        <w:t xml:space="preserve">The Python layer writes to a staging dataset (staging_bronze) and nothing else. It does not produce any of the analytical tables directly. That is the dbt layer's job.</w:t>
      </w:r>
    </w:p>
    <w:p>
      <w:pPr>
        <w:pStyle w:val="Heading2"/>
        <w:spacing w:after="160" w:before="320"/>
      </w:pPr>
      <w:r>
        <w:rPr>
          <w:b/>
          <w:bCs/>
          <w:sz w:val="30"/>
          <w:szCs w:val="30"/>
        </w:rPr>
        <w:t xml:space="preserve">3.2 Layer two: dbt analytical models</w:t>
      </w:r>
    </w:p>
    <w:p>
      <w:pPr>
        <w:spacing w:after="160" w:line="300"/>
      </w:pPr>
      <w:r>
        <w:t xml:space="preserve">Every analytical table in the spec is a dbt model under dataset/dbt/models/. The models are organized into folders by Data Product, with subfolders for zone. Each model is a single SQL file that reads from its upstream dependencies and produces exactly one table. Business rules are implemented as dbt macros that are called from the models that apply them. KPI computations are dbt models in a dedicated metrics folder.</w:t>
      </w:r>
    </w:p>
    <w:p>
      <w:pPr>
        <w:spacing w:after="160" w:line="300"/>
      </w:pPr>
      <w:r>
        <w:t xml:space="preserve">dbt's built-in testing handles the table-level tests: schema tests (not null, unique, accepted values), data tests (custom SQL returning zero rows on success), and the known-good answer regressions against the kpi_snapshots table.</w:t>
      </w:r>
    </w:p>
    <w:p>
      <w:pPr>
        <w:pStyle w:val="Heading1"/>
        <w:spacing w:after="200" w:before="360"/>
      </w:pPr>
      <w:r>
        <w:rPr>
          <w:b/>
          <w:bCs/>
          <w:sz w:val="36"/>
          <w:szCs w:val="36"/>
        </w:rPr>
        <w:t xml:space="preserve">4. Monorepo layout</w:t>
      </w:r>
    </w:p>
    <w:p>
      <w:pPr>
        <w:spacing w:after="160" w:line="300"/>
      </w:pPr>
      <w:r>
        <w:t xml:space="preserve">The companion repository is a single monorepo containing three subsystems. The dataset pipeline produces the governed tables the book's examples reference. The MCP Server implements the nine-step query pipeline and the governed resolvers that Chapters 6 through 10 build. The Knowledge Graph Studio is the browser-based authoring environment that Chapters 4 and 5 introduce. A top-level evaluation harness exercises all three subsystems against golden answers.</w:t>
      </w:r>
    </w:p>
    <w:p>
      <w:pPr>
        <w:spacing w:after="160" w:line="300"/>
      </w:pPr>
      <w:r>
        <w:t xml:space="preserve">A monorepo was chosen over separate repositories for four reasons. First, the book's release tags apply to the full system state at each chapter, and a single tag is cleaner than coordinating multiple commits across repositories. Second, the Chapter 11 evaluation harness straddles all three subsystems and benefits from living at the root alongside them. Third, the spec workbook and the shared rules registry are the source of truth for all three subsystems and sit naturally at the root. Fourth, a reader's first hour is clone, configure, run, and a single clone is a better onboarding experience than three.</w:t>
      </w:r>
    </w:p>
    <w:p>
      <w:pPr>
        <w:spacing w:after="160" w:line="300"/>
      </w:pPr>
      <w:r>
        <w:t xml:space="preserve">The cost of this choice is that the layout looks less like a production enterprise structure, where the platform team's repository is typically separate from the agent team's. That difference is acknowledged in the book's Chapter 14 discussion of production deployment and is not a constraint on the companion code.</w:t>
      </w:r>
    </w:p>
    <w:p>
      <w:pPr>
        <w:pStyle w:val="Heading2"/>
        <w:spacing w:after="160" w:before="320"/>
      </w:pPr>
      <w:r>
        <w:rPr>
          <w:b/>
          <w:bCs/>
          <w:sz w:val="30"/>
          <w:szCs w:val="30"/>
        </w:rPr>
        <w:t xml:space="preserve">4.1 Top-level layout</w:t>
      </w:r>
    </w:p>
    <w:p>
      <w:pPr>
        <w:spacing w:after="160" w:line="300"/>
      </w:pPr>
      <w:r>
        <w:t xml:space="preserve">The top-level layout separates shared artifacts from the three subsystems. Anything consumed by more than one subsystem sits at the root. Anything owned by a single subsystem sits inside it.</w:t>
      </w:r>
    </w:p>
    <w:p>
      <w:pPr>
        <w:spacing w:after="0" w:line="260"/>
      </w:pPr>
      <w:r>
        <w:rPr>
          <w:rFonts w:ascii="Consolas" w:cs="Consolas" w:eastAsia="Consolas" w:hAnsi="Consolas"/>
          <w:sz w:val="20"/>
          <w:szCs w:val="20"/>
        </w:rPr>
        <w:t xml:space="preserve">governed-ai-data-access/</w:t>
      </w:r>
    </w:p>
    <w:p>
      <w:pPr>
        <w:spacing w:after="0" w:line="260"/>
      </w:pPr>
      <w:r>
        <w:rPr>
          <w:rFonts w:ascii="Consolas" w:cs="Consolas" w:eastAsia="Consolas" w:hAnsi="Consolas"/>
          <w:sz w:val="20"/>
          <w:szCs w:val="20"/>
        </w:rPr>
        <w:t xml:space="preserve">├── README.md</w:t>
      </w:r>
    </w:p>
    <w:p>
      <w:pPr>
        <w:spacing w:after="0" w:line="260"/>
      </w:pPr>
      <w:r>
        <w:rPr>
          <w:rFonts w:ascii="Consolas" w:cs="Consolas" w:eastAsia="Consolas" w:hAnsi="Consolas"/>
          <w:sz w:val="20"/>
          <w:szCs w:val="20"/>
        </w:rPr>
        <w:t xml:space="preserve">├── Makefile                              # top-level targets for the full system</w:t>
      </w:r>
    </w:p>
    <w:p>
      <w:pPr>
        <w:spacing w:after="0" w:line="260"/>
      </w:pPr>
      <w:r>
        <w:rPr>
          <w:rFonts w:ascii="Consolas" w:cs="Consolas" w:eastAsia="Consolas" w:hAnsi="Consolas"/>
          <w:sz w:val="20"/>
          <w:szCs w:val="20"/>
        </w:rPr>
        <w:t xml:space="preserve">├── docs/</w:t>
      </w:r>
    </w:p>
    <w:p>
      <w:pPr>
        <w:spacing w:after="0" w:line="260"/>
      </w:pPr>
      <w:r>
        <w:rPr>
          <w:rFonts w:ascii="Consolas" w:cs="Consolas" w:eastAsia="Consolas" w:hAnsi="Consolas"/>
          <w:sz w:val="20"/>
          <w:szCs w:val="20"/>
        </w:rPr>
        <w:t xml:space="preserve">│   ├── architecture.md</w:t>
      </w:r>
    </w:p>
    <w:p>
      <w:pPr>
        <w:spacing w:after="0" w:line="260"/>
      </w:pPr>
      <w:r>
        <w:rPr>
          <w:rFonts w:ascii="Consolas" w:cs="Consolas" w:eastAsia="Consolas" w:hAnsi="Consolas"/>
          <w:sz w:val="20"/>
          <w:szCs w:val="20"/>
        </w:rPr>
        <w:t xml:space="preserve">│   ├── quickstart.md</w:t>
      </w:r>
    </w:p>
    <w:p>
      <w:pPr>
        <w:spacing w:after="0" w:line="260"/>
      </w:pPr>
      <w:r>
        <w:rPr>
          <w:rFonts w:ascii="Consolas" w:cs="Consolas" w:eastAsia="Consolas" w:hAnsi="Consolas"/>
          <w:sz w:val="20"/>
          <w:szCs w:val="20"/>
        </w:rPr>
        <w:t xml:space="preserve">│   └── chapter_map.md                    # which chapter touches which directory</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 Companion_Dataset_Specification.xlsx</w:t>
      </w:r>
    </w:p>
    <w:p>
      <w:pPr>
        <w:spacing w:after="0" w:line="260"/>
      </w:pPr>
      <w:r>
        <w:rPr>
          <w:rFonts w:ascii="Consolas" w:cs="Consolas" w:eastAsia="Consolas" w:hAnsi="Consolas"/>
          <w:sz w:val="20"/>
          <w:szCs w:val="20"/>
        </w:rPr>
        <w:t xml:space="preserve">├── rules/                                # shared governance artifacts</w:t>
      </w:r>
    </w:p>
    <w:p>
      <w:pPr>
        <w:spacing w:after="0" w:line="260"/>
      </w:pPr>
      <w:r>
        <w:rPr>
          <w:rFonts w:ascii="Consolas" w:cs="Consolas" w:eastAsia="Consolas" w:hAnsi="Consolas"/>
          <w:sz w:val="20"/>
          <w:szCs w:val="20"/>
        </w:rPr>
        <w:t xml:space="preserve">│   ├── business_rules/                   # YAML, consumed by dataset and MCP Server</w:t>
      </w:r>
    </w:p>
    <w:p>
      <w:pPr>
        <w:spacing w:after="0" w:line="260"/>
      </w:pPr>
      <w:r>
        <w:rPr>
          <w:rFonts w:ascii="Consolas" w:cs="Consolas" w:eastAsia="Consolas" w:hAnsi="Consolas"/>
          <w:sz w:val="20"/>
          <w:szCs w:val="20"/>
        </w:rPr>
        <w:t xml:space="preserve">│   └── metrics/                          # YAML, consumed by dataset</w:t>
      </w:r>
    </w:p>
    <w:p>
      <w:pPr>
        <w:spacing w:after="0" w:line="260"/>
      </w:pPr>
      <w:r>
        <w:rPr>
          <w:rFonts w:ascii="Consolas" w:cs="Consolas" w:eastAsia="Consolas" w:hAnsi="Consolas"/>
          <w:sz w:val="20"/>
          <w:szCs w:val="20"/>
        </w:rPr>
        <w:t xml:space="preserve">├── dataset/                              # dataset pipeline (this document)</w:t>
      </w:r>
    </w:p>
    <w:p>
      <w:pPr>
        <w:spacing w:after="0" w:line="260"/>
      </w:pPr>
      <w:r>
        <w:rPr>
          <w:rFonts w:ascii="Consolas" w:cs="Consolas" w:eastAsia="Consolas" w:hAnsi="Consolas"/>
          <w:sz w:val="20"/>
          <w:szCs w:val="20"/>
        </w:rPr>
        <w:t xml:space="preserve">├── mcp_server/                           # MCP Server (separate design document)</w:t>
      </w:r>
    </w:p>
    <w:p>
      <w:pPr>
        <w:spacing w:after="0" w:line="260"/>
      </w:pPr>
      <w:r>
        <w:rPr>
          <w:rFonts w:ascii="Consolas" w:cs="Consolas" w:eastAsia="Consolas" w:hAnsi="Consolas"/>
          <w:sz w:val="20"/>
          <w:szCs w:val="20"/>
        </w:rPr>
        <w:t xml:space="preserve">├── studio/                               # Knowledge Graph Studio (separate design document)</w:t>
      </w:r>
    </w:p>
    <w:p>
      <w:pPr>
        <w:spacing w:after="0" w:line="260"/>
      </w:pPr>
      <w:r>
        <w:rPr>
          <w:rFonts w:ascii="Consolas" w:cs="Consolas" w:eastAsia="Consolas" w:hAnsi="Consolas"/>
          <w:sz w:val="20"/>
          <w:szCs w:val="20"/>
        </w:rPr>
        <w:t xml:space="preserve">├── evaluation/                           # Chapter 11 harness, spans all three subsystems</w:t>
      </w:r>
    </w:p>
    <w:p>
      <w:pPr>
        <w:spacing w:after="0" w:line="260"/>
      </w:pPr>
      <w:r>
        <w:rPr>
          <w:rFonts w:ascii="Consolas" w:cs="Consolas" w:eastAsia="Consolas" w:hAnsi="Consolas"/>
          <w:sz w:val="20"/>
          <w:szCs w:val="20"/>
        </w:rPr>
        <w:t xml:space="preserve">└── scripts/</w:t>
      </w:r>
    </w:p>
    <w:p>
      <w:pPr>
        <w:spacing w:after="0" w:line="260"/>
      </w:pPr>
      <w:r>
        <w:rPr>
          <w:rFonts w:ascii="Consolas" w:cs="Consolas" w:eastAsia="Consolas" w:hAnsi="Consolas"/>
          <w:sz w:val="20"/>
          <w:szCs w:val="20"/>
        </w:rPr>
        <w:t xml:space="preserve">    ├── spec_consistency_check.py         # spec vs all three subsystems</w:t>
      </w:r>
    </w:p>
    <w:p>
      <w:pPr>
        <w:spacing w:after="0" w:line="260"/>
      </w:pPr>
      <w:r>
        <w:rPr>
          <w:rFonts w:ascii="Consolas" w:cs="Consolas" w:eastAsia="Consolas" w:hAnsi="Consolas"/>
          <w:sz w:val="20"/>
          <w:szCs w:val="20"/>
        </w:rPr>
        <w:t xml:space="preserve">    ├── bootstrap.sh                      # one-command setup</w:t>
      </w:r>
    </w:p>
    <w:p>
      <w:pPr>
        <w:spacing w:after="0" w:line="260"/>
      </w:pPr>
      <w:r>
        <w:rPr>
          <w:rFonts w:ascii="Consolas" w:cs="Consolas" w:eastAsia="Consolas" w:hAnsi="Consolas"/>
          <w:sz w:val="20"/>
          <w:szCs w:val="20"/>
        </w:rPr>
        <w:t xml:space="preserve">    └── publish_golden_answers.py</w:t>
      </w:r>
    </w:p>
    <w:p>
      <w:pPr>
        <w:spacing w:after="160" w:line="300"/>
      </w:pPr>
      <w:r>
        <w:t xml:space="preserve"/>
      </w:r>
    </w:p>
    <w:p>
      <w:pPr>
        <w:spacing w:after="160" w:line="300"/>
      </w:pPr>
      <w:r>
        <w:t xml:space="preserve">Three top-level directories deserve comment. The spec directory sits at the root because the spec is not owned by any one subsystem; all three consume it. The rules directory is similarly shared: the same YAML files are codegen'd into dbt macros by the dataset pipeline at build time and consumed at runtime by the MCP Server's BusinessRuleResolver. That shared contract is exactly what makes the monorepo pay off. A rule change is a single commit that updates both sides atomically. The evaluation directory sits at the root for the same reason, covered in Section 7.</w:t>
      </w:r>
    </w:p>
    <w:p>
      <w:pPr>
        <w:pStyle w:val="Heading2"/>
        <w:spacing w:after="160" w:before="320"/>
      </w:pPr>
      <w:r>
        <w:rPr>
          <w:b/>
          <w:bCs/>
          <w:sz w:val="30"/>
          <w:szCs w:val="30"/>
        </w:rPr>
        <w:t xml:space="preserve">4.2 Dataset pipeline layout</w:t>
      </w:r>
    </w:p>
    <w:p>
      <w:pPr>
        <w:spacing w:after="160" w:line="300"/>
      </w:pPr>
      <w:r>
        <w:t xml:space="preserve">The dataset pipeline layout sits under dataset/. Its structure is designed to make the mapping from the spec workbook to the code obvious. A reviewer should be able to find the producer for any table in under a minute.</w:t>
      </w:r>
    </w:p>
    <w:p>
      <w:pPr>
        <w:spacing w:after="0" w:line="260"/>
      </w:pPr>
      <w:r>
        <w:rPr>
          <w:rFonts w:ascii="Consolas" w:cs="Consolas" w:eastAsia="Consolas" w:hAnsi="Consolas"/>
          <w:sz w:val="20"/>
          <w:szCs w:val="20"/>
        </w:rPr>
        <w:t xml:space="preserve">dataset/</w:t>
      </w:r>
    </w:p>
    <w:p>
      <w:pPr>
        <w:spacing w:after="0" w:line="260"/>
      </w:pPr>
      <w:r>
        <w:rPr>
          <w:rFonts w:ascii="Consolas" w:cs="Consolas" w:eastAsia="Consolas" w:hAnsi="Consolas"/>
          <w:sz w:val="20"/>
          <w:szCs w:val="20"/>
        </w:rPr>
        <w:t xml:space="preserve">├── config/</w:t>
      </w:r>
    </w:p>
    <w:p>
      <w:pPr>
        <w:spacing w:after="0" w:line="260"/>
      </w:pPr>
      <w:r>
        <w:rPr>
          <w:rFonts w:ascii="Consolas" w:cs="Consolas" w:eastAsia="Consolas" w:hAnsi="Consolas"/>
          <w:sz w:val="20"/>
          <w:szCs w:val="20"/>
        </w:rPr>
        <w:t xml:space="preserve">│   ├── dataset.yaml                      # scale, seed, target project</w:t>
      </w:r>
    </w:p>
    <w:p>
      <w:pPr>
        <w:spacing w:after="0" w:line="260"/>
      </w:pPr>
      <w:r>
        <w:rPr>
          <w:rFonts w:ascii="Consolas" w:cs="Consolas" w:eastAsia="Consolas" w:hAnsi="Consolas"/>
          <w:sz w:val="20"/>
          <w:szCs w:val="20"/>
        </w:rPr>
        <w:t xml:space="preserve">│   ├── synthea.properties                # Synthea generator config</w:t>
      </w:r>
    </w:p>
    <w:p>
      <w:pPr>
        <w:spacing w:after="0" w:line="260"/>
      </w:pPr>
      <w:r>
        <w:rPr>
          <w:rFonts w:ascii="Consolas" w:cs="Consolas" w:eastAsia="Consolas" w:hAnsi="Consolas"/>
          <w:sz w:val="20"/>
          <w:szCs w:val="20"/>
        </w:rPr>
        <w:t xml:space="preserve">│   └── environments/                     # dev, staging, prod</w:t>
      </w:r>
    </w:p>
    <w:p>
      <w:pPr>
        <w:spacing w:after="0" w:line="260"/>
      </w:pPr>
      <w:r>
        <w:rPr>
          <w:rFonts w:ascii="Consolas" w:cs="Consolas" w:eastAsia="Consolas" w:hAnsi="Consolas"/>
          <w:sz w:val="20"/>
          <w:szCs w:val="20"/>
        </w:rPr>
        <w:t xml:space="preserve">├── ingest/                               # Python layer</w:t>
      </w:r>
    </w:p>
    <w:p>
      <w:pPr>
        <w:spacing w:after="0" w:line="260"/>
      </w:pPr>
      <w:r>
        <w:rPr>
          <w:rFonts w:ascii="Consolas" w:cs="Consolas" w:eastAsia="Consolas" w:hAnsi="Consolas"/>
          <w:sz w:val="20"/>
          <w:szCs w:val="20"/>
        </w:rPr>
        <w:t xml:space="preserve">│   ├── pyproject.toml</w:t>
      </w:r>
    </w:p>
    <w:p>
      <w:pPr>
        <w:spacing w:after="0" w:line="260"/>
      </w:pPr>
      <w:r>
        <w:rPr>
          <w:rFonts w:ascii="Consolas" w:cs="Consolas" w:eastAsia="Consolas" w:hAnsi="Consolas"/>
          <w:sz w:val="20"/>
          <w:szCs w:val="20"/>
        </w:rPr>
        <w:t xml:space="preserve">│   ├── src/ingest/</w:t>
      </w:r>
    </w:p>
    <w:p>
      <w:pPr>
        <w:spacing w:after="0" w:line="260"/>
      </w:pPr>
      <w:r>
        <w:rPr>
          <w:rFonts w:ascii="Consolas" w:cs="Consolas" w:eastAsia="Consolas" w:hAnsi="Consolas"/>
          <w:sz w:val="20"/>
          <w:szCs w:val="20"/>
        </w:rPr>
        <w:t xml:space="preserve">│   │   ├── run_synthea.py                # seeded generator</w:t>
      </w:r>
    </w:p>
    <w:p>
      <w:pPr>
        <w:spacing w:after="0" w:line="260"/>
      </w:pPr>
      <w:r>
        <w:rPr>
          <w:rFonts w:ascii="Consolas" w:cs="Consolas" w:eastAsia="Consolas" w:hAnsi="Consolas"/>
          <w:sz w:val="20"/>
          <w:szCs w:val="20"/>
        </w:rPr>
        <w:t xml:space="preserve">│   │   ├── fhir_to_staging/              # one module per FHIR resource</w:t>
      </w:r>
    </w:p>
    <w:p>
      <w:pPr>
        <w:spacing w:after="0" w:line="260"/>
      </w:pPr>
      <w:r>
        <w:rPr>
          <w:rFonts w:ascii="Consolas" w:cs="Consolas" w:eastAsia="Consolas" w:hAnsi="Consolas"/>
          <w:sz w:val="20"/>
          <w:szCs w:val="20"/>
        </w:rPr>
        <w:t xml:space="preserve">│   │   ├── format_injection/             # epoch, string coercions</w:t>
      </w:r>
    </w:p>
    <w:p>
      <w:pPr>
        <w:spacing w:after="0" w:line="260"/>
      </w:pPr>
      <w:r>
        <w:rPr>
          <w:rFonts w:ascii="Consolas" w:cs="Consolas" w:eastAsia="Consolas" w:hAnsi="Consolas"/>
          <w:sz w:val="20"/>
          <w:szCs w:val="20"/>
        </w:rPr>
        <w:t xml:space="preserve">│   │   ├── synthetic/                    # tables Synthea does not produce</w:t>
      </w:r>
    </w:p>
    <w:p>
      <w:pPr>
        <w:spacing w:after="0" w:line="260"/>
      </w:pPr>
      <w:r>
        <w:rPr>
          <w:rFonts w:ascii="Consolas" w:cs="Consolas" w:eastAsia="Consolas" w:hAnsi="Consolas"/>
          <w:sz w:val="20"/>
          <w:szCs w:val="20"/>
        </w:rPr>
        <w:t xml:space="preserve">│   │   └── load_bigquery.py              # bulk load to staging_bronze</w:t>
      </w:r>
    </w:p>
    <w:p>
      <w:pPr>
        <w:spacing w:after="0" w:line="260"/>
      </w:pPr>
      <w:r>
        <w:rPr>
          <w:rFonts w:ascii="Consolas" w:cs="Consolas" w:eastAsia="Consolas" w:hAnsi="Consolas"/>
          <w:sz w:val="20"/>
          <w:szCs w:val="20"/>
        </w:rPr>
        <w:t xml:space="preserve">│   └── tests/</w:t>
      </w:r>
    </w:p>
    <w:p>
      <w:pPr>
        <w:spacing w:after="0" w:line="260"/>
      </w:pPr>
      <w:r>
        <w:rPr>
          <w:rFonts w:ascii="Consolas" w:cs="Consolas" w:eastAsia="Consolas" w:hAnsi="Consolas"/>
          <w:sz w:val="20"/>
          <w:szCs w:val="20"/>
        </w:rPr>
        <w:t xml:space="preserve">└── dbt/</w:t>
      </w:r>
    </w:p>
    <w:p>
      <w:pPr>
        <w:spacing w:after="0" w:line="260"/>
      </w:pPr>
      <w:r>
        <w:rPr>
          <w:rFonts w:ascii="Consolas" w:cs="Consolas" w:eastAsia="Consolas" w:hAnsi="Consolas"/>
          <w:sz w:val="20"/>
          <w:szCs w:val="20"/>
        </w:rPr>
        <w:t xml:space="preserve">    ├── dbt_project.yml</w:t>
      </w:r>
    </w:p>
    <w:p>
      <w:pPr>
        <w:spacing w:after="0" w:line="260"/>
      </w:pPr>
      <w:r>
        <w:rPr>
          <w:rFonts w:ascii="Consolas" w:cs="Consolas" w:eastAsia="Consolas" w:hAnsi="Consolas"/>
          <w:sz w:val="20"/>
          <w:szCs w:val="20"/>
        </w:rPr>
        <w:t xml:space="preserve">    ├── profiles.yml.template</w:t>
      </w:r>
    </w:p>
    <w:p>
      <w:pPr>
        <w:spacing w:after="0" w:line="260"/>
      </w:pPr>
      <w:r>
        <w:rPr>
          <w:rFonts w:ascii="Consolas" w:cs="Consolas" w:eastAsia="Consolas" w:hAnsi="Consolas"/>
          <w:sz w:val="20"/>
          <w:szCs w:val="20"/>
        </w:rPr>
        <w:t xml:space="preserve">    ├── models/</w:t>
      </w:r>
    </w:p>
    <w:p>
      <w:pPr>
        <w:spacing w:after="0" w:line="260"/>
      </w:pPr>
      <w:r>
        <w:rPr>
          <w:rFonts w:ascii="Consolas" w:cs="Consolas" w:eastAsia="Consolas" w:hAnsi="Consolas"/>
          <w:sz w:val="20"/>
          <w:szCs w:val="20"/>
        </w:rPr>
        <w:t xml:space="preserve">    │   ├── clinical_core/{bronze,silver,gold}/</w:t>
      </w:r>
    </w:p>
    <w:p>
      <w:pPr>
        <w:spacing w:after="0" w:line="260"/>
      </w:pPr>
      <w:r>
        <w:rPr>
          <w:rFonts w:ascii="Consolas" w:cs="Consolas" w:eastAsia="Consolas" w:hAnsi="Consolas"/>
          <w:sz w:val="20"/>
          <w:szCs w:val="20"/>
        </w:rPr>
        <w:t xml:space="preserve">    │   ├── revenue_cycle/</w:t>
      </w:r>
    </w:p>
    <w:p>
      <w:pPr>
        <w:spacing w:after="0" w:line="260"/>
      </w:pPr>
      <w:r>
        <w:rPr>
          <w:rFonts w:ascii="Consolas" w:cs="Consolas" w:eastAsia="Consolas" w:hAnsi="Consolas"/>
          <w:sz w:val="20"/>
          <w:szCs w:val="20"/>
        </w:rPr>
        <w:t xml:space="preserve">    │   ├── quality_reporting/</w:t>
      </w:r>
    </w:p>
    <w:p>
      <w:pPr>
        <w:spacing w:after="0" w:line="260"/>
      </w:pPr>
      <w:r>
        <w:rPr>
          <w:rFonts w:ascii="Consolas" w:cs="Consolas" w:eastAsia="Consolas" w:hAnsi="Consolas"/>
          <w:sz w:val="20"/>
          <w:szCs w:val="20"/>
        </w:rPr>
        <w:t xml:space="preserve">    │   ├── workforce/</w:t>
      </w:r>
    </w:p>
    <w:p>
      <w:pPr>
        <w:spacing w:after="0" w:line="260"/>
      </w:pPr>
      <w:r>
        <w:rPr>
          <w:rFonts w:ascii="Consolas" w:cs="Consolas" w:eastAsia="Consolas" w:hAnsi="Consolas"/>
          <w:sz w:val="20"/>
          <w:szCs w:val="20"/>
        </w:rPr>
        <w:t xml:space="preserve">    │   ├── supply_chain/</w:t>
      </w:r>
    </w:p>
    <w:p>
      <w:pPr>
        <w:spacing w:after="0" w:line="260"/>
      </w:pPr>
      <w:r>
        <w:rPr>
          <w:rFonts w:ascii="Consolas" w:cs="Consolas" w:eastAsia="Consolas" w:hAnsi="Consolas"/>
          <w:sz w:val="20"/>
          <w:szCs w:val="20"/>
        </w:rPr>
        <w:t xml:space="preserve">    │   ├── reference/</w:t>
      </w:r>
    </w:p>
    <w:p>
      <w:pPr>
        <w:spacing w:after="0" w:line="260"/>
      </w:pPr>
      <w:r>
        <w:rPr>
          <w:rFonts w:ascii="Consolas" w:cs="Consolas" w:eastAsia="Consolas" w:hAnsi="Consolas"/>
          <w:sz w:val="20"/>
          <w:szCs w:val="20"/>
        </w:rPr>
        <w:t xml:space="preserve">    │   └── metrics/                      # KPI models produce kpi_snapshots</w:t>
      </w:r>
    </w:p>
    <w:p>
      <w:pPr>
        <w:spacing w:after="0" w:line="260"/>
      </w:pPr>
      <w:r>
        <w:rPr>
          <w:rFonts w:ascii="Consolas" w:cs="Consolas" w:eastAsia="Consolas" w:hAnsi="Consolas"/>
          <w:sz w:val="20"/>
          <w:szCs w:val="20"/>
        </w:rPr>
        <w:t xml:space="preserve">    ├── macros/</w:t>
      </w:r>
    </w:p>
    <w:p>
      <w:pPr>
        <w:spacing w:after="0" w:line="260"/>
      </w:pPr>
      <w:r>
        <w:rPr>
          <w:rFonts w:ascii="Consolas" w:cs="Consolas" w:eastAsia="Consolas" w:hAnsi="Consolas"/>
          <w:sz w:val="20"/>
          <w:szCs w:val="20"/>
        </w:rPr>
        <w:t xml:space="preserve">    │   ├── business_rules/               # codegen'd from ../../rules/business_rules/</w:t>
      </w:r>
    </w:p>
    <w:p>
      <w:pPr>
        <w:spacing w:after="0" w:line="260"/>
      </w:pPr>
      <w:r>
        <w:rPr>
          <w:rFonts w:ascii="Consolas" w:cs="Consolas" w:eastAsia="Consolas" w:hAnsi="Consolas"/>
          <w:sz w:val="20"/>
          <w:szCs w:val="20"/>
        </w:rPr>
        <w:t xml:space="preserve">    │   ├── date_format/                  # per-column date casts</w:t>
      </w:r>
    </w:p>
    <w:p>
      <w:pPr>
        <w:spacing w:after="0" w:line="260"/>
      </w:pPr>
      <w:r>
        <w:rPr>
          <w:rFonts w:ascii="Consolas" w:cs="Consolas" w:eastAsia="Consolas" w:hAnsi="Consolas"/>
          <w:sz w:val="20"/>
          <w:szCs w:val="20"/>
        </w:rPr>
        <w:t xml:space="preserve">    │   └── recency/                      # dedup patterns</w:t>
      </w:r>
    </w:p>
    <w:p>
      <w:pPr>
        <w:spacing w:after="0" w:line="260"/>
      </w:pPr>
      <w:r>
        <w:rPr>
          <w:rFonts w:ascii="Consolas" w:cs="Consolas" w:eastAsia="Consolas" w:hAnsi="Consolas"/>
          <w:sz w:val="20"/>
          <w:szCs w:val="20"/>
        </w:rPr>
        <w:t xml:space="preserve">    ├── seeds/                            # reference data CSVs</w:t>
      </w:r>
    </w:p>
    <w:p>
      <w:pPr>
        <w:spacing w:after="0" w:line="260"/>
      </w:pPr>
      <w:r>
        <w:rPr>
          <w:rFonts w:ascii="Consolas" w:cs="Consolas" w:eastAsia="Consolas" w:hAnsi="Consolas"/>
          <w:sz w:val="20"/>
          <w:szCs w:val="20"/>
        </w:rPr>
        <w:t xml:space="preserve">    │   ├── facility.csv</w:t>
      </w:r>
    </w:p>
    <w:p>
      <w:pPr>
        <w:spacing w:after="0" w:line="260"/>
      </w:pPr>
      <w:r>
        <w:rPr>
          <w:rFonts w:ascii="Consolas" w:cs="Consolas" w:eastAsia="Consolas" w:hAnsi="Consolas"/>
          <w:sz w:val="20"/>
          <w:szCs w:val="20"/>
        </w:rPr>
        <w:t xml:space="preserve">    │   ├── terminology_registry.csv</w:t>
      </w:r>
    </w:p>
    <w:p>
      <w:pPr>
        <w:spacing w:after="0" w:line="260"/>
      </w:pPr>
      <w:r>
        <w:rPr>
          <w:rFonts w:ascii="Consolas" w:cs="Consolas" w:eastAsia="Consolas" w:hAnsi="Consolas"/>
          <w:sz w:val="20"/>
          <w:szCs w:val="20"/>
        </w:rPr>
        <w:t xml:space="preserve">    │   ├── condition_to_category.csv</w:t>
      </w:r>
    </w:p>
    <w:p>
      <w:pPr>
        <w:spacing w:after="0" w:line="260"/>
      </w:pPr>
      <w:r>
        <w:rPr>
          <w:rFonts w:ascii="Consolas" w:cs="Consolas" w:eastAsia="Consolas" w:hAnsi="Consolas"/>
          <w:sz w:val="20"/>
          <w:szCs w:val="20"/>
        </w:rPr>
        <w:t xml:space="preserve">    │   ├── calendar_fiscal.csv</w:t>
      </w:r>
    </w:p>
    <w:p>
      <w:pPr>
        <w:spacing w:after="0" w:line="260"/>
      </w:pPr>
      <w:r>
        <w:rPr>
          <w:rFonts w:ascii="Consolas" w:cs="Consolas" w:eastAsia="Consolas" w:hAnsi="Consolas"/>
          <w:sz w:val="20"/>
          <w:szCs w:val="20"/>
        </w:rPr>
        <w:t xml:space="preserve">    │   └── calendar_clinical.csv</w:t>
      </w:r>
    </w:p>
    <w:p>
      <w:pPr>
        <w:spacing w:after="0" w:line="260"/>
      </w:pPr>
      <w:r>
        <w:rPr>
          <w:rFonts w:ascii="Consolas" w:cs="Consolas" w:eastAsia="Consolas" w:hAnsi="Consolas"/>
          <w:sz w:val="20"/>
          <w:szCs w:val="20"/>
        </w:rPr>
        <w:t xml:space="preserve">    └── tests/</w:t>
      </w:r>
    </w:p>
    <w:p>
      <w:pPr>
        <w:spacing w:after="160" w:line="300"/>
      </w:pPr>
      <w:r>
        <w:t xml:space="preserve"/>
      </w:r>
    </w:p>
    <w:p>
      <w:pPr>
        <w:pStyle w:val="Heading2"/>
        <w:spacing w:after="160" w:before="320"/>
      </w:pPr>
      <w:r>
        <w:rPr>
          <w:b/>
          <w:bCs/>
          <w:sz w:val="30"/>
          <w:szCs w:val="30"/>
        </w:rPr>
        <w:t xml:space="preserve">4.3 MCP Server layout</w:t>
      </w:r>
    </w:p>
    <w:p>
      <w:pPr>
        <w:spacing w:after="160" w:line="300"/>
      </w:pPr>
      <w:r>
        <w:t xml:space="preserve">The MCP Server sits under mcp_server/. This document does not cover its internal design, which is the subject of a separate design document. The top-level shape is included here so the monorepo picture is complete and the reader can see how the subsystems relate.</w:t>
      </w:r>
    </w:p>
    <w:p>
      <w:pPr>
        <w:spacing w:after="0" w:line="260"/>
      </w:pPr>
      <w:r>
        <w:rPr>
          <w:rFonts w:ascii="Consolas" w:cs="Consolas" w:eastAsia="Consolas" w:hAnsi="Consolas"/>
          <w:sz w:val="20"/>
          <w:szCs w:val="20"/>
        </w:rPr>
        <w:t xml:space="preserve">mcp_server/</w:t>
      </w:r>
    </w:p>
    <w:p>
      <w:pPr>
        <w:spacing w:after="0" w:line="260"/>
      </w:pPr>
      <w:r>
        <w:rPr>
          <w:rFonts w:ascii="Consolas" w:cs="Consolas" w:eastAsia="Consolas" w:hAnsi="Consolas"/>
          <w:sz w:val="20"/>
          <w:szCs w:val="20"/>
        </w:rPr>
        <w:t xml:space="preserve">├── pyproject.toml</w:t>
      </w:r>
    </w:p>
    <w:p>
      <w:pPr>
        <w:spacing w:after="0" w:line="260"/>
      </w:pPr>
      <w:r>
        <w:rPr>
          <w:rFonts w:ascii="Consolas" w:cs="Consolas" w:eastAsia="Consolas" w:hAnsi="Consolas"/>
          <w:sz w:val="20"/>
          <w:szCs w:val="20"/>
        </w:rPr>
        <w:t xml:space="preserve">├── config/</w:t>
      </w:r>
    </w:p>
    <w:p>
      <w:pPr>
        <w:spacing w:after="0" w:line="260"/>
      </w:pPr>
      <w:r>
        <w:rPr>
          <w:rFonts w:ascii="Consolas" w:cs="Consolas" w:eastAsia="Consolas" w:hAnsi="Consolas"/>
          <w:sz w:val="20"/>
          <w:szCs w:val="20"/>
        </w:rPr>
        <w:t xml:space="preserve">│   ├── app.yaml                          # tool registry, model names, timeouts</w:t>
      </w:r>
    </w:p>
    <w:p>
      <w:pPr>
        <w:spacing w:after="0" w:line="260"/>
      </w:pPr>
      <w:r>
        <w:rPr>
          <w:rFonts w:ascii="Consolas" w:cs="Consolas" w:eastAsia="Consolas" w:hAnsi="Consolas"/>
          <w:sz w:val="20"/>
          <w:szCs w:val="20"/>
        </w:rPr>
        <w:t xml:space="preserve">│   └── environments/</w:t>
      </w:r>
    </w:p>
    <w:p>
      <w:pPr>
        <w:spacing w:after="0" w:line="260"/>
      </w:pPr>
      <w:r>
        <w:rPr>
          <w:rFonts w:ascii="Consolas" w:cs="Consolas" w:eastAsia="Consolas" w:hAnsi="Consolas"/>
          <w:sz w:val="20"/>
          <w:szCs w:val="20"/>
        </w:rPr>
        <w:t xml:space="preserve">├── src/mcp_server/</w:t>
      </w:r>
    </w:p>
    <w:p>
      <w:pPr>
        <w:spacing w:after="0" w:line="260"/>
      </w:pPr>
      <w:r>
        <w:rPr>
          <w:rFonts w:ascii="Consolas" w:cs="Consolas" w:eastAsia="Consolas" w:hAnsi="Consolas"/>
          <w:sz w:val="20"/>
          <w:szCs w:val="20"/>
        </w:rPr>
        <w:t xml:space="preserve">│   ├── app.py                            # MCP protocol entry, tool handlers</w:t>
      </w:r>
    </w:p>
    <w:p>
      <w:pPr>
        <w:spacing w:after="0" w:line="260"/>
      </w:pPr>
      <w:r>
        <w:rPr>
          <w:rFonts w:ascii="Consolas" w:cs="Consolas" w:eastAsia="Consolas" w:hAnsi="Consolas"/>
          <w:sz w:val="20"/>
          <w:szCs w:val="20"/>
        </w:rPr>
        <w:t xml:space="preserve">│   ├── pipeline/                         # the nine-step query pipeline</w:t>
      </w:r>
    </w:p>
    <w:p>
      <w:pPr>
        <w:spacing w:after="0" w:line="260"/>
      </w:pPr>
      <w:r>
        <w:rPr>
          <w:rFonts w:ascii="Consolas" w:cs="Consolas" w:eastAsia="Consolas" w:hAnsi="Consolas"/>
          <w:sz w:val="20"/>
          <w:szCs w:val="20"/>
        </w:rPr>
        <w:t xml:space="preserve">│   │   ├── build_query.py                # top-level orchestrator</w:t>
      </w:r>
    </w:p>
    <w:p>
      <w:pPr>
        <w:spacing w:after="0" w:line="260"/>
      </w:pPr>
      <w:r>
        <w:rPr>
          <w:rFonts w:ascii="Consolas" w:cs="Consolas" w:eastAsia="Consolas" w:hAnsi="Consolas"/>
          <w:sz w:val="20"/>
          <w:szCs w:val="20"/>
        </w:rPr>
        <w:t xml:space="preserve">│   │   ├── semantic_search.py            # step 1</w:t>
      </w:r>
    </w:p>
    <w:p>
      <w:pPr>
        <w:spacing w:after="0" w:line="260"/>
      </w:pPr>
      <w:r>
        <w:rPr>
          <w:rFonts w:ascii="Consolas" w:cs="Consolas" w:eastAsia="Consolas" w:hAnsi="Consolas"/>
          <w:sz w:val="20"/>
          <w:szCs w:val="20"/>
        </w:rPr>
        <w:t xml:space="preserve">│   │   ├── authority_reranker.py         # step 2</w:t>
      </w:r>
    </w:p>
    <w:p>
      <w:pPr>
        <w:spacing w:after="0" w:line="260"/>
      </w:pPr>
      <w:r>
        <w:rPr>
          <w:rFonts w:ascii="Consolas" w:cs="Consolas" w:eastAsia="Consolas" w:hAnsi="Consolas"/>
          <w:sz w:val="20"/>
          <w:szCs w:val="20"/>
        </w:rPr>
        <w:t xml:space="preserve">│   │   ├── zone_router.py                # step 3</w:t>
      </w:r>
    </w:p>
    <w:p>
      <w:pPr>
        <w:spacing w:after="0" w:line="260"/>
      </w:pPr>
      <w:r>
        <w:rPr>
          <w:rFonts w:ascii="Consolas" w:cs="Consolas" w:eastAsia="Consolas" w:hAnsi="Consolas"/>
          <w:sz w:val="20"/>
          <w:szCs w:val="20"/>
        </w:rPr>
        <w:t xml:space="preserve">│   │   ├── prompt_assembler.py           # step 7</w:t>
      </w:r>
    </w:p>
    <w:p>
      <w:pPr>
        <w:spacing w:after="0" w:line="260"/>
      </w:pPr>
      <w:r>
        <w:rPr>
          <w:rFonts w:ascii="Consolas" w:cs="Consolas" w:eastAsia="Consolas" w:hAnsi="Consolas"/>
          <w:sz w:val="20"/>
          <w:szCs w:val="20"/>
        </w:rPr>
        <w:t xml:space="preserve">│   │   ├── gemini_client.py              # step 8</w:t>
      </w:r>
    </w:p>
    <w:p>
      <w:pPr>
        <w:spacing w:after="0" w:line="260"/>
      </w:pPr>
      <w:r>
        <w:rPr>
          <w:rFonts w:ascii="Consolas" w:cs="Consolas" w:eastAsia="Consolas" w:hAnsi="Consolas"/>
          <w:sz w:val="20"/>
          <w:szCs w:val="20"/>
        </w:rPr>
        <w:t xml:space="preserve">│   │   └── bigquery_executor.py          # step 9</w:t>
      </w:r>
    </w:p>
    <w:p>
      <w:pPr>
        <w:spacing w:after="0" w:line="260"/>
      </w:pPr>
      <w:r>
        <w:rPr>
          <w:rFonts w:ascii="Consolas" w:cs="Consolas" w:eastAsia="Consolas" w:hAnsi="Consolas"/>
          <w:sz w:val="20"/>
          <w:szCs w:val="20"/>
        </w:rPr>
        <w:t xml:space="preserve">│   ├── resolvers/                        # steps 4 through 6</w:t>
      </w:r>
    </w:p>
    <w:p>
      <w:pPr>
        <w:spacing w:after="0" w:line="260"/>
      </w:pPr>
      <w:r>
        <w:rPr>
          <w:rFonts w:ascii="Consolas" w:cs="Consolas" w:eastAsia="Consolas" w:hAnsi="Consolas"/>
          <w:sz w:val="20"/>
          <w:szCs w:val="20"/>
        </w:rPr>
        <w:t xml:space="preserve">│   │   ├── date_resolver.py</w:t>
      </w:r>
    </w:p>
    <w:p>
      <w:pPr>
        <w:spacing w:after="0" w:line="260"/>
      </w:pPr>
      <w:r>
        <w:rPr>
          <w:rFonts w:ascii="Consolas" w:cs="Consolas" w:eastAsia="Consolas" w:hAnsi="Consolas"/>
          <w:sz w:val="20"/>
          <w:szCs w:val="20"/>
        </w:rPr>
        <w:t xml:space="preserve">│   │   ├── recency_resolver.py</w:t>
      </w:r>
    </w:p>
    <w:p>
      <w:pPr>
        <w:spacing w:after="0" w:line="260"/>
      </w:pPr>
      <w:r>
        <w:rPr>
          <w:rFonts w:ascii="Consolas" w:cs="Consolas" w:eastAsia="Consolas" w:hAnsi="Consolas"/>
          <w:sz w:val="20"/>
          <w:szCs w:val="20"/>
        </w:rPr>
        <w:t xml:space="preserve">│   │   └── grain_resolver.py</w:t>
      </w:r>
    </w:p>
    <w:p>
      <w:pPr>
        <w:spacing w:after="0" w:line="260"/>
      </w:pPr>
      <w:r>
        <w:rPr>
          <w:rFonts w:ascii="Consolas" w:cs="Consolas" w:eastAsia="Consolas" w:hAnsi="Consolas"/>
          <w:sz w:val="20"/>
          <w:szCs w:val="20"/>
        </w:rPr>
        <w:t xml:space="preserve">│   ├── knowledge_graph/                  # Neo4j schema, loader, Cypher queries</w:t>
      </w:r>
    </w:p>
    <w:p>
      <w:pPr>
        <w:spacing w:after="0" w:line="260"/>
      </w:pPr>
      <w:r>
        <w:rPr>
          <w:rFonts w:ascii="Consolas" w:cs="Consolas" w:eastAsia="Consolas" w:hAnsi="Consolas"/>
          <w:sz w:val="20"/>
          <w:szCs w:val="20"/>
        </w:rPr>
        <w:t xml:space="preserve">│   ├── semantic_index/                   # Vertex AI embeddings, BigQuery load</w:t>
      </w:r>
    </w:p>
    <w:p>
      <w:pPr>
        <w:spacing w:after="0" w:line="260"/>
      </w:pPr>
      <w:r>
        <w:rPr>
          <w:rFonts w:ascii="Consolas" w:cs="Consolas" w:eastAsia="Consolas" w:hAnsi="Consolas"/>
          <w:sz w:val="20"/>
          <w:szCs w:val="20"/>
        </w:rPr>
        <w:t xml:space="preserve">│   ├── auth/                             # dual-token (Bearer JWT + GCP SA)</w:t>
      </w:r>
    </w:p>
    <w:p>
      <w:pPr>
        <w:spacing w:after="0" w:line="260"/>
      </w:pPr>
      <w:r>
        <w:rPr>
          <w:rFonts w:ascii="Consolas" w:cs="Consolas" w:eastAsia="Consolas" w:hAnsi="Consolas"/>
          <w:sz w:val="20"/>
          <w:szCs w:val="20"/>
        </w:rPr>
        <w:t xml:space="preserve">│   ├── observability/                    # @trace_tool, mcp_request_log writer</w:t>
      </w:r>
    </w:p>
    <w:p>
      <w:pPr>
        <w:spacing w:after="0" w:line="260"/>
      </w:pPr>
      <w:r>
        <w:rPr>
          <w:rFonts w:ascii="Consolas" w:cs="Consolas" w:eastAsia="Consolas" w:hAnsi="Consolas"/>
          <w:sz w:val="20"/>
          <w:szCs w:val="20"/>
        </w:rPr>
        <w:t xml:space="preserve">│   └── business_rules/                   # reads ../../rules/business_rules/</w:t>
      </w:r>
    </w:p>
    <w:p>
      <w:pPr>
        <w:spacing w:after="0" w:line="260"/>
      </w:pPr>
      <w:r>
        <w:rPr>
          <w:rFonts w:ascii="Consolas" w:cs="Consolas" w:eastAsia="Consolas" w:hAnsi="Consolas"/>
          <w:sz w:val="20"/>
          <w:szCs w:val="20"/>
        </w:rPr>
        <w:t xml:space="preserve">└── tests/</w:t>
      </w:r>
    </w:p>
    <w:p>
      <w:pPr>
        <w:spacing w:after="0" w:line="260"/>
      </w:pPr>
      <w:r>
        <w:rPr>
          <w:rFonts w:ascii="Consolas" w:cs="Consolas" w:eastAsia="Consolas" w:hAnsi="Consolas"/>
          <w:sz w:val="20"/>
          <w:szCs w:val="20"/>
        </w:rPr>
        <w:t xml:space="preserve">    ├── unit/                             # resolver and pipeline step tests</w:t>
      </w:r>
    </w:p>
    <w:p>
      <w:pPr>
        <w:spacing w:after="0" w:line="260"/>
      </w:pPr>
      <w:r>
        <w:rPr>
          <w:rFonts w:ascii="Consolas" w:cs="Consolas" w:eastAsia="Consolas" w:hAnsi="Consolas"/>
          <w:sz w:val="20"/>
          <w:szCs w:val="20"/>
        </w:rPr>
        <w:t xml:space="preserve">    └── integration/                      # end-to-end, NL question to BigQuery row</w:t>
      </w:r>
    </w:p>
    <w:p>
      <w:pPr>
        <w:spacing w:after="160" w:line="300"/>
      </w:pPr>
      <w:r>
        <w:t xml:space="preserve"/>
      </w:r>
    </w:p>
    <w:p>
      <w:pPr>
        <w:spacing w:after="160" w:line="300"/>
      </w:pPr>
      <w:r>
        <w:t xml:space="preserve">Two structural notes about mcp_server/. The pipeline and resolvers directories are siblings rather than nested because pipeline orchestration and governance logic are genuinely different concerns with different teaching arcs in the book. And the business_rules module reads directly from the root rules/ directory; it does not import from the dataset pipeline, because the rules are owned by neither side.</w:t>
      </w:r>
    </w:p>
    <w:p>
      <w:pPr>
        <w:pStyle w:val="Heading2"/>
        <w:spacing w:after="160" w:before="320"/>
      </w:pPr>
      <w:r>
        <w:rPr>
          <w:b/>
          <w:bCs/>
          <w:sz w:val="30"/>
          <w:szCs w:val="30"/>
        </w:rPr>
        <w:t xml:space="preserve">4.4 Studio layout</w:t>
      </w:r>
    </w:p>
    <w:p>
      <w:pPr>
        <w:spacing w:after="160" w:line="300"/>
      </w:pPr>
      <w:r>
        <w:t xml:space="preserve">The Knowledge Graph Studio is a browser application with its own stack and sits under studio/. Its layout is covered in the Studio design document. At the monorepo level, the Studio reads from and writes to the rules/ and spec/ directories, and its outputs are consumed by the dataset pipeline and the MCP Server on the next run.</w:t>
      </w:r>
    </w:p>
    <w:p>
      <w:pPr>
        <w:pStyle w:val="Heading2"/>
        <w:spacing w:after="160" w:before="320"/>
      </w:pPr>
      <w:r>
        <w:rPr>
          <w:b/>
          <w:bCs/>
          <w:sz w:val="30"/>
          <w:szCs w:val="30"/>
        </w:rPr>
        <w:t xml:space="preserve">4.5 Evaluation harness layout</w:t>
      </w:r>
    </w:p>
    <w:p>
      <w:pPr>
        <w:spacing w:after="160" w:line="300"/>
      </w:pPr>
      <w:r>
        <w:t xml:space="preserve">The evaluation harness lives at the root as a peer to the three subsystems, not inside any one of them.</w:t>
      </w:r>
    </w:p>
    <w:p>
      <w:pPr>
        <w:spacing w:after="0" w:line="260"/>
      </w:pPr>
      <w:r>
        <w:rPr>
          <w:rFonts w:ascii="Consolas" w:cs="Consolas" w:eastAsia="Consolas" w:hAnsi="Consolas"/>
          <w:sz w:val="20"/>
          <w:szCs w:val="20"/>
        </w:rPr>
        <w:t xml:space="preserve">evaluation/</w:t>
      </w:r>
    </w:p>
    <w:p>
      <w:pPr>
        <w:spacing w:after="0" w:line="260"/>
      </w:pPr>
      <w:r>
        <w:rPr>
          <w:rFonts w:ascii="Consolas" w:cs="Consolas" w:eastAsia="Consolas" w:hAnsi="Consolas"/>
          <w:sz w:val="20"/>
          <w:szCs w:val="20"/>
        </w:rPr>
        <w:t xml:space="preserve">├── retrieval_tests/                      # embedding recall, reranker accuracy</w:t>
      </w:r>
    </w:p>
    <w:p>
      <w:pPr>
        <w:spacing w:after="0" w:line="260"/>
      </w:pPr>
      <w:r>
        <w:rPr>
          <w:rFonts w:ascii="Consolas" w:cs="Consolas" w:eastAsia="Consolas" w:hAnsi="Consolas"/>
          <w:sz w:val="20"/>
          <w:szCs w:val="20"/>
        </w:rPr>
        <w:t xml:space="preserve">├── resolver_tests/                       # Date, Recency, Grain unit tests</w:t>
      </w:r>
    </w:p>
    <w:p>
      <w:pPr>
        <w:spacing w:after="0" w:line="260"/>
      </w:pPr>
      <w:r>
        <w:rPr>
          <w:rFonts w:ascii="Consolas" w:cs="Consolas" w:eastAsia="Consolas" w:hAnsi="Consolas"/>
          <w:sz w:val="20"/>
          <w:szCs w:val="20"/>
        </w:rPr>
        <w:t xml:space="preserve">├── sql_validation/                       # generated SQL executed against BigQuery</w:t>
      </w:r>
    </w:p>
    <w:p>
      <w:pPr>
        <w:spacing w:after="0" w:line="260"/>
      </w:pPr>
      <w:r>
        <w:rPr>
          <w:rFonts w:ascii="Consolas" w:cs="Consolas" w:eastAsia="Consolas" w:hAnsi="Consolas"/>
          <w:sz w:val="20"/>
          <w:szCs w:val="20"/>
        </w:rPr>
        <w:t xml:space="preserve">├── golden_answers/</w:t>
      </w:r>
    </w:p>
    <w:p>
      <w:pPr>
        <w:spacing w:after="0" w:line="260"/>
      </w:pPr>
      <w:r>
        <w:rPr>
          <w:rFonts w:ascii="Consolas" w:cs="Consolas" w:eastAsia="Consolas" w:hAnsi="Consolas"/>
          <w:sz w:val="20"/>
          <w:szCs w:val="20"/>
        </w:rPr>
        <w:t xml:space="preserve">│   └── kpi_snapshots.csv                 # pinned expected KPI values</w:t>
      </w:r>
    </w:p>
    <w:p>
      <w:pPr>
        <w:spacing w:after="0" w:line="260"/>
      </w:pPr>
      <w:r>
        <w:rPr>
          <w:rFonts w:ascii="Consolas" w:cs="Consolas" w:eastAsia="Consolas" w:hAnsi="Consolas"/>
          <w:sz w:val="20"/>
          <w:szCs w:val="20"/>
        </w:rPr>
        <w:t xml:space="preserve">└── regression_harness/</w:t>
      </w:r>
    </w:p>
    <w:p>
      <w:pPr>
        <w:spacing w:after="160" w:line="300"/>
      </w:pPr>
      <w:r>
        <w:t xml:space="preserve"/>
      </w:r>
    </w:p>
    <w:p>
      <w:pPr>
        <w:spacing w:after="160" w:line="300"/>
      </w:pPr>
      <w:r>
        <w:t xml:space="preserve">This placement matters. The harness depends on the dataset pipeline for inputs, the MCP Server for the resolvers it tests, and the spec for the golden answers. Putting it inside any single subsystem would distort the dependency direction. At the root, the dependency arrows point inward from each subsystem to the harness, which is honest about what it is.</w:t>
      </w:r>
    </w:p>
    <w:p>
      <w:pPr>
        <w:pStyle w:val="Heading1"/>
        <w:spacing w:after="200" w:before="360"/>
      </w:pPr>
      <w:r>
        <w:rPr>
          <w:b/>
          <w:bCs/>
          <w:sz w:val="36"/>
          <w:szCs w:val="36"/>
        </w:rPr>
        <w:t xml:space="preserve">5. Pipeline stages</w:t>
      </w:r>
    </w:p>
    <w:p>
      <w:pPr>
        <w:spacing w:after="160" w:line="300"/>
      </w:pPr>
      <w:r>
        <w:t xml:space="preserve">The pipeline runs as ten stages. Each stage has explicit inputs, explicit outputs, and can be run in isolation given its upstream artifacts. A reader who has already run stages 1 through 4 can iterate on stage 5 without paying the cost of stages 1 through 4 again. dbt's model selector makes this trivial for the dbt layer; a small shell script makes it trivial for the Python layer.</w:t>
      </w:r>
    </w:p>
    <w:p>
      <w:pPr>
        <w:pStyle w:val="Heading2"/>
        <w:spacing w:after="160" w:before="320"/>
      </w:pPr>
      <w:r>
        <w:rPr>
          <w:b/>
          <w:bCs/>
          <w:sz w:val="30"/>
          <w:szCs w:val="30"/>
        </w:rPr>
        <w:t xml:space="preserve">Stage 1: Synthea generation</w:t>
      </w:r>
    </w:p>
    <w:p>
      <w:pPr>
        <w:spacing w:after="160" w:line="300"/>
      </w:pPr>
      <w:r>
        <w:t xml:space="preserve">Runs Synthea with a fixed seed, producing a set of FHIR bundles in a local output directory. Configuration specifies the population size (1,000 / 10,000 / 100,000 / 500,000) and the seed. Output is written to tmp/synthea/.</w:t>
      </w:r>
    </w:p>
    <w:p>
      <w:pPr>
        <w:spacing w:after="160" w:line="300"/>
      </w:pPr>
      <w:r>
        <w:t xml:space="preserve">Deterministic. Reproducible across machines given the same Synthea version. A note in the documentation pins the Synthea version and flags that a version bump invalidates all downstream golden-answer snapshots.</w:t>
      </w:r>
    </w:p>
    <w:p>
      <w:pPr>
        <w:pStyle w:val="Heading2"/>
        <w:spacing w:after="160" w:before="320"/>
      </w:pPr>
      <w:r>
        <w:rPr>
          <w:b/>
          <w:bCs/>
          <w:sz w:val="30"/>
          <w:szCs w:val="30"/>
        </w:rPr>
        <w:t xml:space="preserve">Stage 2: FHIR projection to staging_bronze</w:t>
      </w:r>
    </w:p>
    <w:p>
      <w:pPr>
        <w:spacing w:after="160" w:line="300"/>
      </w:pPr>
      <w:r>
        <w:t xml:space="preserve">Reads the FHIR bundles and projects them into relational staging tables in the staging_bronze BigQuery dataset. One Python module per resource type (Patient, Encounter, Condition, Procedure, Observation, MedicationAdministration, Practitioner, Claim). Each module produces a single BigQuery table with a known schema.</w:t>
      </w:r>
    </w:p>
    <w:p>
      <w:pPr>
        <w:spacing w:after="160" w:line="300"/>
      </w:pPr>
      <w:r>
        <w:t xml:space="preserve">This is where FHIR complexity gets flattened into enterprise shapes. FHIR bundles nest deeply; relational tables do not. The projection rules are spelled out in each module with comments tying back to the spec.</w:t>
      </w:r>
    </w:p>
    <w:p>
      <w:pPr>
        <w:pStyle w:val="Heading2"/>
        <w:spacing w:after="160" w:before="320"/>
      </w:pPr>
      <w:r>
        <w:rPr>
          <w:b/>
          <w:bCs/>
          <w:sz w:val="30"/>
          <w:szCs w:val="30"/>
        </w:rPr>
        <w:t xml:space="preserve">Stage 3: Format injection</w:t>
      </w:r>
    </w:p>
    <w:p>
      <w:pPr>
        <w:spacing w:after="160" w:line="300"/>
      </w:pPr>
      <w:r>
        <w:t xml:space="preserve">Stage 3 is where the dataset acquires the date-format heterogeneity the DateResolver exists to address. Enterprise data estates almost never store dates uniformly. A single question that joins across tables can touch columns stored as native DATE, native TIMESTAMP, STRING in one or more formats, Unix epoch seconds, or Unix epoch milliseconds. The DateResolver is the governed component (introduced in Chapter 7) that maps each column to its correct parsing expression at SQL-generation time so the query writer never has to guess and never gets it wrong. For the DateResolver to have something to resolve, the companion dataset must deliberately carry these heterogeneous formats. Stage 3 is where that heterogeneity is manufactured, on purpose, as teaching material.</w:t>
      </w:r>
    </w:p>
    <w:p>
      <w:pPr>
        <w:spacing w:after="160" w:line="300"/>
      </w:pPr>
      <w:r>
        <w:t xml:space="preserve">The stage reads from staging_bronze and produces format-injected variants in staging_bronze, overwriting a small number of columns. Five conversions are applied, selected so that every storage variant the DateResolver handles is exercised by at least one table, and so that questions that join across Data Products encounter the full heterogeneity rather than a single format.</w:t>
      </w:r>
    </w:p>
    <w:p>
      <w:pPr>
        <w:pStyle w:val="ListParagraph"/>
        <w:numPr>
          <w:ilvl w:val="0"/>
          <w:numId w:val="2"/>
        </w:numPr>
        <w:spacing w:after="100" w:line="300"/>
      </w:pPr>
      <w:r>
        <w:t xml:space="preserve">clinical_core.lab_result.result_ts → lab_result.result_epoch_s (INT64 epoch seconds)</w:t>
      </w:r>
    </w:p>
    <w:p>
      <w:pPr>
        <w:pStyle w:val="ListParagraph"/>
        <w:numPr>
          <w:ilvl w:val="0"/>
          <w:numId w:val="2"/>
        </w:numPr>
        <w:spacing w:after="100" w:line="300"/>
      </w:pPr>
      <w:r>
        <w:t xml:space="preserve">clinical_core.medication_admin.admin_time → admin_time_str (STRING in "%Y-%m-%d %H:%M:%S")</w:t>
      </w:r>
    </w:p>
    <w:p>
      <w:pPr>
        <w:pStyle w:val="ListParagraph"/>
        <w:numPr>
          <w:ilvl w:val="0"/>
          <w:numId w:val="2"/>
        </w:numPr>
        <w:spacing w:after="100" w:line="300"/>
      </w:pPr>
      <w:r>
        <w:t xml:space="preserve">revenue_cycle.claim_silver.service_date → service_date_str (STRING in "%m/%d/%Y"); the gold variant retains native DATE</w:t>
      </w:r>
    </w:p>
    <w:p>
      <w:pPr>
        <w:pStyle w:val="ListParagraph"/>
        <w:numPr>
          <w:ilvl w:val="0"/>
          <w:numId w:val="2"/>
        </w:numPr>
        <w:spacing w:after="100" w:line="300"/>
      </w:pPr>
      <w:r>
        <w:t xml:space="preserve">workforce.schedule.shift_start → shift_start_epoch_ms (INT64 epoch milliseconds)</w:t>
      </w:r>
    </w:p>
    <w:p>
      <w:pPr>
        <w:pStyle w:val="ListParagraph"/>
        <w:numPr>
          <w:ilvl w:val="0"/>
          <w:numId w:val="2"/>
        </w:numPr>
        <w:spacing w:after="100" w:line="300"/>
      </w:pPr>
      <w:r>
        <w:t xml:space="preserve">supply_chain.pharmacy_order_bronze.order_time → order_time_epoch_ms (INT64 epoch milliseconds)</w:t>
      </w:r>
    </w:p>
    <w:p>
      <w:pPr>
        <w:spacing w:after="160" w:line="300"/>
      </w:pPr>
      <w:r>
        <w:t xml:space="preserve">The original columns are kept in an archive schema so the injection is reversible for debugging. The transformation is pure and deterministic.</w:t>
      </w:r>
    </w:p>
    <w:p>
      <w:pPr>
        <w:spacing w:after="160" w:line="300"/>
      </w:pPr>
      <w:r>
        <w:t xml:space="preserve">After Stage 3 completes, the dataset covers the full set of date-storage variants the DateResolver handles:</w:t>
      </w:r>
    </w:p>
    <w:p>
      <w:pPr>
        <w:pStyle w:val="ListParagraph"/>
        <w:numPr>
          <w:ilvl w:val="0"/>
          <w:numId w:val="2"/>
        </w:numPr>
        <w:spacing w:after="100" w:line="300"/>
      </w:pPr>
      <w:r>
        <w:t xml:space="preserve">Native DATE: pre-aggregated gold marts (encounter_summary_monthly, facility_month_kpi, provider_productivity_month, pharmacy_cost_month), validated gold claims, reference calendars. Resolver output: pass-through.</w:t>
      </w:r>
    </w:p>
    <w:p>
      <w:pPr>
        <w:pStyle w:val="ListParagraph"/>
        <w:numPr>
          <w:ilvl w:val="0"/>
          <w:numId w:val="2"/>
        </w:numPr>
        <w:spacing w:after="100" w:line="300"/>
      </w:pPr>
      <w:r>
        <w:t xml:space="preserve">Native TIMESTAMP: encounters, procedures, observations, cleansed pharmacy orders, quality events. Resolver output: pass-through when has_time is true; DATE(col) when a date-level filter is needed.</w:t>
      </w:r>
    </w:p>
    <w:p>
      <w:pPr>
        <w:pStyle w:val="ListParagraph"/>
        <w:numPr>
          <w:ilvl w:val="0"/>
          <w:numId w:val="2"/>
        </w:numPr>
        <w:spacing w:after="100" w:line="300"/>
      </w:pPr>
      <w:r>
        <w:t xml:space="preserve">STRING in "%Y-%m-%d %H:%M:%S": medication_admin (legacy MAR feed). Resolver output: PARSE_DATETIME with the declared format.</w:t>
      </w:r>
    </w:p>
    <w:p>
      <w:pPr>
        <w:pStyle w:val="ListParagraph"/>
        <w:numPr>
          <w:ilvl w:val="0"/>
          <w:numId w:val="2"/>
        </w:numPr>
        <w:spacing w:after="100" w:line="300"/>
      </w:pPr>
      <w:r>
        <w:t xml:space="preserve">STRING in "%m/%d/%Y": claim_silver, claim_line_silver (US payer feed). Resolver output: PARSE_DATE with the declared format.</w:t>
      </w:r>
    </w:p>
    <w:p>
      <w:pPr>
        <w:pStyle w:val="ListParagraph"/>
        <w:numPr>
          <w:ilvl w:val="0"/>
          <w:numId w:val="2"/>
        </w:numPr>
        <w:spacing w:after="100" w:line="300"/>
      </w:pPr>
      <w:r>
        <w:t xml:space="preserve">INT64 epoch seconds: lab_result (legacy LIS system). Resolver output: DATE(TIMESTAMP_SECONDS(col)).</w:t>
      </w:r>
    </w:p>
    <w:p>
      <w:pPr>
        <w:pStyle w:val="ListParagraph"/>
        <w:numPr>
          <w:ilvl w:val="0"/>
          <w:numId w:val="2"/>
        </w:numPr>
        <w:spacing w:after="100" w:line="300"/>
      </w:pPr>
      <w:r>
        <w:t xml:space="preserve">INT64 epoch milliseconds: schedule, pharmacy_order_bronze (two distinct vendor feeds). Resolver output: DATE(TIMESTAMP_MILLIS(col)).</w:t>
      </w:r>
    </w:p>
    <w:p>
      <w:pPr>
        <w:spacing w:after="160" w:line="300"/>
      </w:pPr>
      <w:r>
        <w:t xml:space="preserve">Every format variant is exercised by at least one table, and the two most common storage-heterogeneity join patterns in enterprise work (TIMESTAMP joined to STRING, and TIMESTAMP joined to epoch) are both present in the dataset. A question that joins encounters to lab_results exercises TIMESTAMP-to-epoch-seconds. A question that joins encounters to medication_admin exercises TIMESTAMP-to-STRING. A question that joins claim_line_silver to encounter exercises STRING-to-TIMESTAMP across Data Product boundaries. These are the joins Chapter 7 traces through the DateResolver to show what correct resolution looks like in practice.</w:t>
      </w:r>
    </w:p>
    <w:p>
      <w:pPr>
        <w:pStyle w:val="Heading2"/>
        <w:spacing w:after="160" w:before="320"/>
      </w:pPr>
      <w:r>
        <w:rPr>
          <w:b/>
          <w:bCs/>
          <w:sz w:val="30"/>
          <w:szCs w:val="30"/>
        </w:rPr>
        <w:t xml:space="preserve">Stage 4: Synthetic table generation</w:t>
      </w:r>
    </w:p>
    <w:p>
      <w:pPr>
        <w:spacing w:after="160" w:line="300"/>
      </w:pPr>
      <w:r>
        <w:t xml:space="preserve">Produces the tables Synthea does not generate: provider_assignment, credential, schedule, adjustment, payment, coverage (with the current_flag variants), formulary, medical_supply_order, pharmacy_order_bronze. Each synthetic module has a dedicated seed derived from the global seed by hashing the module name, so changing one synthetic module does not ripple into unrelated modules.</w:t>
      </w:r>
    </w:p>
    <w:p>
      <w:pPr>
        <w:spacing w:after="160" w:line="300"/>
      </w:pPr>
      <w:r>
        <w:t xml:space="preserve">This stage also seeds the reference Data Product: facility, calendar_fiscal, calendar_clinical, terminology_registry, condition_to_category, business_rules_registry, metrics_registry. These are static CSVs versioned in git, loaded via dbt seeds.</w:t>
      </w:r>
    </w:p>
    <w:p>
      <w:pPr>
        <w:pStyle w:val="Heading2"/>
        <w:spacing w:after="160" w:before="320"/>
      </w:pPr>
      <w:r>
        <w:rPr>
          <w:b/>
          <w:bCs/>
          <w:sz w:val="30"/>
          <w:szCs w:val="30"/>
        </w:rPr>
        <w:t xml:space="preserve">Stage 5: Bronze zone materialization</w:t>
      </w:r>
    </w:p>
    <w:p>
      <w:pPr>
        <w:spacing w:after="160" w:line="300"/>
      </w:pPr>
      <w:r>
        <w:t xml:space="preserve">dbt builds the explicit bronze models for the Data Products that carry a bronze zone: clinical_core.bronze.patient_bronze (with multiple versions for timestamp_rank), and supply_chain.bronze.pharmacy_order_bronze. These are thin wrappers over staging_bronze that the book's chapters can reference as entry points.</w:t>
      </w:r>
    </w:p>
    <w:p>
      <w:pPr>
        <w:pStyle w:val="Heading2"/>
        <w:spacing w:after="160" w:before="320"/>
      </w:pPr>
      <w:r>
        <w:rPr>
          <w:b/>
          <w:bCs/>
          <w:sz w:val="30"/>
          <w:szCs w:val="30"/>
        </w:rPr>
        <w:t xml:space="preserve">Stage 6: Silver zone transformation</w:t>
      </w:r>
    </w:p>
    <w:p>
      <w:pPr>
        <w:spacing w:after="160" w:line="300"/>
      </w:pPr>
      <w:r>
        <w:t xml:space="preserve">dbt builds the silver models: cleansed, dedup'd, format-normalized versions of the bronze tables. This is where the recency patterns are applied.</w:t>
      </w:r>
    </w:p>
    <w:p>
      <w:pPr>
        <w:pStyle w:val="ListParagraph"/>
        <w:numPr>
          <w:ilvl w:val="0"/>
          <w:numId w:val="2"/>
        </w:numPr>
        <w:spacing w:after="100" w:line="300"/>
      </w:pPr>
      <w:r>
        <w:t xml:space="preserve">clinical_core.silver.patient: timestamp_rank dedup of patient_bronze</w:t>
      </w:r>
    </w:p>
    <w:p>
      <w:pPr>
        <w:pStyle w:val="ListParagraph"/>
        <w:numPr>
          <w:ilvl w:val="0"/>
          <w:numId w:val="2"/>
        </w:numPr>
        <w:spacing w:after="100" w:line="300"/>
      </w:pPr>
      <w:r>
        <w:t xml:space="preserve">clinical_core.silver.encounter: cleaned and with LOS calculation applied per RULE_LOS_WHOLE_DAYS</w:t>
      </w:r>
    </w:p>
    <w:p>
      <w:pPr>
        <w:pStyle w:val="ListParagraph"/>
        <w:numPr>
          <w:ilvl w:val="0"/>
          <w:numId w:val="2"/>
        </w:numPr>
        <w:spacing w:after="100" w:line="300"/>
      </w:pPr>
      <w:r>
        <w:t xml:space="preserve">revenue_cycle.silver.claim: raw claims, STRING service_date preserved</w:t>
      </w:r>
    </w:p>
    <w:p>
      <w:pPr>
        <w:pStyle w:val="ListParagraph"/>
        <w:numPr>
          <w:ilvl w:val="0"/>
          <w:numId w:val="2"/>
        </w:numPr>
        <w:spacing w:after="100" w:line="300"/>
      </w:pPr>
      <w:r>
        <w:t xml:space="preserve">workforce.silver.provider_assignment: effective_date pattern (eff_end = NULL for current)</w:t>
      </w:r>
    </w:p>
    <w:p>
      <w:pPr>
        <w:spacing w:after="160" w:line="300"/>
      </w:pPr>
      <w:r>
        <w:t xml:space="preserve">Business rules that belong at the silver level (LOS calculation, ED triage exclusion) are applied here via macros. Rules that are scope-dependent (self-pay exclusion, which applies only to some questions) are implemented as macros but called only from the specific downstream models that need them.</w:t>
      </w:r>
    </w:p>
    <w:p>
      <w:pPr>
        <w:pStyle w:val="Heading2"/>
        <w:spacing w:after="160" w:before="320"/>
      </w:pPr>
      <w:r>
        <w:rPr>
          <w:b/>
          <w:bCs/>
          <w:sz w:val="30"/>
          <w:szCs w:val="30"/>
        </w:rPr>
        <w:t xml:space="preserve">Stage 7: Gold zone transformation</w:t>
      </w:r>
    </w:p>
    <w:p>
      <w:pPr>
        <w:spacing w:after="160" w:line="300"/>
      </w:pPr>
      <w:r>
        <w:t xml:space="preserve">dbt builds the gold models: validated, cross-referenced, governance-applied versions of the silver tables, plus the pre-aggregated mart tables.</w:t>
      </w:r>
    </w:p>
    <w:p>
      <w:pPr>
        <w:spacing w:after="160" w:line="300"/>
      </w:pPr>
      <w:r>
        <w:t xml:space="preserve">The gold zone is where the book's core governance arguments become concrete. Gold claims apply the 120-day late-payment adjustment. Gold readmission_index has CMS exclusions pre-applied. Gold formulary_current has the effective_date filter baked in. The silver-vs-gold numerical differences the book references in Chapter 8 (ZoneRouter) are produced here.</w:t>
      </w:r>
    </w:p>
    <w:p>
      <w:pPr>
        <w:pStyle w:val="Heading2"/>
        <w:spacing w:after="160" w:before="320"/>
      </w:pPr>
      <w:r>
        <w:rPr>
          <w:b/>
          <w:bCs/>
          <w:sz w:val="30"/>
          <w:szCs w:val="30"/>
        </w:rPr>
        <w:t xml:space="preserve">Stage 8: Quality reporting Data Product</w:t>
      </w:r>
    </w:p>
    <w:p>
      <w:pPr>
        <w:spacing w:after="160" w:line="300"/>
      </w:pPr>
      <w:r>
        <w:t xml:space="preserve">The quality_reporting Data Product is gold-only and has no silver zone. This stage materializes it directly from clinical_core.silver and revenue_cycle.gold, applying the CMS exclusion rules via the business rule macros.</w:t>
      </w:r>
    </w:p>
    <w:p>
      <w:pPr>
        <w:spacing w:after="160" w:line="300"/>
      </w:pPr>
      <w:r>
        <w:t xml:space="preserve">This stage is deliberately isolated from the main clinical_core and revenue_cycle stages because its governance model differs. Quality data is certified before publication; silver never exists. The stage boundary makes that governance difference visible in the code.</w:t>
      </w:r>
    </w:p>
    <w:p>
      <w:pPr>
        <w:pStyle w:val="Heading2"/>
        <w:spacing w:after="160" w:before="320"/>
      </w:pPr>
      <w:r>
        <w:rPr>
          <w:b/>
          <w:bCs/>
          <w:sz w:val="30"/>
          <w:szCs w:val="30"/>
        </w:rPr>
        <w:t xml:space="preserve">Stage 9: Metrics and KPI computation</w:t>
      </w:r>
    </w:p>
    <w:p>
      <w:pPr>
        <w:spacing w:after="160" w:line="300"/>
      </w:pPr>
      <w:r>
        <w:t xml:space="preserve">dbt builds the metrics models, one per KPI in the spec. Each model produces a row in kpi_snapshots for the configured reporting period. The canonical SQL for each KPI lives in a YAML file under rules/metrics/ and is rendered into a dbt model at build time, so there is exactly one source of truth for each canonical definition.</w:t>
      </w:r>
    </w:p>
    <w:p>
      <w:pPr>
        <w:pStyle w:val="Heading2"/>
        <w:spacing w:after="160" w:before="320"/>
      </w:pPr>
      <w:r>
        <w:rPr>
          <w:b/>
          <w:bCs/>
          <w:sz w:val="30"/>
          <w:szCs w:val="30"/>
        </w:rPr>
        <w:t xml:space="preserve">Stage 10: Evaluation harness validation</w:t>
      </w:r>
    </w:p>
    <w:p>
      <w:pPr>
        <w:spacing w:after="160" w:line="300"/>
      </w:pPr>
      <w:r>
        <w:t xml:space="preserve">The final stage is not a build stage. It is a test stage. It runs three kinds of test:</w:t>
      </w:r>
    </w:p>
    <w:p>
      <w:pPr>
        <w:pStyle w:val="ListParagraph"/>
        <w:numPr>
          <w:ilvl w:val="0"/>
          <w:numId w:val="2"/>
        </w:numPr>
        <w:spacing w:after="100" w:line="300"/>
      </w:pPr>
      <w:r>
        <w:t xml:space="preserve">Schema tests: every table has expected columns, primary keys are unique, not-null constraints hold.</w:t>
      </w:r>
    </w:p>
    <w:p>
      <w:pPr>
        <w:pStyle w:val="ListParagraph"/>
        <w:numPr>
          <w:ilvl w:val="0"/>
          <w:numId w:val="2"/>
        </w:numPr>
        <w:spacing w:after="100" w:line="300"/>
      </w:pPr>
      <w:r>
        <w:t xml:space="preserve">Business rule verification: for each rule, a set of test cases verifies that the rule fires where it should and does not fire where it should not.</w:t>
      </w:r>
    </w:p>
    <w:p>
      <w:pPr>
        <w:pStyle w:val="ListParagraph"/>
        <w:numPr>
          <w:ilvl w:val="0"/>
          <w:numId w:val="2"/>
        </w:numPr>
        <w:spacing w:after="100" w:line="300"/>
      </w:pPr>
      <w:r>
        <w:t xml:space="preserve">Golden-answer regression: the KPI values in kpi_snapshots match the pinned expected values within tolerance.</w:t>
      </w:r>
    </w:p>
    <w:p>
      <w:pPr>
        <w:pStyle w:val="ListParagraph"/>
        <w:numPr>
          <w:ilvl w:val="0"/>
          <w:numId w:val="2"/>
        </w:numPr>
        <w:spacing w:after="100" w:line="300"/>
      </w:pPr>
      <w:r>
        <w:t xml:space="preserve">Date-format coverage: for each date-bearing column in the dataset, a test asserts that the DateResolver (given the column's metadata) produces the correct BigQuery parsing expression and that the resulting DATE value round-trips to the original source timestamp. This is a resolver unit test, not a pipeline-output test, and it catches regressions in the resolver independently of the dataset.</w:t>
      </w:r>
    </w:p>
    <w:p>
      <w:pPr>
        <w:spacing w:after="160" w:line="300"/>
      </w:pPr>
      <w:r>
        <w:t xml:space="preserve">If any test fails, the pipeline exits with a non-zero code. CI runs this full test suite on every commit against a 1,000-patient dataset. The 100,000-patient run is validated manually before each major release.</w:t>
      </w:r>
    </w:p>
    <w:p>
      <w:pPr>
        <w:pStyle w:val="Heading1"/>
        <w:spacing w:after="200" w:before="360"/>
      </w:pPr>
      <w:r>
        <w:rPr>
          <w:b/>
          <w:bCs/>
          <w:sz w:val="36"/>
          <w:szCs w:val="36"/>
        </w:rPr>
        <w:t xml:space="preserve">6. Business rules, as code</w:t>
      </w:r>
    </w:p>
    <w:p>
      <w:pPr>
        <w:spacing w:after="160" w:line="300"/>
      </w:pPr>
      <w:r>
        <w:t xml:space="preserve">The spec workbook defines twenty business rules. Each rule becomes a YAML file in rules/business_rules/ at the monorepo root, a dbt macro generated from it at pipeline build time, and a runtime resolver invocation in the MCP Server. The YAML shape matches the spec columns so the mapping is direct, and both consumers derive from the same file.</w:t>
      </w:r>
    </w:p>
    <w:p>
      <w:pPr>
        <w:spacing w:after="0" w:line="260"/>
      </w:pPr>
      <w:r>
        <w:rPr>
          <w:rFonts w:ascii="Consolas" w:cs="Consolas" w:eastAsia="Consolas" w:hAnsi="Consolas"/>
          <w:sz w:val="20"/>
          <w:szCs w:val="20"/>
        </w:rPr>
        <w:t xml:space="preserve"># rules/business_rules/RULE_ED_EXCL_TRIAGE.yaml</w:t>
      </w:r>
    </w:p>
    <w:p>
      <w:pPr>
        <w:spacing w:after="0" w:line="260"/>
      </w:pPr>
      <w:r>
        <w:rPr>
          <w:rFonts w:ascii="Consolas" w:cs="Consolas" w:eastAsia="Consolas" w:hAnsi="Consolas"/>
          <w:sz w:val="20"/>
          <w:szCs w:val="20"/>
        </w:rPr>
        <w:t xml:space="preserve">code: RULE_ED_EXCL_TRIAGE</w:t>
      </w:r>
    </w:p>
    <w:p>
      <w:pPr>
        <w:spacing w:after="0" w:line="260"/>
      </w:pPr>
      <w:r>
        <w:rPr>
          <w:rFonts w:ascii="Consolas" w:cs="Consolas" w:eastAsia="Consolas" w:hAnsi="Consolas"/>
          <w:sz w:val="20"/>
          <w:szCs w:val="20"/>
        </w:rPr>
        <w:t xml:space="preserve">data_product: clinical_core</w:t>
      </w:r>
    </w:p>
    <w:p>
      <w:pPr>
        <w:spacing w:after="0" w:line="260"/>
      </w:pPr>
      <w:r>
        <w:rPr>
          <w:rFonts w:ascii="Consolas" w:cs="Consolas" w:eastAsia="Consolas" w:hAnsi="Consolas"/>
          <w:sz w:val="20"/>
          <w:szCs w:val="20"/>
        </w:rPr>
        <w:t xml:space="preserve">name: Exclude triage-only ED encounters</w:t>
      </w:r>
    </w:p>
    <w:p>
      <w:pPr>
        <w:spacing w:after="0" w:line="260"/>
      </w:pPr>
      <w:r>
        <w:rPr>
          <w:rFonts w:ascii="Consolas" w:cs="Consolas" w:eastAsia="Consolas" w:hAnsi="Consolas"/>
          <w:sz w:val="20"/>
          <w:szCs w:val="20"/>
        </w:rPr>
        <w:t xml:space="preserve">kind: institutional</w:t>
      </w:r>
    </w:p>
    <w:p>
      <w:pPr>
        <w:spacing w:after="0" w:line="260"/>
      </w:pPr>
      <w:r>
        <w:rPr>
          <w:rFonts w:ascii="Consolas" w:cs="Consolas" w:eastAsia="Consolas" w:hAnsi="Consolas"/>
          <w:sz w:val="20"/>
          <w:szCs w:val="20"/>
        </w:rPr>
        <w:t xml:space="preserve">version_date: '2019-04-22'</w:t>
      </w:r>
    </w:p>
    <w:p>
      <w:pPr>
        <w:spacing w:after="0" w:line="260"/>
      </w:pPr>
      <w:r>
        <w:rPr>
          <w:rFonts w:ascii="Consolas" w:cs="Consolas" w:eastAsia="Consolas" w:hAnsi="Consolas"/>
          <w:sz w:val="20"/>
          <w:szCs w:val="20"/>
        </w:rPr>
        <w:t xml:space="preserve">owner: ED Operations</w:t>
      </w:r>
    </w:p>
    <w:p>
      <w:pPr>
        <w:spacing w:after="0" w:line="260"/>
      </w:pPr>
      <w:r>
        <w:rPr>
          <w:rFonts w:ascii="Consolas" w:cs="Consolas" w:eastAsia="Consolas" w:hAnsi="Consolas"/>
          <w:sz w:val="20"/>
          <w:szCs w:val="20"/>
        </w:rPr>
        <w:t xml:space="preserve">applies_to:</w:t>
      </w:r>
    </w:p>
    <w:p>
      <w:pPr>
        <w:spacing w:after="0" w:line="260"/>
      </w:pPr>
      <w:r>
        <w:rPr>
          <w:rFonts w:ascii="Consolas" w:cs="Consolas" w:eastAsia="Consolas" w:hAnsi="Consolas"/>
          <w:sz w:val="20"/>
          <w:szCs w:val="20"/>
        </w:rPr>
        <w:t xml:space="preserve">  - clinical_core.encounter</w:t>
      </w:r>
    </w:p>
    <w:p>
      <w:pPr>
        <w:spacing w:after="0" w:line="260"/>
      </w:pPr>
      <w:r>
        <w:rPr>
          <w:rFonts w:ascii="Consolas" w:cs="Consolas" w:eastAsia="Consolas" w:hAnsi="Consolas"/>
          <w:sz w:val="20"/>
          <w:szCs w:val="20"/>
        </w:rPr>
        <w:t xml:space="preserve">sql_fragment: |</w:t>
      </w:r>
    </w:p>
    <w:p>
      <w:pPr>
        <w:spacing w:after="0" w:line="260"/>
      </w:pPr>
      <w:r>
        <w:rPr>
          <w:rFonts w:ascii="Consolas" w:cs="Consolas" w:eastAsia="Consolas" w:hAnsi="Consolas"/>
          <w:sz w:val="20"/>
          <w:szCs w:val="20"/>
        </w:rPr>
        <w:t xml:space="preserve">  encounter_type = 'emergency'</w:t>
      </w:r>
    </w:p>
    <w:p>
      <w:pPr>
        <w:spacing w:after="0" w:line="260"/>
      </w:pPr>
      <w:r>
        <w:rPr>
          <w:rFonts w:ascii="Consolas" w:cs="Consolas" w:eastAsia="Consolas" w:hAnsi="Consolas"/>
          <w:sz w:val="20"/>
          <w:szCs w:val="20"/>
        </w:rPr>
        <w:t xml:space="preserve">  AND (disposition &lt;&gt; 'left_without_being_seen'</w:t>
      </w:r>
    </w:p>
    <w:p>
      <w:pPr>
        <w:spacing w:after="0" w:line="260"/>
      </w:pPr>
      <w:r>
        <w:rPr>
          <w:rFonts w:ascii="Consolas" w:cs="Consolas" w:eastAsia="Consolas" w:hAnsi="Consolas"/>
          <w:sz w:val="20"/>
          <w:szCs w:val="20"/>
        </w:rPr>
        <w:t xml:space="preserve">       AND TIMESTAMP_DIFF(discharge_ts, admit_ts, MINUTE) &gt;= 15)</w:t>
      </w:r>
    </w:p>
    <w:p>
      <w:pPr>
        <w:spacing w:after="0" w:line="260"/>
      </w:pPr>
      <w:r>
        <w:rPr>
          <w:rFonts w:ascii="Consolas" w:cs="Consolas" w:eastAsia="Consolas" w:hAnsi="Consolas"/>
          <w:sz w:val="20"/>
          <w:szCs w:val="20"/>
        </w:rPr>
        <w:t xml:space="preserve">test_cases:</w:t>
      </w:r>
    </w:p>
    <w:p>
      <w:pPr>
        <w:spacing w:after="0" w:line="260"/>
      </w:pPr>
      <w:r>
        <w:rPr>
          <w:rFonts w:ascii="Consolas" w:cs="Consolas" w:eastAsia="Consolas" w:hAnsi="Consolas"/>
          <w:sz w:val="20"/>
          <w:szCs w:val="20"/>
        </w:rPr>
        <w:t xml:space="preserve">  - description: excludes LWBS encounter</w:t>
      </w:r>
    </w:p>
    <w:p>
      <w:pPr>
        <w:spacing w:after="0" w:line="260"/>
      </w:pPr>
      <w:r>
        <w:rPr>
          <w:rFonts w:ascii="Consolas" w:cs="Consolas" w:eastAsia="Consolas" w:hAnsi="Consolas"/>
          <w:sz w:val="20"/>
          <w:szCs w:val="20"/>
        </w:rPr>
        <w:t xml:space="preserve">    input_fixture: fixtures/encounter_lwbs.sql</w:t>
      </w:r>
    </w:p>
    <w:p>
      <w:pPr>
        <w:spacing w:after="0" w:line="260"/>
      </w:pPr>
      <w:r>
        <w:rPr>
          <w:rFonts w:ascii="Consolas" w:cs="Consolas" w:eastAsia="Consolas" w:hAnsi="Consolas"/>
          <w:sz w:val="20"/>
          <w:szCs w:val="20"/>
        </w:rPr>
        <w:t xml:space="preserve">    expected_excluded: true</w:t>
      </w:r>
    </w:p>
    <w:p>
      <w:pPr>
        <w:spacing w:after="0" w:line="260"/>
      </w:pPr>
      <w:r>
        <w:rPr>
          <w:rFonts w:ascii="Consolas" w:cs="Consolas" w:eastAsia="Consolas" w:hAnsi="Consolas"/>
          <w:sz w:val="20"/>
          <w:szCs w:val="20"/>
        </w:rPr>
        <w:t xml:space="preserve">  - description: includes full-visit ED encounter</w:t>
      </w:r>
    </w:p>
    <w:p>
      <w:pPr>
        <w:spacing w:after="0" w:line="260"/>
      </w:pPr>
      <w:r>
        <w:rPr>
          <w:rFonts w:ascii="Consolas" w:cs="Consolas" w:eastAsia="Consolas" w:hAnsi="Consolas"/>
          <w:sz w:val="20"/>
          <w:szCs w:val="20"/>
        </w:rPr>
        <w:t xml:space="preserve">    input_fixture: fixtures/encounter_normal_ed.sql</w:t>
      </w:r>
    </w:p>
    <w:p>
      <w:pPr>
        <w:spacing w:after="0" w:line="260"/>
      </w:pPr>
      <w:r>
        <w:rPr>
          <w:rFonts w:ascii="Consolas" w:cs="Consolas" w:eastAsia="Consolas" w:hAnsi="Consolas"/>
          <w:sz w:val="20"/>
          <w:szCs w:val="20"/>
        </w:rPr>
        <w:t xml:space="preserve">    expected_excluded: false</w:t>
      </w:r>
    </w:p>
    <w:p>
      <w:pPr>
        <w:spacing w:after="160" w:line="300"/>
      </w:pPr>
      <w:r>
        <w:t xml:space="preserve"/>
      </w:r>
    </w:p>
    <w:p>
      <w:pPr>
        <w:spacing w:after="160" w:line="300"/>
      </w:pPr>
      <w:r>
        <w:t xml:space="preserve">A build script walks rules/business_rules/ at pipeline init, generates a dbt macro for each rule, and writes them into dataset/dbt/macros/business_rules/. The macros are regenerated on every pipeline run, so the YAML is always the source of truth. Readers who want to see how a rule is applied open the YAML; readers who want to see the generated SQL open the macro; readers who want to see the runtime resolution open mcp_server/src/mcp_server/business_rules/. All three derive from the same file and stay consistent because of it.</w:t>
      </w:r>
    </w:p>
    <w:p>
      <w:pPr>
        <w:spacing w:after="160" w:line="300"/>
      </w:pPr>
      <w:r>
        <w:t xml:space="preserve">The same pattern applies to the metrics registry. Each KPI YAML generates a dbt model that produces its row of kpi_snapshots. The YAML is what the Knowledge Graph Studio's metric editor writes; the dbt model is what the pipeline runs. The Studio does not have to understand SQL; it edits YAML, commits to git, and the pipeline picks it up. That workflow is the bridge between Chapter 5 (metrics registry) and Chapter 14 (MLOps).</w:t>
      </w:r>
    </w:p>
    <w:p>
      <w:pPr>
        <w:pStyle w:val="Heading1"/>
        <w:spacing w:after="200" w:before="360"/>
      </w:pPr>
      <w:r>
        <w:rPr>
          <w:b/>
          <w:bCs/>
          <w:sz w:val="36"/>
          <w:szCs w:val="36"/>
        </w:rPr>
        <w:t xml:space="preserve">7. Evaluation harness</w:t>
      </w:r>
    </w:p>
    <w:p>
      <w:pPr>
        <w:spacing w:after="160" w:line="300"/>
      </w:pPr>
      <w:r>
        <w:t xml:space="preserve">Chapter 11 of the book builds the evaluation harness that turns retrieval tests, resolver unit tests, SQL validation, and production metrics into release gates. The companion repository's evaluation/ directory is the raw material for that harness. It sits at the monorepo root because it depends on all three subsystems, and putting it inside any one of them would distort the dependency direction.</w:t>
      </w:r>
    </w:p>
    <w:p>
      <w:pPr>
        <w:pStyle w:val="Heading2"/>
        <w:spacing w:after="160" w:before="320"/>
      </w:pPr>
      <w:r>
        <w:rPr>
          <w:b/>
          <w:bCs/>
          <w:sz w:val="30"/>
          <w:szCs w:val="30"/>
        </w:rPr>
        <w:t xml:space="preserve">7.1 Table-level tests</w:t>
      </w:r>
    </w:p>
    <w:p>
      <w:pPr>
        <w:spacing w:after="160" w:line="300"/>
      </w:pPr>
      <w:r>
        <w:t xml:space="preserve">dbt ships with a test framework. Every table in the spec has at least one test declaration in its corresponding schema.yml file under dataset/dbt/. At minimum: not-null constraints on primary key columns, unique constraints on primary keys, and accepted-values constraints on enumerated columns. Fan-out-risk tables carry additional tests that verify the fan-out note: for example, encounter_diagnosis has a test that explicitly checks that COUNT(*) &gt; COUNT(DISTINCT encounter_id) so that a future refactor cannot accidentally collapse it to encounter grain.</w:t>
      </w:r>
    </w:p>
    <w:p>
      <w:pPr>
        <w:pStyle w:val="Heading2"/>
        <w:spacing w:after="160" w:before="320"/>
      </w:pPr>
      <w:r>
        <w:rPr>
          <w:b/>
          <w:bCs/>
          <w:sz w:val="30"/>
          <w:szCs w:val="30"/>
        </w:rPr>
        <w:t xml:space="preserve">7.2 Business rule tests</w:t>
      </w:r>
    </w:p>
    <w:p>
      <w:pPr>
        <w:spacing w:after="160" w:line="300"/>
      </w:pPr>
      <w:r>
        <w:t xml:space="preserve">Each business rule ships with a fixture-based test. A fixture is a small SQL file that produces a tiny synthetic input; the test runs the rule's macro against the fixture and asserts the expected output. The LWBS example above is one such fixture. Fixtures are committed to the repository so they serve as executable documentation of what the rule does. A reader studying the BusinessRuleResolver chapter can open a fixture and see, in fifteen lines, exactly what the rule excludes.</w:t>
      </w:r>
    </w:p>
    <w:p>
      <w:pPr>
        <w:pStyle w:val="Heading2"/>
        <w:spacing w:after="160" w:before="320"/>
      </w:pPr>
      <w:r>
        <w:rPr>
          <w:b/>
          <w:bCs/>
          <w:sz w:val="30"/>
          <w:szCs w:val="30"/>
        </w:rPr>
        <w:t xml:space="preserve">7.3 Resolver unit tests</w:t>
      </w:r>
    </w:p>
    <w:p>
      <w:pPr>
        <w:spacing w:after="160" w:line="300"/>
      </w:pPr>
      <w:r>
        <w:t xml:space="preserve">The Date, Recency, and Grain resolvers in the MCP Server have unit tests under evaluation/resolver_tests/. These tests instantiate each resolver with a metadata fixture from the spec and assert that the resolver produces the expected BigQuery expression. They run independently of the dataset pipeline, so a resolver change can be validated in seconds without rebuilding any data. The tests are the teaching material for Chapters 7 through 9.</w:t>
      </w:r>
    </w:p>
    <w:p>
      <w:pPr>
        <w:pStyle w:val="Heading2"/>
        <w:spacing w:after="160" w:before="320"/>
      </w:pPr>
      <w:r>
        <w:rPr>
          <w:b/>
          <w:bCs/>
          <w:sz w:val="30"/>
          <w:szCs w:val="30"/>
        </w:rPr>
        <w:t xml:space="preserve">7.4 Golden-answer regression</w:t>
      </w:r>
    </w:p>
    <w:p>
      <w:pPr>
        <w:spacing w:after="160" w:line="300"/>
      </w:pPr>
      <w:r>
        <w:t xml:space="preserve">The five KPIs defined in the spec each have a known-good value at a fixed reporting period. Those values are computed once, by the author, against the canonical 100,000-patient build, and are committed to evaluation/golden_answers/kpi_snapshots.csv. Every subsequent run regenerates kpi_snapshots and compares it to the committed golden answers. Any deviation beyond a small tolerance (typically fractions of a percent, to account for BigQuery's approximate quantile functions) fails the pipeline.</w:t>
      </w:r>
    </w:p>
    <w:p>
      <w:pPr>
        <w:spacing w:after="160" w:line="300"/>
      </w:pPr>
      <w:r>
        <w:t xml:space="preserve">This is the book's strongest guarantee of reproducibility. A reader who runs the pipeline at 100,000 patients and sees the same readmission rate, the same length of stay, the same door-to-provider median as the book reports is running the same architecture the book teaches, against the same data, with the same rules applied. Any divergence means a bug somewhere: the book, the pipeline, or the reader's configuration. The regression harness surfaces the bug quickly.</w:t>
      </w:r>
    </w:p>
    <w:p>
      <w:pPr>
        <w:pStyle w:val="Heading1"/>
        <w:spacing w:after="200" w:before="360"/>
      </w:pPr>
      <w:r>
        <w:rPr>
          <w:b/>
          <w:bCs/>
          <w:sz w:val="36"/>
          <w:szCs w:val="36"/>
        </w:rPr>
        <w:t xml:space="preserve">8. Scale configurations</w:t>
      </w:r>
    </w:p>
    <w:p>
      <w:pPr>
        <w:spacing w:after="160" w:line="300"/>
      </w:pPr>
      <w:r>
        <w:t xml:space="preserve">The pipeline supports three named configurations plus a custom one. Each is a single YAML file that sets the Synthea population size, the dbt target, and the golden-answer comparison mode.</w:t>
      </w:r>
    </w:p>
    <w:p>
      <w:pPr>
        <w:pStyle w:val="Heading3"/>
        <w:spacing w:after="120" w:before="240"/>
      </w:pPr>
      <w:r>
        <w:rPr>
          <w:b/>
          <w:bCs/>
          <w:sz w:val="24"/>
          <w:szCs w:val="24"/>
        </w:rPr>
        <w:t xml:space="preserve">dev (1,000 patients)</w:t>
      </w:r>
    </w:p>
    <w:p>
      <w:pPr>
        <w:spacing w:after="160" w:line="300"/>
      </w:pPr>
      <w:r>
        <w:t xml:space="preserve">Laptop-scale. Loads into a local DuckDB or SQLite rather than BigQuery, so iteration is free. End-to-end run completes in under five minutes. Used by CI for the full regression suite. Not used for the book's examples; the volumes are too small to exercise BigQuery partitioning and clustering.</w:t>
      </w:r>
    </w:p>
    <w:p>
      <w:pPr>
        <w:pStyle w:val="Heading3"/>
        <w:spacing w:after="120" w:before="240"/>
      </w:pPr>
      <w:r>
        <w:rPr>
          <w:b/>
          <w:bCs/>
          <w:sz w:val="24"/>
          <w:szCs w:val="24"/>
        </w:rPr>
        <w:t xml:space="preserve">reader (10,000 patients)</w:t>
      </w:r>
    </w:p>
    <w:p>
      <w:pPr>
        <w:spacing w:after="160" w:line="300"/>
      </w:pPr>
      <w:r>
        <w:t xml:space="preserve">BigQuery-backed. Designed for a reader's first pass. Costs approximately two dollars to produce. Takes around fifteen minutes end to end. Produces KPI values that are directionally consistent with the canonical build but not bit-identical, so the golden-answer regression runs in tolerance mode rather than exact mode.</w:t>
      </w:r>
    </w:p>
    <w:p>
      <w:pPr>
        <w:pStyle w:val="Heading3"/>
        <w:spacing w:after="120" w:before="240"/>
      </w:pPr>
      <w:r>
        <w:rPr>
          <w:b/>
          <w:bCs/>
          <w:sz w:val="24"/>
          <w:szCs w:val="24"/>
        </w:rPr>
        <w:t xml:space="preserve">canonical (100,000 patients)</w:t>
      </w:r>
    </w:p>
    <w:p>
      <w:pPr>
        <w:spacing w:after="160" w:line="300"/>
      </w:pPr>
      <w:r>
        <w:t xml:space="preserve">The scale the book's examples reference. Costs approximately twenty-five dollars. Takes around ninety minutes end to end. This is the configuration that produces the golden-answer snapshots. A reader who wants to reproduce the book's exact numbers runs at this scale.</w:t>
      </w:r>
    </w:p>
    <w:p>
      <w:pPr>
        <w:pStyle w:val="Heading3"/>
        <w:spacing w:after="120" w:before="240"/>
      </w:pPr>
      <w:r>
        <w:rPr>
          <w:b/>
          <w:bCs/>
          <w:sz w:val="24"/>
          <w:szCs w:val="24"/>
        </w:rPr>
        <w:t xml:space="preserve">research (500,000 patients)</w:t>
      </w:r>
    </w:p>
    <w:p>
      <w:pPr>
        <w:spacing w:after="160" w:line="300"/>
      </w:pPr>
      <w:r>
        <w:t xml:space="preserve">For readers who want to stress-test the architecture. Costs approximately one hundred dollars. Takes around six hours. Not required; provided as a ceiling for those who want to see how the pipeline behaves on data that genuinely stresses BigQuery slot allocation.</w:t>
      </w:r>
    </w:p>
    <w:p>
      <w:pPr>
        <w:pStyle w:val="Heading1"/>
        <w:spacing w:after="200" w:before="360"/>
      </w:pPr>
      <w:r>
        <w:rPr>
          <w:b/>
          <w:bCs/>
          <w:sz w:val="36"/>
          <w:szCs w:val="36"/>
        </w:rPr>
        <w:t xml:space="preserve">9. CI and reproducibility</w:t>
      </w:r>
    </w:p>
    <w:p>
      <w:pPr>
        <w:spacing w:after="160" w:line="300"/>
      </w:pPr>
      <w:r>
        <w:t xml:space="preserve">Every commit to the companion repository triggers a CI run. The run does five things, in order: installs the Python, dbt, and Node.js dependencies from locked versions; runs the spec consistency check (which walks the spec workbook and verifies every table has a corresponding model, every rule has a corresponding YAML, and every resolver references a column that exists); runs the full pipeline at dev scale; runs the monorepo test suite (dataset tests, resolver unit tests, retrieval tests, and the golden-answer regression against the dev-scale snapshot); and publishes a summary artifact describing row counts, resolver outputs, and KPI values at dev scale.</w:t>
      </w:r>
    </w:p>
    <w:p>
      <w:pPr>
        <w:spacing w:after="160" w:line="300"/>
      </w:pPr>
      <w:r>
        <w:t xml:space="preserve">Every release of the companion repository is tagged with the corresponding book chapter. The tag chapter-04 points to the repository state the reader needs to follow Chapter 4's examples. The tag chapter-11 points to the state with the full evaluation harness in place. Because the repository is a monorepo, a single tag captures the state of all three subsystems at once. This lets a reader who is working through one chapter pin the repository to the version that matches the book, without being affected by changes introduced for later chapters and without having to coordinate pins across multiple repositories.</w:t>
      </w:r>
    </w:p>
    <w:p>
      <w:pPr>
        <w:spacing w:after="160" w:line="300"/>
      </w:pPr>
      <w:r>
        <w:t xml:space="preserve">The Synthea version, the dbt version, the BigQuery client version, the Neo4j driver version, the Vertex AI SDK version, and every Python and Node dependency are pinned in lock files. A note in the README warns that upgrading any of these invalidates the golden-answer snapshots and requires a regeneration pass. This is an intentional friction: the book is a long-lived artifact, and silent dependency drift is a real risk for long-lived companion code.</w:t>
      </w:r>
    </w:p>
    <w:p>
      <w:pPr>
        <w:pStyle w:val="Heading1"/>
        <w:spacing w:after="200" w:before="360"/>
      </w:pPr>
      <w:r>
        <w:rPr>
          <w:b/>
          <w:bCs/>
          <w:sz w:val="36"/>
          <w:szCs w:val="36"/>
        </w:rPr>
        <w:t xml:space="preserve">10. Scope of this document</w:t>
      </w:r>
    </w:p>
    <w:p>
      <w:pPr>
        <w:spacing w:after="160" w:line="300"/>
      </w:pPr>
      <w:r>
        <w:t xml:space="preserve">Several things are covered by the monorepo but are outside this document's scope. Flagging them here prevents reviewer confusion.</w:t>
      </w:r>
    </w:p>
    <w:p>
      <w:pPr>
        <w:pStyle w:val="ListParagraph"/>
        <w:numPr>
          <w:ilvl w:val="0"/>
          <w:numId w:val="2"/>
        </w:numPr>
        <w:spacing w:after="100" w:line="300"/>
      </w:pPr>
      <w:r>
        <w:rPr>
          <w:b/>
          <w:bCs/>
        </w:rPr>
        <w:t xml:space="preserve">The MCP Server's internal design. </w:t>
      </w:r>
      <w:r>
        <w:t xml:space="preserve">This document describes the MCP Server's position in the monorepo but not its internal architecture. The nine-step pipeline, the three resolvers, the knowledge graph schema, the authority reranker, the dual-token auth pattern, and the observability layer are all covered in a separate design document and are the subject of Chapters 6 through 10 of the book.</w:t>
      </w:r>
    </w:p>
    <w:p>
      <w:pPr>
        <w:pStyle w:val="ListParagraph"/>
        <w:numPr>
          <w:ilvl w:val="0"/>
          <w:numId w:val="2"/>
        </w:numPr>
        <w:spacing w:after="100" w:line="300"/>
      </w:pPr>
      <w:r>
        <w:rPr>
          <w:b/>
          <w:bCs/>
        </w:rPr>
        <w:t xml:space="preserve">The Knowledge Graph Studio design. </w:t>
      </w:r>
      <w:r>
        <w:t xml:space="preserve">The Studio is a browser application with its own stack and its own design document. Chapters 4 and 5 introduce its user-facing behavior. At the monorepo level, the only thing that matters is that the Studio reads from and writes to rules/ and spec/, and its outputs are consumed by the pipeline and the MCP Server on the next run.</w:t>
      </w:r>
    </w:p>
    <w:p>
      <w:pPr>
        <w:spacing w:after="160" w:line="300"/>
      </w:pPr>
      <w:r>
        <w:t xml:space="preserve">Two things are deliberately not implemented at all in the companion code, at any level:</w:t>
      </w:r>
    </w:p>
    <w:p>
      <w:pPr>
        <w:pStyle w:val="ListParagraph"/>
        <w:numPr>
          <w:ilvl w:val="0"/>
          <w:numId w:val="2"/>
        </w:numPr>
        <w:spacing w:after="100" w:line="300"/>
      </w:pPr>
      <w:r>
        <w:rPr>
          <w:b/>
          <w:bCs/>
        </w:rPr>
        <w:t xml:space="preserve">Production deployment. </w:t>
      </w:r>
      <w:r>
        <w:t xml:space="preserve">The pipeline and the MCP Server produce a development-scale system. Running either against production infrastructure with proper IAM, VPC service controls, cost monitoring, and incident response is Chapter 14's subject, not this repository's.</w:t>
      </w:r>
    </w:p>
    <w:p>
      <w:pPr>
        <w:pStyle w:val="ListParagraph"/>
        <w:numPr>
          <w:ilvl w:val="0"/>
          <w:numId w:val="2"/>
        </w:numPr>
        <w:spacing w:after="100" w:line="300"/>
      </w:pPr>
      <w:r>
        <w:rPr>
          <w:b/>
          <w:bCs/>
        </w:rPr>
        <w:t xml:space="preserve">Multi-tenant isolation. </w:t>
      </w:r>
      <w:r>
        <w:t xml:space="preserve">The companion system is single-tenant. Real healthcare data estates have tenant-aware access control, row-level security, and audit logging. These are acknowledged in the book but not implemented in the companion repo.</w:t>
      </w:r>
    </w:p>
    <w:p>
      <w:pPr>
        <w:pStyle w:val="Heading1"/>
        <w:spacing w:after="200" w:before="360"/>
      </w:pPr>
      <w:r>
        <w:rPr>
          <w:b/>
          <w:bCs/>
          <w:sz w:val="36"/>
          <w:szCs w:val="36"/>
        </w:rPr>
        <w:t xml:space="preserve">11. Timeline and risks</w:t>
      </w:r>
    </w:p>
    <w:p>
      <w:pPr>
        <w:pStyle w:val="Heading2"/>
        <w:spacing w:after="160" w:before="320"/>
      </w:pPr>
      <w:r>
        <w:rPr>
          <w:b/>
          <w:bCs/>
          <w:sz w:val="30"/>
          <w:szCs w:val="30"/>
        </w:rPr>
        <w:t xml:space="preserve">11.1 Estimated effort</w:t>
      </w:r>
    </w:p>
    <w:p>
      <w:pPr>
        <w:spacing w:after="160" w:line="300"/>
      </w:pPr>
      <w:r>
        <w:t xml:space="preserve">The estimate below covers the dataset pipeline portion of the monorepo only. The MCP Server and the Studio are separate effort line items, tracked in their own design documents. A rough decomposition for a single experienced engineer familiar with dbt and BigQuery, working half-time:</w:t>
      </w:r>
    </w:p>
    <w:p>
      <w:pPr>
        <w:pStyle w:val="ListParagraph"/>
        <w:numPr>
          <w:ilvl w:val="0"/>
          <w:numId w:val="2"/>
        </w:numPr>
        <w:spacing w:after="100" w:line="300"/>
      </w:pPr>
      <w:r>
        <w:t xml:space="preserve">Stages 1 through 4 (Python ingest, projection, format injection, synthetic generation): three weeks.</w:t>
      </w:r>
    </w:p>
    <w:p>
      <w:pPr>
        <w:pStyle w:val="ListParagraph"/>
        <w:numPr>
          <w:ilvl w:val="0"/>
          <w:numId w:val="2"/>
        </w:numPr>
        <w:spacing w:after="100" w:line="300"/>
      </w:pPr>
      <w:r>
        <w:t xml:space="preserve">Stages 5 through 7 (dbt bronze, silver, gold): three weeks.</w:t>
      </w:r>
    </w:p>
    <w:p>
      <w:pPr>
        <w:pStyle w:val="ListParagraph"/>
        <w:numPr>
          <w:ilvl w:val="0"/>
          <w:numId w:val="2"/>
        </w:numPr>
        <w:spacing w:after="100" w:line="300"/>
      </w:pPr>
      <w:r>
        <w:t xml:space="preserve">Stages 8 and 9 (quality reporting, metrics): two weeks.</w:t>
      </w:r>
    </w:p>
    <w:p>
      <w:pPr>
        <w:pStyle w:val="ListParagraph"/>
        <w:numPr>
          <w:ilvl w:val="0"/>
          <w:numId w:val="2"/>
        </w:numPr>
        <w:spacing w:after="100" w:line="300"/>
      </w:pPr>
      <w:r>
        <w:t xml:space="preserve">Stage 10 (evaluation harness, dataset portion): two weeks.</w:t>
      </w:r>
    </w:p>
    <w:p>
      <w:pPr>
        <w:pStyle w:val="ListParagraph"/>
        <w:numPr>
          <w:ilvl w:val="0"/>
          <w:numId w:val="2"/>
        </w:numPr>
        <w:spacing w:after="100" w:line="300"/>
      </w:pPr>
      <w:r>
        <w:t xml:space="preserve">Business rule codification (20 rules x half a day each): two weeks.</w:t>
      </w:r>
    </w:p>
    <w:p>
      <w:pPr>
        <w:pStyle w:val="ListParagraph"/>
        <w:numPr>
          <w:ilvl w:val="0"/>
          <w:numId w:val="2"/>
        </w:numPr>
        <w:spacing w:after="100" w:line="300"/>
      </w:pPr>
      <w:r>
        <w:t xml:space="preserve">Documentation, CI setup, scale configurations, golden-answer generation: two weeks.</w:t>
      </w:r>
    </w:p>
    <w:p>
      <w:pPr>
        <w:spacing w:after="160" w:line="300"/>
      </w:pPr>
      <w:r>
        <w:t xml:space="preserve">Total: approximately fourteen weeks half-time, or seven weeks full-time, for the dataset pipeline. This aligns reasonably well with an O'Reilly book's production timeline if the companion repo is scoped in parallel with the first draft.</w:t>
      </w:r>
    </w:p>
    <w:p>
      <w:pPr>
        <w:pStyle w:val="Heading2"/>
        <w:spacing w:after="160" w:before="320"/>
      </w:pPr>
      <w:r>
        <w:rPr>
          <w:b/>
          <w:bCs/>
          <w:sz w:val="30"/>
          <w:szCs w:val="30"/>
        </w:rPr>
        <w:t xml:space="preserve">11.2 Primary risks</w:t>
      </w:r>
    </w:p>
    <w:p>
      <w:pPr>
        <w:pStyle w:val="Heading3"/>
        <w:spacing w:after="120" w:before="240"/>
      </w:pPr>
      <w:r>
        <w:rPr>
          <w:b/>
          <w:bCs/>
          <w:sz w:val="24"/>
          <w:szCs w:val="24"/>
        </w:rPr>
        <w:t xml:space="preserve">Synthea schema drift</w:t>
      </w:r>
    </w:p>
    <w:p>
      <w:pPr>
        <w:spacing w:after="160" w:line="300"/>
      </w:pPr>
      <w:r>
        <w:t xml:space="preserve">Synthea evolves. Future versions may rename fields, change distributions, or introduce new resource types. The pipeline pins to a specific Synthea version, but any upgrade invalidates the golden-answer snapshots. Mitigation: pin aggressively, upgrade deliberately, regenerate snapshots as a release ritual.</w:t>
      </w:r>
    </w:p>
    <w:p>
      <w:pPr>
        <w:pStyle w:val="Heading3"/>
        <w:spacing w:after="120" w:before="240"/>
      </w:pPr>
      <w:r>
        <w:rPr>
          <w:b/>
          <w:bCs/>
          <w:sz w:val="24"/>
          <w:szCs w:val="24"/>
        </w:rPr>
        <w:t xml:space="preserve">BigQuery cost surprises</w:t>
      </w:r>
    </w:p>
    <w:p>
      <w:pPr>
        <w:spacing w:after="160" w:line="300"/>
      </w:pPr>
      <w:r>
        <w:t xml:space="preserve">The cost estimates (two dollars at reader scale, twenty-five dollars at canonical scale) assume properly partitioned and clustered tables. A reader who runs the pipeline against a misconfigured project without partitioning could see costs an order of magnitude higher. Mitigation: the pipeline applies partitioning and clustering declaratively in the dbt model configs, and the README includes a "before you run" section that walks through project setup.</w:t>
      </w:r>
    </w:p>
    <w:p>
      <w:pPr>
        <w:pStyle w:val="Heading3"/>
        <w:spacing w:after="120" w:before="240"/>
      </w:pPr>
      <w:r>
        <w:rPr>
          <w:b/>
          <w:bCs/>
          <w:sz w:val="24"/>
          <w:szCs w:val="24"/>
        </w:rPr>
        <w:t xml:space="preserve">Golden-answer fragility under BigQuery approximation</w:t>
      </w:r>
    </w:p>
    <w:p>
      <w:pPr>
        <w:spacing w:after="160" w:line="300"/>
      </w:pPr>
      <w:r>
        <w:t xml:space="preserve">Several KPIs use APPROX_QUANTILES for percentile calculations. BigQuery's approximation is deterministic within a given query, but may shift subtly across BigQuery version updates. Mitigation: golden-answer regression runs with a tolerance (typically 1%) rather than exact equality. The tolerance is documented, justified, and tested against a deliberate small perturbation to verify that real regressions are still caught.</w:t>
      </w:r>
    </w:p>
    <w:p>
      <w:pPr>
        <w:pStyle w:val="Heading3"/>
        <w:spacing w:after="120" w:before="240"/>
      </w:pPr>
      <w:r>
        <w:rPr>
          <w:b/>
          <w:bCs/>
          <w:sz w:val="24"/>
          <w:szCs w:val="24"/>
        </w:rPr>
        <w:t xml:space="preserve">Reviewer credentials and PHI perceptions</w:t>
      </w:r>
    </w:p>
    <w:p>
      <w:pPr>
        <w:spacing w:after="160" w:line="300"/>
      </w:pPr>
      <w:r>
        <w:t xml:space="preserve">Even though the dataset is fully synthetic and Synthea-based, the facility mnemonics, the clinical acronyms, and the coded categories will be invented. A reviewer might confuse invented categories for real ones. Mitigation: the README opens with a prominent note that every identifier is invented, every category is synthetic, and the dataset should not be used for any purpose other than following the book's examples.</w:t>
      </w:r>
    </w:p>
    <w:p>
      <w:pPr>
        <w:pStyle w:val="Heading3"/>
        <w:spacing w:after="120" w:before="240"/>
      </w:pPr>
      <w:r>
        <w:rPr>
          <w:b/>
          <w:bCs/>
          <w:sz w:val="24"/>
          <w:szCs w:val="24"/>
        </w:rPr>
        <w:t xml:space="preserve">Monorepo coordination overhead</w:t>
      </w:r>
    </w:p>
    <w:p>
      <w:pPr>
        <w:spacing w:after="160" w:line="300"/>
      </w:pPr>
      <w:r>
        <w:t xml:space="preserve">A monorepo requires the dataset pipeline, the MCP Server, and the Studio to move together at tag time. A change in any one can block a release of the others if tests fail. Mitigation: CI runs per-subsystem test suites in addition to the full regression harness, so a reader of Chapter 3 does not need the MCP Server to pass tests at chapter-03 tag time if only the pipeline has changed between tags. The chapter_map.md at the repo root makes the coupling explicit so contributors know what moves with what.</w:t>
      </w:r>
    </w:p>
    <w:p>
      <w:pPr>
        <w:pStyle w:val="Heading1"/>
        <w:spacing w:after="200" w:before="360"/>
      </w:pPr>
      <w:r>
        <w:rPr>
          <w:b/>
          <w:bCs/>
          <w:sz w:val="36"/>
          <w:szCs w:val="36"/>
        </w:rPr>
        <w:t xml:space="preserve">12. What to take to O'Reilly</w:t>
      </w:r>
    </w:p>
    <w:p>
      <w:pPr>
        <w:spacing w:after="160" w:line="300"/>
      </w:pPr>
      <w:r>
        <w:t xml:space="preserve">Three artifacts together make the companion repository plan credible to an O'Reilly acquisitions editor.</w:t>
      </w:r>
    </w:p>
    <w:p>
      <w:pPr>
        <w:pStyle w:val="ListParagraph"/>
        <w:numPr>
          <w:ilvl w:val="0"/>
          <w:numId w:val="2"/>
        </w:numPr>
        <w:spacing w:after="100" w:line="300"/>
      </w:pPr>
      <w:r>
        <w:t xml:space="preserve">The book proposal (delivered).</w:t>
      </w:r>
    </w:p>
    <w:p>
      <w:pPr>
        <w:pStyle w:val="ListParagraph"/>
        <w:numPr>
          <w:ilvl w:val="0"/>
          <w:numId w:val="2"/>
        </w:numPr>
        <w:spacing w:after="100" w:line="300"/>
      </w:pPr>
      <w:r>
        <w:t xml:space="preserve">The dataset specification workbook (delivered).</w:t>
      </w:r>
    </w:p>
    <w:p>
      <w:pPr>
        <w:pStyle w:val="ListParagraph"/>
        <w:numPr>
          <w:ilvl w:val="0"/>
          <w:numId w:val="2"/>
        </w:numPr>
        <w:spacing w:after="100" w:line="300"/>
      </w:pPr>
      <w:r>
        <w:t xml:space="preserve">This pipeline plan.</w:t>
      </w:r>
    </w:p>
    <w:p>
      <w:pPr>
        <w:spacing w:after="160" w:line="300"/>
      </w:pPr>
      <w:r>
        <w:t xml:space="preserve">The acquisitions editor's question is not whether the book is interesting. The proposal answers that. The question is whether the companion code is a realistic commitment. The dataset spec and this pipeline plan answer that. Together, the three documents show a book with a concrete architecture, a concrete substrate, and a concrete reproducibility story, on a believable timeline.</w:t>
      </w:r>
    </w:p>
    <w:p>
      <w:pPr>
        <w:spacing w:after="160" w:line="300"/>
      </w:pPr>
      <w:r>
        <w:t xml:space="preserve">If feedback comes back asking for scope reduction, the places to cut are listed in order of least damage: the 500,000-patient research configuration (easiest to cut, smallest teaching impact), the supply_chain Data Product (moderate impact, removes the bronze-to-silver-to-gold progression), and the BusinessRuleResolver's more elaborate rules (each rule removed loses a teaching moment but does not change the architecture). What cannot be cut without damage: the two-layer architecture, the spec-as-source-of-truth discipline, the monorepo layout with its shared rules and spec, the golden-answer regression harness, and the Knowledge Graph Studio's YAML-based authoring path. Those are the load-bearing elements.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6"/>
      <w:szCs w:val="36"/>
    </w:rPr>
  </w:style>
  <w:style w:type="paragraph" w:styleId="Heading2">
    <w:name w:val="Heading 2"/>
    <w:basedOn w:val="Normal"/>
    <w:next w:val="Normal"/>
    <w:qFormat/>
    <w:pPr>
      <w:spacing w:after="160" w:before="320"/>
      <w:outlineLvl w:val="1"/>
    </w:pPr>
    <w:rPr>
      <w:rFonts w:ascii="Calibri" w:cs="Calibri" w:eastAsia="Calibri" w:hAnsi="Calibri"/>
      <w:b/>
      <w:bCs/>
      <w:sz w:val="30"/>
      <w:szCs w:val="30"/>
    </w:rPr>
  </w:style>
  <w:style w:type="paragraph" w:styleId="Heading3">
    <w:name w:val="Heading 3"/>
    <w:basedOn w:val="Normal"/>
    <w:next w:val="Normal"/>
    <w:qFormat/>
    <w:pPr>
      <w:spacing w:after="12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Companion Repository Plan</dc:title>
  <dc:creator>Bennie Haelen</dc:creator>
  <cp:lastModifiedBy>Un-named</cp:lastModifiedBy>
  <cp:revision>1</cp:revision>
  <dcterms:created xsi:type="dcterms:W3CDTF">2026-04-19T20:15:22.786Z</dcterms:created>
  <dcterms:modified xsi:type="dcterms:W3CDTF">2026-04-19T20:15:22.787Z</dcterms:modified>
</cp:coreProperties>
</file>

<file path=docProps/custom.xml><?xml version="1.0" encoding="utf-8"?>
<Properties xmlns="http://schemas.openxmlformats.org/officeDocument/2006/custom-properties" xmlns:vt="http://schemas.openxmlformats.org/officeDocument/2006/docPropsVTypes"/>
</file>