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75CDD">
      <w:pPr>
        <w:pStyle w:val="2"/>
        <w:bidi w:val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文献阅读报告：OpenFlow: Enabling Innovation in Campus Networks</w:t>
      </w:r>
    </w:p>
    <w:p w14:paraId="75990A8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="宋体" w:hAnsi="宋体" w:eastAsia="宋体" w:cs="宋体"/>
          <w:b/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32"/>
          <w14:textFill>
            <w14:solidFill>
              <w14:schemeClr w14:val="tx1"/>
            </w14:solidFill>
          </w14:textFill>
        </w:rPr>
        <w:t>背景介绍</w:t>
      </w:r>
    </w:p>
    <w:p w14:paraId="5565B78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计算机网络技术创新面临多重现实阻力：现有设备已形成路径依赖，运营商出于稳定性考虑禁止在运营网络上实验，且设备商通常不开放内部接口。</w:t>
      </w:r>
    </w:p>
    <w:p w14:paraId="384722B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此前的研究平台各有局限——基于通用计算机的方案性能不足，专用硬件（如NetFPGA）则成本高、扩展性差，商用设备更是完全封闭。</w:t>
      </w:r>
    </w:p>
    <w:p w14:paraId="5E09FF0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penFlow于2008年提出一条务实路径：通过标准化协议直接利用商用以太网交换机的硬件流表，并由外部控制器进行编程。该设计以高性能、低成本支持广泛实验，同时严格隔离流量，且无需公开设备核心设计，在理想与现实间取得了关键平衡。</w:t>
      </w:r>
    </w:p>
    <w:p w14:paraId="34C571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6883BED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OpenFlow交换机技术架构</w:t>
      </w:r>
    </w:p>
    <w:p w14:paraId="52C0AEE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系统组成</w:t>
      </w:r>
    </w:p>
    <w:p w14:paraId="00CCD2B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OpenFlow交换机由三个基本部分组成：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（1）流表：这是核心转发部件。每个流表项包含匹配字段、对应的动作以及流量统计信息。流表通常由交换机中的TCAM硬件实现，以保证匹配和转发的速度。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（2）安全通道：一条加密的通信链路，用于连接交换机和远程控制器，传输控制命令和特定数据包。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（3）OpenFlow协议：定义控制器与交换机之间通信的消息格式和交互规则。这是一个开放标准，允许不同厂商的设备与不同研发团队的控制器进行互操作。</w:t>
      </w:r>
    </w:p>
    <w:p w14:paraId="7FC423C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“Type 0”交换机规范</w:t>
      </w:r>
    </w:p>
    <w:p w14:paraId="50D3BE4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为平衡兼容性与可行性，OpenFlow白皮书为第一代“Type 0”交换机确立了核心规范。</w:t>
      </w:r>
      <w:bookmarkStart w:id="0" w:name="_GoBack"/>
      <w:bookmarkEnd w:id="0"/>
    </w:p>
    <w:p w14:paraId="1E0AA4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匹配层面，定义了包括入端口、以太网与IP地址、VLAN及传输层端口在内的10个标准化包头字段，各字段均支持通配符匹配。</w:t>
      </w:r>
    </w:p>
    <w:p w14:paraId="39A5FFA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转发层面，要求交换机必须支持三个硬件执行的基本动作：转发至指定端口、上传至控制器或直接丢弃，以保证线速性能。</w:t>
      </w:r>
    </w:p>
    <w:p w14:paraId="3F610D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both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此外，流表由控制器通过OpenFlow协议远程管理，支持增删改操作；交换机会为每条流维护计数器，并可通过超时机制自动清除闲置表项。</w:t>
      </w:r>
    </w:p>
    <w:p w14:paraId="1D9195A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两种设备形态</w:t>
      </w:r>
    </w:p>
    <w:p w14:paraId="06F4FC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白皮书定义了两种OpenFlow交换机形态：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（1）专用OpenFlow交换机：这是一种简化设计的设备，只运行OpenFlow协议，完全依赖控制器的指令进行转发。它没有传统的二层或三层转发逻辑。</w:t>
      </w:r>
      <w:r>
        <w:rPr>
          <w:rFonts w:hint="eastAsia" w:ascii="宋体" w:hAnsi="宋体" w:eastAsia="宋体" w:cs="宋体"/>
        </w:rPr>
        <w:br w:type="textWrapping"/>
      </w:r>
      <w:r>
        <w:rPr>
          <w:rFonts w:hint="eastAsia" w:ascii="宋体" w:hAnsi="宋体" w:eastAsia="宋体" w:cs="宋体"/>
        </w:rPr>
        <w:t>（2）支持OpenFlow的商用交换机：在现有商业交换机的基础上，增加OpenFlow功能。这类设备同时具备传统的网络协议栈和OpenFlow流水线。生产流量走传统路径，实验流量走OpenFlow路径，两者通过VLAN或特定的流动作进行隔离。</w:t>
      </w:r>
    </w:p>
    <w:p w14:paraId="3016EF4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控制器的角色</w:t>
      </w:r>
    </w:p>
    <w:p w14:paraId="3F6961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器是运行控制逻辑的外部软件。它通过OpenFlow协议管理一个或多个交换机上的流表。控制器的功能可以很简单，例如静态配置一组流以实现网络隔离（类似高级VLAN）；也可以很复杂，例如运行动态路由算法或集中式安全策略。控制器可以被动响应（当新流首次到达时介入），也可以主动预先配置流规则。</w:t>
      </w:r>
    </w:p>
    <w:p w14:paraId="44E7607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架构的核心创新</w:t>
      </w:r>
    </w:p>
    <w:p w14:paraId="59F8B52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penFlow架构的核心创新在于将网络的控制平面与数据平面明确分离。在传统网络设备中，控制逻辑与转发功能紧密耦合，而OpenFlow则将智能控制功能从交换机中移除，集中到外部控制器中，使交换机转变为高效、按规则执行的转发设备。</w:t>
      </w:r>
    </w:p>
    <w:p w14:paraId="42E5E1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这一架构以“流”作为网络处理的基本抽象单位，相比传统的基于目的地址或VLAN的处理方式，提供了更强的灵活性与表达能力。同时，通过定义标准化的OpenFlow协议，它建立了一个统一且厂商中立的编程接口，为实现网络可编程性迈出了关键一步。</w:t>
      </w:r>
    </w:p>
    <w:p w14:paraId="5B93215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</w:p>
    <w:p w14:paraId="0042A63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应用场景分析</w:t>
      </w:r>
    </w:p>
    <w:p w14:paraId="43F7078D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新协议实验</w:t>
      </w:r>
    </w:p>
    <w:p w14:paraId="4ED634A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利用OpenFlow，研究者可将新协议的首包交由控制器处理并下发流表，实现实验流量与生产流量的逻辑隔离与高速转发。</w:t>
      </w:r>
    </w:p>
    <w:p w14:paraId="1F46CD8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集中管控与安全</w:t>
      </w:r>
    </w:p>
    <w:p w14:paraId="2BFC99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控制器基于全局策略（如访问控制）对流进行集中判定，并通过下发流表使交换机成为策略执行点。</w:t>
      </w:r>
    </w:p>
    <w:p w14:paraId="7067AD9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网络虚拟化</w:t>
      </w:r>
    </w:p>
    <w:p w14:paraId="1569434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支持通过流表配置静态虚拟网络（类似VLAN）或根据用户身份动态分配网络标识，实现灵活的多租户隔离。</w:t>
      </w:r>
    </w:p>
    <w:p w14:paraId="6BBAC6BE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非IP网络研究</w:t>
      </w:r>
    </w:p>
    <w:p w14:paraId="691431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</w:rPr>
        <w:t>通过匹配非IP头部（如自定义字段），可直接在现有设施上实验全新的网络架构协议。</w:t>
      </w:r>
    </w:p>
    <w:p w14:paraId="66D34B91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21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深度包处理协同</w:t>
      </w:r>
    </w:p>
    <w:p w14:paraId="41BC938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流量可送至控制器处理（灵活，易瓶颈）或引导至外部专用设备（如NetFPGA路由器）处理，交换机充当智能分发器。</w:t>
      </w:r>
    </w:p>
    <w:p w14:paraId="3E7B9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</w:p>
    <w:p w14:paraId="6F8D5CF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部署策略与生态建设</w:t>
      </w:r>
    </w:p>
    <w:p w14:paraId="5CD794D1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初期部署计划</w:t>
      </w:r>
    </w:p>
    <w:p w14:paraId="2917929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在斯坦福大学试点，先替换两栋建筑的交换机，利用VLAN隔离生产与实验流量。网络管理员保留生产网络控制权，同时为研究人员分配独立编程的实验流空间。</w:t>
      </w:r>
    </w:p>
    <w:p w14:paraId="2D880AD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生态系统构建</w:t>
      </w:r>
    </w:p>
    <w:p w14:paraId="36A3A31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成立中立的OpenFlow联盟维护规范；提供开源参考实现（含软件及硬件版本），降低开发门槛；积极争取厂商支持，因其不要求公开设备内部细节，获得广泛响应。</w:t>
      </w:r>
    </w:p>
    <w:p w14:paraId="49E22626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长远发展设想</w:t>
      </w:r>
    </w:p>
    <w:p w14:paraId="51B3A53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推动多所大学建设“OpenFlow岛”，并通过隧道互联形成跨校园实验网络，最终有望融入GENI等国家级研究网络平台。</w:t>
      </w:r>
    </w:p>
    <w:p w14:paraId="741D64B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</w:p>
    <w:p w14:paraId="3E80F57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技术局限与后续发展</w:t>
      </w:r>
    </w:p>
    <w:p w14:paraId="09434B30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初始设计的局限性</w:t>
      </w:r>
    </w:p>
    <w:p w14:paraId="3AC50FA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早期OpenFlow受限于交换机的TCAM容量，流表规模有限；集中式控制器面临性能瓶颈和单点故障风险，可能影响新流处理。</w:t>
      </w:r>
    </w:p>
    <w:p w14:paraId="160FDC4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协议与生态的演进</w:t>
      </w:r>
    </w:p>
    <w:p w14:paraId="7D418D4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OpenFlow经多次版本升级，引入多级流表等增强功能。其成功实践催生了SDN核心架构，并推动了开源控制器、虚拟交换机等生态的繁荣，相关技术已在谷歌等大型云数据中心广泛应用。</w:t>
      </w:r>
    </w:p>
    <w:p w14:paraId="06CF548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0B4B64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-420" w:leftChars="0" w:firstLine="420" w:firstLineChars="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总结与评价</w:t>
      </w:r>
    </w:p>
    <w:p w14:paraId="3B0250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00" w:afterAutospacing="0"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OpenFlow白皮书具有里程碑意义，它通过控制与转发分离的标准化接口，首次实现了网络设备的统一可编程能力，为解决网络研究“实验验证难”提供了务实方案。</w:t>
      </w:r>
    </w:p>
    <w:p w14:paraId="126804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00" w:afterAutospacing="0"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其贡献不仅在于技术设计，更在于通过开源共建与产业协作，成功推动了SDN架构的落地与生态繁荣。OpenFlow所倡导的逻辑集中控制、网络开放化等理念，持续影响着数据中心网络、电信云化及5G切片等前沿领域，成为技术创新与产业变革的经典范例。</w:t>
      </w:r>
    </w:p>
    <w:p w14:paraId="1C234F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00" w:afterAutospacing="0"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</w:p>
    <w:p w14:paraId="6A6A19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100" w:afterAutospacing="0" w:line="360" w:lineRule="auto"/>
        <w:ind w:firstLine="420" w:firstLineChars="200"/>
        <w:jc w:val="left"/>
        <w:textAlignment w:val="auto"/>
        <w:rPr>
          <w:rFonts w:hint="eastAsia" w:ascii="宋体" w:hAnsi="宋体" w:eastAsia="宋体" w:cs="宋体"/>
        </w:rPr>
      </w:pPr>
    </w:p>
    <w:p w14:paraId="44BE80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B98D51"/>
    <w:multiLevelType w:val="singleLevel"/>
    <w:tmpl w:val="81B98D51"/>
    <w:lvl w:ilvl="0" w:tentative="0">
      <w:start w:val="1"/>
      <w:numFmt w:val="chineseCounting"/>
      <w:suff w:val="nothing"/>
      <w:lvlText w:val="（%1）"/>
      <w:lvlJc w:val="left"/>
      <w:pPr>
        <w:ind w:left="-210" w:firstLine="420"/>
      </w:pPr>
      <w:rPr>
        <w:rFonts w:hint="eastAsia"/>
      </w:rPr>
    </w:lvl>
  </w:abstractNum>
  <w:abstractNum w:abstractNumId="1">
    <w:nsid w:val="B4D62049"/>
    <w:multiLevelType w:val="singleLevel"/>
    <w:tmpl w:val="B4D62049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2">
    <w:nsid w:val="E6C94225"/>
    <w:multiLevelType w:val="singleLevel"/>
    <w:tmpl w:val="E6C942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B32F186"/>
    <w:multiLevelType w:val="singleLevel"/>
    <w:tmpl w:val="0B32F18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4">
    <w:nsid w:val="0B3E7E5B"/>
    <w:multiLevelType w:val="singleLevel"/>
    <w:tmpl w:val="0B3E7E5B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574FC"/>
    <w:rsid w:val="01996421"/>
    <w:rsid w:val="04DF3ED5"/>
    <w:rsid w:val="238174E0"/>
    <w:rsid w:val="32C90606"/>
    <w:rsid w:val="68E71D36"/>
    <w:rsid w:val="69372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2393</Words>
  <Characters>2702</Characters>
  <Lines>0</Lines>
  <Paragraphs>0</Paragraphs>
  <TotalTime>46</TotalTime>
  <ScaleCrop>false</ScaleCrop>
  <LinksUpToDate>false</LinksUpToDate>
  <CharactersWithSpaces>2710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2025-12-20T14:47:00Z</dcterms:created>
  <dc:creator>33219</dc:creator>
  <cp:lastModifiedBy>WPS_1718022752</cp:lastModifiedBy>
  <dcterms:modified xsi:type="dcterms:W3CDTF">2025-12-24T11:55:02Z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eyJoZGlkIjoiNTYxZDQ1NjczZTlhNjM2YmRmZDQ3MjJiZjkzZmIxZWUiLCJ1c2VySWQiOiIxNjA3MTQ0ODUyIn0=</vt:lpwstr>
  </property>
  <property fmtid="{D5CDD505-2E9C-101B-9397-08002B2CF9AE}" pid="4" name="ICV">
    <vt:lpwstr>56E1AE588FFF4457BAEDA83F78859ACA_12</vt:lpwstr>
  </property>
</Properties>
</file>