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1AAE">
      <w:r>
        <w:rPr>
          <w:rFonts w:hint="eastAsia"/>
        </w:rPr>
        <w:t>题目要求：</w:t>
      </w:r>
    </w:p>
    <w:p w14:paraId="78B8E11B">
      <w:r>
        <w:rPr>
          <w:rFonts w:hint="eastAsia"/>
        </w:rPr>
        <w:t>假定某企业正在开发一作品版权登记系统，其中有一个用例“登记绘画版权”，该用例大致流程为：</w:t>
      </w:r>
    </w:p>
    <w:p w14:paraId="67A0C2F1"/>
    <w:p w14:paraId="1D637464">
      <w:r>
        <w:rPr>
          <w:rFonts w:hint="eastAsia"/>
        </w:rPr>
        <w:t>用户上传绘画并填写基本信息（如标题、作者、登记时间、作品类型等），系统检查绘画分辨率（至少</w:t>
      </w:r>
      <w:r>
        <w:t>800*600）并自动生成特征值（哈希指纹），然后将该特征值与库中已存证绘画的特征值进行比对，如果相似度低于阈值，则进行版权登记；否则拒绝登记，并对比展示与之最相似的一副已存证绘画（即：与该作品重复了）。</w:t>
      </w:r>
    </w:p>
    <w:p w14:paraId="0B74D5D5"/>
    <w:p w14:paraId="1C3BF405">
      <w:r>
        <w:rPr>
          <w:rFonts w:hint="eastAsia"/>
        </w:rPr>
        <w:t>要求：</w:t>
      </w:r>
    </w:p>
    <w:p w14:paraId="430D1AAA"/>
    <w:p w14:paraId="68C4C419">
      <w:r>
        <w:rPr>
          <w:rFonts w:hint="eastAsia"/>
        </w:rPr>
        <w:t>（</w:t>
      </w:r>
      <w:r>
        <w:t>1）利用界面设计工具，如Axure、visio等（也可以用其它界面工具）设计上述用例的软件界面；人机交互过程尽可能简单，避免无效操作。界面设计采用静态 或 动态交互模式均可。</w:t>
      </w:r>
    </w:p>
    <w:p w14:paraId="5FA3D2D7"/>
    <w:p w14:paraId="4C3128A8">
      <w:pPr>
        <w:numPr>
          <w:ilvl w:val="0"/>
          <w:numId w:val="1"/>
        </w:numPr>
      </w:pPr>
      <w:r>
        <w:t>基于详细设计阶段，对用例实现方案的设计，给出完整的设计类图。</w:t>
      </w:r>
    </w:p>
    <w:p w14:paraId="5B50FF1A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408EC736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015814D8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613E918E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顶部导航栏</w:t>
      </w:r>
    </w:p>
    <w:p w14:paraId="2AE36E08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系统标识：包含logo和系统名称"绘画版权登记系统"</w:t>
      </w:r>
    </w:p>
    <w:p w14:paraId="2577F69F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主导航菜单：首页、登记办理、进度查询三个主要功能入口</w:t>
      </w:r>
    </w:p>
    <w:p w14:paraId="7F630A4A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用户信息：显示当前登录用户"刘设计师"的账户信息</w:t>
      </w:r>
    </w:p>
    <w:p w14:paraId="31C92727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左侧功能导航</w:t>
      </w:r>
    </w:p>
    <w:p w14:paraId="7F9DC262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流程步骤导航：清晰展示版权登记的6个步骤流程</w:t>
      </w:r>
    </w:p>
    <w:p w14:paraId="4247615F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当前进度指示：明确标注用户当前处于"步骤4/6 - 文件上传"阶段</w:t>
      </w:r>
    </w:p>
    <w:p w14:paraId="6F14F235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进度条显示：可视化显示完成进度（66%）和预计剩余时间（约15分钟）</w:t>
      </w:r>
    </w:p>
    <w:p w14:paraId="27EBD3A0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作品文件上传功能</w:t>
      </w:r>
    </w:p>
    <w:p w14:paraId="0193C07D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支持格式：JPG/PNG/PDF等常见图像格式</w:t>
      </w:r>
    </w:p>
    <w:p w14:paraId="3564C4A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文件限制：单个文件不超过20MB</w:t>
      </w:r>
    </w:p>
    <w:p w14:paraId="16E816E0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状态反馈：实时显示上传状态和文件信息</w:t>
      </w:r>
    </w:p>
    <w:p w14:paraId="0CB66224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示例状态：已成功上传《山水画创作》.jpg文件（18.5MB）</w:t>
      </w:r>
    </w:p>
    <w:p w14:paraId="08299B9E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证明材料上传功能</w:t>
      </w:r>
    </w:p>
    <w:p w14:paraId="4ECF468A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文档类型：支持PDF/DOC格式的证明材料</w:t>
      </w:r>
    </w:p>
    <w:p w14:paraId="70DB21F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容量限制：每个文件不超过10MB</w:t>
      </w:r>
    </w:p>
    <w:p w14:paraId="75521846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批量支持：支持多个证明文件上传</w:t>
      </w:r>
    </w:p>
    <w:p w14:paraId="5EEAF653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54DBD4B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775585"/>
            <wp:effectExtent l="0" t="0" r="381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EB40">
      <w:pPr>
        <w:widowControl w:val="0"/>
        <w:numPr>
          <w:numId w:val="0"/>
        </w:numPr>
        <w:jc w:val="both"/>
      </w:pPr>
    </w:p>
    <w:p w14:paraId="2205B199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预览展示区域</w:t>
      </w:r>
    </w:p>
    <w:p w14:paraId="3E58635B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图像预览：提供上传作品的缩略图预览</w:t>
      </w:r>
    </w:p>
    <w:p w14:paraId="4D34020E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验证状态：自动进行格式验证和质量检查</w:t>
      </w:r>
    </w:p>
    <w:p w14:paraId="6735A38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状态指示：明确标注"验证通过，可继续操作"</w:t>
      </w:r>
    </w:p>
    <w:p w14:paraId="355FF7E4">
      <w:pPr>
        <w:widowControl w:val="0"/>
        <w:numPr>
          <w:numId w:val="0"/>
        </w:numPr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基本信息表单</w:t>
      </w:r>
    </w:p>
    <w:p w14:paraId="7A35626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作品名称：水墨山水画系列《秋韵》</w:t>
      </w:r>
    </w:p>
    <w:p w14:paraId="6EF9E15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创作日期：2025年10月15日</w:t>
      </w:r>
    </w:p>
    <w:p w14:paraId="3217BEF9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作品类别：国画、传统水墨画、油画等分类选择</w:t>
      </w:r>
    </w:p>
    <w:p w14:paraId="18C85D9C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创作形式：单独创作/合作创作选项</w:t>
      </w:r>
    </w:p>
    <w:p w14:paraId="440D601E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01B86522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58C97EB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3828415"/>
            <wp:effectExtent l="0" t="0" r="508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90CB">
      <w:pPr>
        <w:widowControl w:val="0"/>
        <w:numPr>
          <w:numId w:val="0"/>
        </w:numPr>
        <w:jc w:val="both"/>
      </w:pPr>
    </w:p>
    <w:p w14:paraId="6CC1DDB3">
      <w:pPr>
        <w:widowControl w:val="0"/>
        <w:numPr>
          <w:numId w:val="0"/>
        </w:numPr>
        <w:jc w:val="both"/>
        <w:rPr>
          <w:b/>
          <w:bCs/>
        </w:rPr>
      </w:pPr>
      <w:r>
        <w:rPr>
          <w:rFonts w:hint="default"/>
          <w:b/>
          <w:bCs/>
        </w:rPr>
        <w:t>检测结果展示</w:t>
      </w:r>
    </w:p>
    <w:p w14:paraId="58E083A5">
      <w:pPr>
        <w:widowControl w:val="0"/>
        <w:numPr>
          <w:numId w:val="0"/>
        </w:numPr>
        <w:jc w:val="both"/>
        <w:rPr/>
      </w:pPr>
      <w:r>
        <w:rPr>
          <w:rFonts w:hint="default"/>
        </w:rPr>
        <w:t>相似度数值：18.4%的量化相似度指标</w:t>
      </w:r>
    </w:p>
    <w:p w14:paraId="7415B9C8">
      <w:pPr>
        <w:widowControl w:val="0"/>
        <w:numPr>
          <w:numId w:val="0"/>
        </w:numPr>
        <w:jc w:val="both"/>
        <w:rPr/>
      </w:pPr>
      <w:r>
        <w:rPr>
          <w:rFonts w:hint="default"/>
        </w:rPr>
        <w:t>风险评估：基于阈值的安全评估（低于风险阈值）</w:t>
      </w:r>
    </w:p>
    <w:p w14:paraId="296C6F51">
      <w:pPr>
        <w:widowControl w:val="0"/>
        <w:numPr>
          <w:numId w:val="0"/>
        </w:numPr>
        <w:jc w:val="both"/>
        <w:rPr/>
      </w:pPr>
      <w:r>
        <w:rPr>
          <w:rFonts w:hint="default"/>
        </w:rPr>
        <w:t>决策建议：提供"可安全提交版权登记申请"的专业建议</w:t>
      </w:r>
    </w:p>
    <w:p w14:paraId="3819B2AF">
      <w:pPr>
        <w:widowControl w:val="0"/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可视化对比界面</w:t>
      </w:r>
    </w:p>
    <w:p w14:paraId="48A45F5E">
      <w:pPr>
        <w:widowControl w:val="0"/>
        <w:numPr>
          <w:numId w:val="0"/>
        </w:numPr>
        <w:jc w:val="both"/>
        <w:rPr/>
      </w:pPr>
      <w:r>
        <w:rPr>
          <w:rFonts w:hint="default"/>
        </w:rPr>
        <w:t>双屏对比：用户作品与参考作品的并排展示</w:t>
      </w:r>
    </w:p>
    <w:p w14:paraId="09E3E26E">
      <w:pPr>
        <w:widowControl w:val="0"/>
        <w:numPr>
          <w:numId w:val="0"/>
        </w:numPr>
        <w:jc w:val="both"/>
        <w:rPr/>
      </w:pPr>
      <w:r>
        <w:rPr>
          <w:rFonts w:hint="default"/>
        </w:rPr>
        <w:t>区域标记：使用黄色边框高亮显示相似区域（如山体轮廓）</w:t>
      </w:r>
    </w:p>
    <w:p w14:paraId="42DB7A13">
      <w:pPr>
        <w:widowControl w:val="0"/>
        <w:numPr>
          <w:numId w:val="0"/>
        </w:numPr>
        <w:jc w:val="both"/>
        <w:rPr/>
      </w:pPr>
      <w:r>
        <w:rPr>
          <w:rFonts w:hint="default"/>
        </w:rPr>
        <w:t>参考信息：显示对比作品的详细信息（《春山图》、2023年登记、版权人信息）</w:t>
      </w:r>
    </w:p>
    <w:p w14:paraId="6979BE1E">
      <w:pPr>
        <w:widowControl w:val="0"/>
        <w:numPr>
          <w:numId w:val="0"/>
        </w:numPr>
        <w:jc w:val="both"/>
      </w:pPr>
      <w:bookmarkStart w:id="0" w:name="_GoBack"/>
      <w:bookmarkEnd w:id="0"/>
    </w:p>
    <w:p w14:paraId="562BAD5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901950"/>
            <wp:effectExtent l="0" t="0" r="254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2F92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54BE810C">
      <w:pPr>
        <w:widowControl w:val="0"/>
        <w:numPr>
          <w:numId w:val="0"/>
        </w:numPr>
        <w:jc w:val="both"/>
      </w:pPr>
    </w:p>
    <w:p w14:paraId="30DDD610"/>
    <w:p w14:paraId="6290EB92">
      <w:r>
        <w:rPr>
          <w:rFonts w:hint="eastAsia"/>
        </w:rPr>
        <w:t>设计类图：</w:t>
      </w:r>
    </w:p>
    <w:p w14:paraId="0DF26A27">
      <w:pPr>
        <w:pStyle w:val="2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请求发起：用户（User）通过 uploadPainting() 发起上传请求，经由 RegistrationController 接收。控制器首先调用 validateInput() 确保元数据（如标题、作者）合法。</w:t>
      </w:r>
    </w:p>
    <w:p w14:paraId="40A899B6">
      <w:pPr>
        <w:pStyle w:val="2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核心处理：控制器将请求转发给 PaintingProcessingService。该服务首先通过 checkResolution() 检查画作清晰度，随后调用 generateHashFingerprint() 生成图像的唯一哈希指纹，用于后续的查重。查重机制：服务层调用 SimilarityComparator。该组件依赖 FeatureRepository 获取历史数据，通过 calculateSimilarity() 方法对比新上传画作与库中现有画作的特征值。如果相似度超过设定的 similarityThreshold（阈值），则判定为重复或侵权。</w:t>
      </w:r>
    </w:p>
    <w:p w14:paraId="4D831521">
      <w:pPr>
        <w:pStyle w:val="2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结果反馈：处理结果封装在 RegistrationResponse 对象中（包含成功标志、相似度得分及提示信息），最终返回给前端用户。</w:t>
      </w:r>
    </w:p>
    <w:p w14:paraId="1AFBD032"/>
    <w:p w14:paraId="7C238FF8">
      <w:r>
        <w:drawing>
          <wp:inline distT="0" distB="0" distL="114300" distR="114300">
            <wp:extent cx="3032760" cy="34880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E5E533"/>
    <w:multiLevelType w:val="singleLevel"/>
    <w:tmpl w:val="A3E5E53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4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2025-11-21T14:28:59Z</dcterms:created>
  <dc:creator>33219</dc:creator>
  <cp:lastModifiedBy>WPS_1718022752</cp:lastModifiedBy>
  <dcterms:modified xsi:type="dcterms:W3CDTF">2025-11-21T14:54:39Z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6CE995F27AB14F84A77B153B2D11EA05_12</vt:lpwstr>
  </property>
</Properties>
</file>