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A3BE" w14:textId="77777777" w:rsidR="00E03B37" w:rsidRPr="00EF5B36" w:rsidRDefault="00E03B37"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p>
    <w:p w14:paraId="00BD7290" w14:textId="5BA212CE" w:rsidR="008141C7" w:rsidRPr="00532AFB" w:rsidRDefault="00B646B0" w:rsidP="00B646B0">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r w:rsidRPr="00532AFB">
        <w:rPr>
          <w:b/>
          <w:sz w:val="22"/>
          <w:lang w:val="fr-CA"/>
        </w:rPr>
        <w:t>RAD File No. / N</w:t>
      </w:r>
      <w:r w:rsidRPr="00532AFB">
        <w:rPr>
          <w:b/>
          <w:sz w:val="22"/>
          <w:vertAlign w:val="superscript"/>
          <w:lang w:val="fr-CA"/>
        </w:rPr>
        <w:t>o</w:t>
      </w:r>
      <w:r w:rsidRPr="00532AFB">
        <w:rPr>
          <w:b/>
          <w:sz w:val="22"/>
          <w:lang w:val="fr-CA"/>
        </w:rPr>
        <w:t xml:space="preserve"> de dossier de la SAR : MB9</w:t>
      </w:r>
      <w:r w:rsidR="00F21F52" w:rsidRPr="00532AFB">
        <w:rPr>
          <w:b/>
          <w:sz w:val="22"/>
          <w:lang w:val="fr-CA"/>
        </w:rPr>
        <w:noBreakHyphen/>
      </w:r>
      <w:r w:rsidRPr="00532AFB">
        <w:rPr>
          <w:b/>
          <w:sz w:val="22"/>
          <w:lang w:val="fr-CA"/>
        </w:rPr>
        <w:t>07273</w:t>
      </w:r>
    </w:p>
    <w:p w14:paraId="7EE0BD2D" w14:textId="0191B99D" w:rsidR="00B646B0" w:rsidRPr="00EF5B36" w:rsidRDefault="008141C7"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EF5B36">
        <w:rPr>
          <w:b/>
          <w:sz w:val="22"/>
        </w:rPr>
        <w:t>MB9</w:t>
      </w:r>
      <w:r w:rsidR="00F21F52" w:rsidRPr="00EF5B36">
        <w:rPr>
          <w:b/>
          <w:sz w:val="22"/>
        </w:rPr>
        <w:noBreakHyphen/>
      </w:r>
      <w:r w:rsidRPr="00EF5B36">
        <w:rPr>
          <w:b/>
          <w:sz w:val="22"/>
        </w:rPr>
        <w:t>07274</w:t>
      </w:r>
    </w:p>
    <w:p w14:paraId="0EC65BE6" w14:textId="77777777" w:rsidR="00B646B0" w:rsidRPr="00EF5B36" w:rsidRDefault="00B646B0" w:rsidP="00B646B0">
      <w:pPr>
        <w:tabs>
          <w:tab w:val="clear" w:pos="576"/>
          <w:tab w:val="clear" w:pos="1008"/>
          <w:tab w:val="clear" w:pos="1440"/>
          <w:tab w:val="clear" w:pos="1872"/>
          <w:tab w:val="clear" w:pos="2304"/>
          <w:tab w:val="clear" w:pos="2736"/>
        </w:tabs>
        <w:spacing w:before="0" w:after="0"/>
        <w:jc w:val="right"/>
        <w:rPr>
          <w:rFonts w:cs="Times New Roman"/>
          <w:b/>
          <w:sz w:val="22"/>
          <w:szCs w:val="22"/>
        </w:rPr>
      </w:pPr>
    </w:p>
    <w:p w14:paraId="6AC04B1D" w14:textId="7D8CDC5B" w:rsidR="00B646B0" w:rsidRPr="00EF5B36" w:rsidRDefault="00B646B0" w:rsidP="00B646B0">
      <w:pPr>
        <w:tabs>
          <w:tab w:val="clear" w:pos="576"/>
          <w:tab w:val="clear" w:pos="1008"/>
          <w:tab w:val="clear" w:pos="1440"/>
          <w:tab w:val="clear" w:pos="1872"/>
          <w:tab w:val="clear" w:pos="2304"/>
          <w:tab w:val="clear" w:pos="2736"/>
        </w:tabs>
        <w:spacing w:before="0" w:after="0"/>
        <w:jc w:val="right"/>
        <w:rPr>
          <w:rFonts w:cs="Times New Roman"/>
          <w:b/>
          <w:i/>
          <w:sz w:val="22"/>
          <w:szCs w:val="22"/>
        </w:rPr>
      </w:pPr>
      <w:r w:rsidRPr="00EF5B36">
        <w:rPr>
          <w:b/>
          <w:i/>
          <w:sz w:val="22"/>
        </w:rPr>
        <w:t>Private Proceeding / Huis clos</w:t>
      </w:r>
    </w:p>
    <w:p w14:paraId="6E0E7917" w14:textId="77777777" w:rsidR="00B646B0" w:rsidRPr="00EF5B36" w:rsidRDefault="00B646B0" w:rsidP="00B646B0">
      <w:pPr>
        <w:tabs>
          <w:tab w:val="clear" w:pos="576"/>
          <w:tab w:val="clear" w:pos="1008"/>
          <w:tab w:val="clear" w:pos="1440"/>
          <w:tab w:val="clear" w:pos="1872"/>
          <w:tab w:val="clear" w:pos="2304"/>
          <w:tab w:val="clear" w:pos="2736"/>
        </w:tabs>
        <w:spacing w:before="0" w:after="0"/>
        <w:jc w:val="left"/>
        <w:rPr>
          <w:rFonts w:cs="Times New Roman"/>
          <w:sz w:val="22"/>
          <w:szCs w:val="22"/>
        </w:rPr>
      </w:pPr>
    </w:p>
    <w:p w14:paraId="3C48543A" w14:textId="5E78CEC6" w:rsidR="00B646B0" w:rsidRPr="00EF5B36" w:rsidRDefault="00B646B0" w:rsidP="006C481A">
      <w:pPr>
        <w:pStyle w:val="Heading2"/>
        <w:spacing w:before="120" w:after="240"/>
        <w:jc w:val="center"/>
        <w:rPr>
          <w:rFonts w:ascii="Times New Roman" w:hAnsi="Times New Roman" w:cs="Times New Roman"/>
          <w:i w:val="0"/>
          <w:sz w:val="32"/>
          <w:szCs w:val="32"/>
        </w:rPr>
      </w:pPr>
      <w:r w:rsidRPr="00EF5B36">
        <w:rPr>
          <w:rFonts w:ascii="Times New Roman" w:hAnsi="Times New Roman"/>
          <w:i w:val="0"/>
          <w:sz w:val="32"/>
        </w:rPr>
        <w:t xml:space="preserve">Reasons and </w:t>
      </w:r>
      <w:r w:rsidR="000E00D3">
        <w:rPr>
          <w:rFonts w:ascii="Times New Roman" w:hAnsi="Times New Roman"/>
          <w:i w:val="0"/>
          <w:sz w:val="32"/>
        </w:rPr>
        <w:t>D</w:t>
      </w:r>
      <w:r w:rsidRPr="00EF5B36">
        <w:rPr>
          <w:rFonts w:ascii="Times New Roman" w:hAnsi="Times New Roman"/>
          <w:i w:val="0"/>
          <w:sz w:val="32"/>
        </w:rPr>
        <w:t xml:space="preserve">ecision </w:t>
      </w:r>
      <w:r w:rsidR="00BE749D">
        <w:rPr>
          <w:rFonts w:cs="Times New Roman"/>
          <w:sz w:val="32"/>
          <w:szCs w:val="32"/>
        </w:rPr>
        <w:sym w:font="Symbol" w:char="F02D"/>
      </w:r>
      <w:r w:rsidRPr="00EF5B36">
        <w:rPr>
          <w:rFonts w:ascii="Times New Roman" w:hAnsi="Times New Roman"/>
          <w:i w:val="0"/>
          <w:sz w:val="32"/>
        </w:rPr>
        <w:t xml:space="preserve"> Motifs et décision</w:t>
      </w:r>
    </w:p>
    <w:p w14:paraId="3DD40C10" w14:textId="77777777" w:rsidR="00B646B0" w:rsidRPr="00EF5B36" w:rsidRDefault="00B646B0" w:rsidP="008B5E77">
      <w:pPr>
        <w:spacing w:before="0" w:after="0"/>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68"/>
        <w:gridCol w:w="4678"/>
        <w:gridCol w:w="2414"/>
      </w:tblGrid>
      <w:tr w:rsidR="00880C23" w:rsidRPr="00EF5B36" w14:paraId="61D0F057" w14:textId="7EBE7E35" w:rsidTr="00880C23">
        <w:trPr>
          <w:cantSplit/>
          <w:trHeight w:val="567"/>
          <w:jc w:val="center"/>
        </w:trPr>
        <w:tc>
          <w:tcPr>
            <w:tcW w:w="2268" w:type="dxa"/>
          </w:tcPr>
          <w:p w14:paraId="0ADF973C" w14:textId="3DB12707"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r w:rsidRPr="00EF5B36">
              <w:rPr>
                <w:b/>
                <w:sz w:val="20"/>
              </w:rPr>
              <w:t>Persons who are the subject of the appeal</w:t>
            </w:r>
          </w:p>
        </w:tc>
        <w:tc>
          <w:tcPr>
            <w:tcW w:w="4678" w:type="dxa"/>
          </w:tcPr>
          <w:p w14:paraId="6FAEA671" w14:textId="49EF3099" w:rsidR="00880C23" w:rsidRPr="00EF5B36" w:rsidRDefault="00C0441E" w:rsidP="00880C23">
            <w:pPr>
              <w:tabs>
                <w:tab w:val="clear" w:pos="576"/>
                <w:tab w:val="clear" w:pos="1008"/>
                <w:tab w:val="clear" w:pos="1440"/>
                <w:tab w:val="clear" w:pos="1872"/>
                <w:tab w:val="clear" w:pos="2304"/>
                <w:tab w:val="clear" w:pos="2736"/>
              </w:tabs>
              <w:spacing w:before="0" w:after="0"/>
              <w:jc w:val="center"/>
              <w:rPr>
                <w:rFonts w:cs="Times New Roman"/>
                <w:bCs/>
                <w:szCs w:val="24"/>
              </w:rPr>
            </w:pPr>
            <w:r>
              <w:rPr>
                <w:b/>
              </w:rPr>
              <w:t>XXXX XXXX XXXXXXXX XXXX XXXX XXXX</w:t>
            </w:r>
          </w:p>
        </w:tc>
        <w:tc>
          <w:tcPr>
            <w:tcW w:w="2414" w:type="dxa"/>
          </w:tcPr>
          <w:p w14:paraId="6CFCBF65" w14:textId="5A49EBBC"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r w:rsidRPr="00EF5B36">
              <w:rPr>
                <w:b/>
                <w:sz w:val="20"/>
              </w:rPr>
              <w:t>Personnes en cause</w:t>
            </w:r>
          </w:p>
        </w:tc>
      </w:tr>
      <w:tr w:rsidR="00880C23" w:rsidRPr="00EF5B36" w14:paraId="2F4771E6" w14:textId="3747878B" w:rsidTr="00880C23">
        <w:trPr>
          <w:cantSplit/>
          <w:trHeight w:val="567"/>
          <w:jc w:val="center"/>
        </w:trPr>
        <w:tc>
          <w:tcPr>
            <w:tcW w:w="2268" w:type="dxa"/>
          </w:tcPr>
          <w:p w14:paraId="27A12701"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6C620C54"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4E27B118"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80C23" w:rsidRPr="00EF5B36" w14:paraId="5E63EF6C" w14:textId="63C1B823" w:rsidTr="00880C23">
        <w:trPr>
          <w:cantSplit/>
          <w:trHeight w:val="567"/>
          <w:jc w:val="center"/>
        </w:trPr>
        <w:tc>
          <w:tcPr>
            <w:tcW w:w="2268" w:type="dxa"/>
          </w:tcPr>
          <w:p w14:paraId="62E95FD1" w14:textId="474DD036"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sz w:val="20"/>
                <w:highlight w:val="yellow"/>
              </w:rPr>
            </w:pPr>
            <w:r w:rsidRPr="00EF5B36">
              <w:rPr>
                <w:b/>
                <w:sz w:val="20"/>
              </w:rPr>
              <w:t>Appeal considered / heard at</w:t>
            </w:r>
          </w:p>
        </w:tc>
        <w:tc>
          <w:tcPr>
            <w:tcW w:w="4678" w:type="dxa"/>
          </w:tcPr>
          <w:p w14:paraId="2E0DB7E8" w14:textId="77777777" w:rsidR="00880C23" w:rsidRPr="00EF5B36" w:rsidRDefault="00880C23" w:rsidP="00880C23">
            <w:pPr>
              <w:pStyle w:val="Header"/>
              <w:tabs>
                <w:tab w:val="left" w:pos="720"/>
              </w:tabs>
              <w:jc w:val="center"/>
              <w:rPr>
                <w:rFonts w:ascii="Times New Roman" w:hAnsi="Times New Roman"/>
                <w:noProof w:val="0"/>
                <w:sz w:val="24"/>
                <w:szCs w:val="24"/>
              </w:rPr>
            </w:pPr>
            <w:r w:rsidRPr="00EF5B36">
              <w:rPr>
                <w:rFonts w:ascii="Times New Roman" w:hAnsi="Times New Roman"/>
                <w:noProof w:val="0"/>
                <w:sz w:val="24"/>
              </w:rPr>
              <w:t>Montréal, Quebec</w:t>
            </w:r>
          </w:p>
        </w:tc>
        <w:tc>
          <w:tcPr>
            <w:tcW w:w="2414" w:type="dxa"/>
          </w:tcPr>
          <w:p w14:paraId="19C20F6D" w14:textId="14506C57"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r w:rsidRPr="00EF5B36">
              <w:rPr>
                <w:b/>
                <w:sz w:val="20"/>
              </w:rPr>
              <w:t xml:space="preserve">Appel instruit / entendu à </w:t>
            </w:r>
          </w:p>
        </w:tc>
      </w:tr>
      <w:tr w:rsidR="00880C23" w:rsidRPr="00EF5B36" w14:paraId="6CDFEC3A" w14:textId="44D693FA" w:rsidTr="00880C23">
        <w:trPr>
          <w:cantSplit/>
          <w:trHeight w:val="567"/>
          <w:jc w:val="center"/>
        </w:trPr>
        <w:tc>
          <w:tcPr>
            <w:tcW w:w="2268" w:type="dxa"/>
          </w:tcPr>
          <w:p w14:paraId="3AE4FE2B"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7DF77BBA"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76F7AD51"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80C23" w:rsidRPr="00EF5B36" w14:paraId="288943C2" w14:textId="16C0F1EB" w:rsidTr="00880C23">
        <w:trPr>
          <w:cantSplit/>
          <w:trHeight w:val="567"/>
          <w:jc w:val="center"/>
        </w:trPr>
        <w:tc>
          <w:tcPr>
            <w:tcW w:w="2268" w:type="dxa"/>
          </w:tcPr>
          <w:p w14:paraId="6576681A" w14:textId="4AB8BCA7"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r w:rsidRPr="00EF5B36">
              <w:rPr>
                <w:b/>
                <w:sz w:val="20"/>
              </w:rPr>
              <w:t>Date of decision</w:t>
            </w:r>
          </w:p>
        </w:tc>
        <w:tc>
          <w:tcPr>
            <w:tcW w:w="4678" w:type="dxa"/>
          </w:tcPr>
          <w:p w14:paraId="0A84912E" w14:textId="72C5B61D"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szCs w:val="24"/>
              </w:rPr>
            </w:pPr>
            <w:r w:rsidRPr="00EF5B36">
              <w:t>August 4, 2020</w:t>
            </w:r>
          </w:p>
        </w:tc>
        <w:tc>
          <w:tcPr>
            <w:tcW w:w="2414" w:type="dxa"/>
          </w:tcPr>
          <w:p w14:paraId="030D70A8" w14:textId="4C37486A"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r w:rsidRPr="00EF5B36">
              <w:rPr>
                <w:b/>
                <w:sz w:val="20"/>
              </w:rPr>
              <w:t xml:space="preserve">Date de la décision </w:t>
            </w:r>
          </w:p>
        </w:tc>
      </w:tr>
      <w:tr w:rsidR="00880C23" w:rsidRPr="00EF5B36" w14:paraId="4C4FA2C3" w14:textId="35A79DEC" w:rsidTr="00880C23">
        <w:trPr>
          <w:cantSplit/>
          <w:trHeight w:val="567"/>
          <w:jc w:val="center"/>
        </w:trPr>
        <w:tc>
          <w:tcPr>
            <w:tcW w:w="2268" w:type="dxa"/>
          </w:tcPr>
          <w:p w14:paraId="34F942CB"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59842D00"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7A6225C0"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80C23" w:rsidRPr="00EF5B36" w14:paraId="323AF797" w14:textId="224F1E61" w:rsidTr="00880C23">
        <w:trPr>
          <w:cantSplit/>
          <w:trHeight w:val="567"/>
          <w:jc w:val="center"/>
        </w:trPr>
        <w:tc>
          <w:tcPr>
            <w:tcW w:w="2268" w:type="dxa"/>
          </w:tcPr>
          <w:p w14:paraId="2623F73F" w14:textId="53F627A8"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r w:rsidRPr="00EF5B36">
              <w:rPr>
                <w:b/>
                <w:sz w:val="20"/>
              </w:rPr>
              <w:t>Panel</w:t>
            </w:r>
          </w:p>
        </w:tc>
        <w:tc>
          <w:tcPr>
            <w:tcW w:w="4678" w:type="dxa"/>
          </w:tcPr>
          <w:p w14:paraId="4CD0EEA6" w14:textId="31B67150"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bCs/>
                <w:szCs w:val="24"/>
              </w:rPr>
            </w:pPr>
            <w:r w:rsidRPr="00EF5B36">
              <w:t>Marie</w:t>
            </w:r>
            <w:r w:rsidR="00F21F52" w:rsidRPr="00EF5B36">
              <w:noBreakHyphen/>
            </w:r>
            <w:r w:rsidRPr="00EF5B36">
              <w:t>Lyne Thibault</w:t>
            </w:r>
          </w:p>
        </w:tc>
        <w:tc>
          <w:tcPr>
            <w:tcW w:w="2414" w:type="dxa"/>
          </w:tcPr>
          <w:p w14:paraId="504D2ACE" w14:textId="0E8EE3C8"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r w:rsidRPr="00EF5B36">
              <w:rPr>
                <w:b/>
                <w:sz w:val="20"/>
              </w:rPr>
              <w:t>Tribunal</w:t>
            </w:r>
          </w:p>
        </w:tc>
      </w:tr>
      <w:tr w:rsidR="00880C23" w:rsidRPr="00EF5B36" w14:paraId="1D8E87FD" w14:textId="3B700A30" w:rsidTr="00880C23">
        <w:trPr>
          <w:cantSplit/>
          <w:trHeight w:val="567"/>
          <w:jc w:val="center"/>
        </w:trPr>
        <w:tc>
          <w:tcPr>
            <w:tcW w:w="2268" w:type="dxa"/>
          </w:tcPr>
          <w:p w14:paraId="1B3929C9"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678" w:type="dxa"/>
          </w:tcPr>
          <w:p w14:paraId="7B04B3E5" w14:textId="77777777" w:rsidR="00880C23" w:rsidRPr="00EF5B36" w:rsidRDefault="00880C23" w:rsidP="00880C23">
            <w:pPr>
              <w:tabs>
                <w:tab w:val="clear" w:pos="576"/>
                <w:tab w:val="clear" w:pos="1008"/>
                <w:tab w:val="clear" w:pos="1440"/>
                <w:tab w:val="clear" w:pos="1872"/>
                <w:tab w:val="clear" w:pos="2304"/>
                <w:tab w:val="clear" w:pos="2736"/>
              </w:tabs>
              <w:spacing w:before="0" w:after="0"/>
              <w:rPr>
                <w:rFonts w:cs="Times New Roman"/>
                <w:bCs/>
                <w:szCs w:val="24"/>
              </w:rPr>
            </w:pPr>
          </w:p>
        </w:tc>
        <w:tc>
          <w:tcPr>
            <w:tcW w:w="2414" w:type="dxa"/>
          </w:tcPr>
          <w:p w14:paraId="544395C0"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80C23" w:rsidRPr="00755312" w14:paraId="0A052901" w14:textId="3FD4B713" w:rsidTr="00880C23">
        <w:trPr>
          <w:cantSplit/>
          <w:trHeight w:val="567"/>
          <w:jc w:val="center"/>
        </w:trPr>
        <w:tc>
          <w:tcPr>
            <w:tcW w:w="2268" w:type="dxa"/>
          </w:tcPr>
          <w:p w14:paraId="0003BF2B" w14:textId="2EEE04AA"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r w:rsidRPr="00EF5B36">
              <w:rPr>
                <w:b/>
                <w:sz w:val="20"/>
              </w:rPr>
              <w:t>Counsel for the persons who are the subject of the appeal</w:t>
            </w:r>
          </w:p>
        </w:tc>
        <w:tc>
          <w:tcPr>
            <w:tcW w:w="4678" w:type="dxa"/>
          </w:tcPr>
          <w:p w14:paraId="2AC98853"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bCs/>
                <w:szCs w:val="24"/>
              </w:rPr>
            </w:pPr>
            <w:r w:rsidRPr="00EF5B36">
              <w:t>M</w:t>
            </w:r>
            <w:r w:rsidRPr="00EF5B36">
              <w:rPr>
                <w:vertAlign w:val="superscript"/>
              </w:rPr>
              <w:t>e</w:t>
            </w:r>
            <w:r w:rsidRPr="00EF5B36">
              <w:t xml:space="preserve"> Walid Ayadi </w:t>
            </w:r>
          </w:p>
        </w:tc>
        <w:tc>
          <w:tcPr>
            <w:tcW w:w="2414" w:type="dxa"/>
          </w:tcPr>
          <w:p w14:paraId="5E8022F3" w14:textId="0C7501C8" w:rsidR="00880C23" w:rsidRPr="00532AFB" w:rsidRDefault="00880C23" w:rsidP="00880C23">
            <w:pPr>
              <w:pStyle w:val="Header"/>
              <w:tabs>
                <w:tab w:val="clear" w:pos="4320"/>
                <w:tab w:val="clear" w:pos="8640"/>
              </w:tabs>
              <w:jc w:val="right"/>
              <w:rPr>
                <w:rFonts w:ascii="Times New Roman" w:hAnsi="Times New Roman"/>
                <w:b/>
                <w:noProof w:val="0"/>
                <w:lang w:val="fr-CA"/>
              </w:rPr>
            </w:pPr>
            <w:r w:rsidRPr="00532AFB">
              <w:rPr>
                <w:rFonts w:ascii="Times New Roman" w:hAnsi="Times New Roman"/>
                <w:b/>
                <w:noProof w:val="0"/>
                <w:lang w:val="fr-CA"/>
              </w:rPr>
              <w:t>Conseil des personnes en cause</w:t>
            </w:r>
          </w:p>
        </w:tc>
      </w:tr>
      <w:tr w:rsidR="00880C23" w:rsidRPr="00755312" w14:paraId="713C31BB" w14:textId="74C9B651" w:rsidTr="00880C23">
        <w:trPr>
          <w:cantSplit/>
          <w:trHeight w:val="567"/>
          <w:jc w:val="center"/>
        </w:trPr>
        <w:tc>
          <w:tcPr>
            <w:tcW w:w="2268" w:type="dxa"/>
          </w:tcPr>
          <w:p w14:paraId="0302B4D7" w14:textId="77777777" w:rsidR="00880C23" w:rsidRPr="00532AFB"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highlight w:val="yellow"/>
                <w:lang w:val="fr-CA"/>
              </w:rPr>
            </w:pPr>
          </w:p>
        </w:tc>
        <w:tc>
          <w:tcPr>
            <w:tcW w:w="4678" w:type="dxa"/>
          </w:tcPr>
          <w:p w14:paraId="19E0510C" w14:textId="77777777" w:rsidR="00880C23" w:rsidRPr="00532AFB" w:rsidRDefault="00880C23" w:rsidP="00880C23">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2414" w:type="dxa"/>
          </w:tcPr>
          <w:p w14:paraId="79642CCB" w14:textId="77777777" w:rsidR="00880C23" w:rsidRPr="00532AFB"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highlight w:val="yellow"/>
                <w:lang w:val="fr-CA"/>
              </w:rPr>
            </w:pPr>
          </w:p>
        </w:tc>
      </w:tr>
      <w:tr w:rsidR="00880C23" w:rsidRPr="00EF5B36" w14:paraId="191D9F24" w14:textId="13177331" w:rsidTr="00880C23">
        <w:trPr>
          <w:cantSplit/>
          <w:trHeight w:val="567"/>
          <w:jc w:val="center"/>
        </w:trPr>
        <w:tc>
          <w:tcPr>
            <w:tcW w:w="2268" w:type="dxa"/>
          </w:tcPr>
          <w:p w14:paraId="2D4CC5BA" w14:textId="143AEA65"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r w:rsidRPr="00EF5B36">
              <w:rPr>
                <w:b/>
                <w:sz w:val="20"/>
              </w:rPr>
              <w:t>Designated representative</w:t>
            </w:r>
          </w:p>
        </w:tc>
        <w:tc>
          <w:tcPr>
            <w:tcW w:w="4678" w:type="dxa"/>
          </w:tcPr>
          <w:p w14:paraId="754A2E88" w14:textId="39C35D54" w:rsidR="00880C23" w:rsidRPr="00C0441E" w:rsidRDefault="00C0441E" w:rsidP="00880C23">
            <w:pPr>
              <w:tabs>
                <w:tab w:val="clear" w:pos="576"/>
                <w:tab w:val="clear" w:pos="1008"/>
                <w:tab w:val="clear" w:pos="1440"/>
                <w:tab w:val="clear" w:pos="1872"/>
                <w:tab w:val="clear" w:pos="2304"/>
                <w:tab w:val="clear" w:pos="2736"/>
              </w:tabs>
              <w:spacing w:before="0" w:after="0"/>
              <w:jc w:val="center"/>
              <w:rPr>
                <w:rFonts w:cs="Times New Roman"/>
                <w:bCs/>
                <w:szCs w:val="24"/>
              </w:rPr>
            </w:pPr>
            <w:r>
              <w:t>XXXX XXXX</w:t>
            </w:r>
          </w:p>
        </w:tc>
        <w:tc>
          <w:tcPr>
            <w:tcW w:w="2414" w:type="dxa"/>
          </w:tcPr>
          <w:p w14:paraId="05AAD3A1" w14:textId="6EB4880D"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r w:rsidRPr="00EF5B36">
              <w:rPr>
                <w:b/>
                <w:sz w:val="20"/>
              </w:rPr>
              <w:t>Représentant(e) désigné(e)</w:t>
            </w:r>
          </w:p>
        </w:tc>
      </w:tr>
      <w:tr w:rsidR="00880C23" w:rsidRPr="00EF5B36" w14:paraId="043111C9" w14:textId="05857D24" w:rsidTr="00880C23">
        <w:trPr>
          <w:cantSplit/>
          <w:trHeight w:val="567"/>
          <w:jc w:val="center"/>
        </w:trPr>
        <w:tc>
          <w:tcPr>
            <w:tcW w:w="2268" w:type="dxa"/>
          </w:tcPr>
          <w:p w14:paraId="206EEBF7" w14:textId="77777777" w:rsidR="00880C23" w:rsidRPr="00EF5B36" w:rsidRDefault="00880C23" w:rsidP="00880C23">
            <w:pPr>
              <w:tabs>
                <w:tab w:val="clear" w:pos="576"/>
                <w:tab w:val="clear" w:pos="1008"/>
                <w:tab w:val="clear" w:pos="1440"/>
                <w:tab w:val="clear" w:pos="1872"/>
                <w:tab w:val="clear" w:pos="2304"/>
                <w:tab w:val="clear" w:pos="2736"/>
              </w:tabs>
              <w:spacing w:before="0" w:after="0"/>
              <w:rPr>
                <w:rFonts w:cs="Times New Roman"/>
                <w:b/>
                <w:sz w:val="20"/>
              </w:rPr>
            </w:pPr>
          </w:p>
        </w:tc>
        <w:tc>
          <w:tcPr>
            <w:tcW w:w="4678" w:type="dxa"/>
          </w:tcPr>
          <w:p w14:paraId="5A5F2BEF"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2414" w:type="dxa"/>
          </w:tcPr>
          <w:p w14:paraId="6D1E83A6"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880C23" w:rsidRPr="00EF5B36" w14:paraId="7431F036" w14:textId="46AD72A3" w:rsidTr="00880C23">
        <w:trPr>
          <w:cantSplit/>
          <w:trHeight w:val="567"/>
          <w:jc w:val="center"/>
        </w:trPr>
        <w:tc>
          <w:tcPr>
            <w:tcW w:w="2268" w:type="dxa"/>
          </w:tcPr>
          <w:p w14:paraId="6983ED6F" w14:textId="3C825DD0" w:rsidR="00880C23" w:rsidRPr="00EF5B36" w:rsidRDefault="00880C23" w:rsidP="00880C23">
            <w:pPr>
              <w:tabs>
                <w:tab w:val="clear" w:pos="576"/>
                <w:tab w:val="clear" w:pos="1008"/>
                <w:tab w:val="clear" w:pos="1440"/>
                <w:tab w:val="clear" w:pos="1872"/>
                <w:tab w:val="clear" w:pos="2304"/>
                <w:tab w:val="clear" w:pos="2736"/>
              </w:tabs>
              <w:spacing w:before="0" w:after="0"/>
              <w:jc w:val="left"/>
              <w:rPr>
                <w:rFonts w:cs="Times New Roman"/>
                <w:b/>
                <w:sz w:val="20"/>
              </w:rPr>
            </w:pPr>
            <w:r w:rsidRPr="00EF5B36">
              <w:rPr>
                <w:b/>
                <w:sz w:val="20"/>
              </w:rPr>
              <w:t>Counsel for the Minister</w:t>
            </w:r>
          </w:p>
        </w:tc>
        <w:tc>
          <w:tcPr>
            <w:tcW w:w="4678" w:type="dxa"/>
          </w:tcPr>
          <w:p w14:paraId="0538BBFB"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szCs w:val="24"/>
              </w:rPr>
            </w:pPr>
            <w:r w:rsidRPr="00EF5B36">
              <w:t>N/A</w:t>
            </w:r>
          </w:p>
        </w:tc>
        <w:tc>
          <w:tcPr>
            <w:tcW w:w="2414" w:type="dxa"/>
          </w:tcPr>
          <w:p w14:paraId="0713B075" w14:textId="6A14B12F"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r w:rsidRPr="00EF5B36">
              <w:rPr>
                <w:b/>
                <w:sz w:val="20"/>
              </w:rPr>
              <w:t>Conseil du ministre</w:t>
            </w:r>
          </w:p>
        </w:tc>
      </w:tr>
      <w:tr w:rsidR="00880C23" w:rsidRPr="00EF5B36" w14:paraId="1BED4374" w14:textId="196538CC" w:rsidTr="00880C23">
        <w:trPr>
          <w:cantSplit/>
          <w:trHeight w:val="567"/>
          <w:jc w:val="center"/>
        </w:trPr>
        <w:tc>
          <w:tcPr>
            <w:tcW w:w="2268" w:type="dxa"/>
          </w:tcPr>
          <w:p w14:paraId="3AD93E87" w14:textId="77777777" w:rsidR="00880C23" w:rsidRPr="00EF5B36" w:rsidRDefault="00880C23" w:rsidP="00880C23">
            <w:pPr>
              <w:tabs>
                <w:tab w:val="clear" w:pos="576"/>
                <w:tab w:val="clear" w:pos="1008"/>
                <w:tab w:val="clear" w:pos="1440"/>
                <w:tab w:val="clear" w:pos="1872"/>
                <w:tab w:val="clear" w:pos="2304"/>
                <w:tab w:val="clear" w:pos="2736"/>
              </w:tabs>
              <w:spacing w:before="0" w:after="0"/>
              <w:rPr>
                <w:rFonts w:cs="Times New Roman"/>
                <w:b/>
                <w:sz w:val="20"/>
              </w:rPr>
            </w:pPr>
          </w:p>
        </w:tc>
        <w:tc>
          <w:tcPr>
            <w:tcW w:w="4678" w:type="dxa"/>
          </w:tcPr>
          <w:p w14:paraId="3B40A513"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2414" w:type="dxa"/>
          </w:tcPr>
          <w:p w14:paraId="5B4097BD" w14:textId="77777777" w:rsidR="00880C23" w:rsidRPr="00EF5B36" w:rsidRDefault="00880C23" w:rsidP="00880C23">
            <w:pPr>
              <w:tabs>
                <w:tab w:val="clear" w:pos="576"/>
                <w:tab w:val="clear" w:pos="1008"/>
                <w:tab w:val="clear" w:pos="1440"/>
                <w:tab w:val="clear" w:pos="1872"/>
                <w:tab w:val="clear" w:pos="2304"/>
                <w:tab w:val="clear" w:pos="2736"/>
              </w:tabs>
              <w:spacing w:before="0" w:after="0"/>
              <w:jc w:val="right"/>
              <w:rPr>
                <w:rFonts w:cs="Times New Roman"/>
                <w:b/>
                <w:sz w:val="20"/>
              </w:rPr>
            </w:pPr>
          </w:p>
        </w:tc>
      </w:tr>
    </w:tbl>
    <w:p w14:paraId="78416D96" w14:textId="77777777" w:rsidR="008B5E77" w:rsidRPr="00EF5B36" w:rsidRDefault="008B5E77">
      <w:pPr>
        <w:tabs>
          <w:tab w:val="clear" w:pos="576"/>
          <w:tab w:val="clear" w:pos="1008"/>
          <w:tab w:val="clear" w:pos="1440"/>
          <w:tab w:val="clear" w:pos="1872"/>
          <w:tab w:val="clear" w:pos="2304"/>
          <w:tab w:val="clear" w:pos="2736"/>
        </w:tabs>
        <w:spacing w:before="0" w:after="160" w:line="259" w:lineRule="auto"/>
        <w:jc w:val="left"/>
        <w:rPr>
          <w:rFonts w:cs="Times New Roman"/>
        </w:rPr>
      </w:pPr>
      <w:r w:rsidRPr="00EF5B36">
        <w:br w:type="page"/>
      </w:r>
    </w:p>
    <w:p w14:paraId="01161965" w14:textId="77777777" w:rsidR="00B646B0" w:rsidRPr="00EF5B36" w:rsidRDefault="00B646B0" w:rsidP="00D47798">
      <w:pPr>
        <w:pStyle w:val="Heading3"/>
        <w:spacing w:after="240" w:line="360" w:lineRule="auto"/>
        <w:jc w:val="center"/>
        <w:rPr>
          <w:rFonts w:ascii="Times New Roman" w:hAnsi="Times New Roman" w:cs="Times New Roman"/>
          <w:b/>
          <w:sz w:val="28"/>
          <w:szCs w:val="28"/>
        </w:rPr>
      </w:pPr>
      <w:r w:rsidRPr="00EF5B36">
        <w:rPr>
          <w:rFonts w:ascii="Times New Roman" w:hAnsi="Times New Roman"/>
          <w:b/>
          <w:sz w:val="28"/>
        </w:rPr>
        <w:lastRenderedPageBreak/>
        <w:t>REASONS FOR DECISION</w:t>
      </w:r>
    </w:p>
    <w:p w14:paraId="47D8DB95" w14:textId="77777777" w:rsidR="004D5697" w:rsidRPr="00EF5B36" w:rsidRDefault="00743B41" w:rsidP="00280082">
      <w:pPr>
        <w:tabs>
          <w:tab w:val="clear" w:pos="576"/>
          <w:tab w:val="clear" w:pos="1008"/>
          <w:tab w:val="left" w:pos="0"/>
          <w:tab w:val="left" w:pos="5040"/>
        </w:tabs>
        <w:spacing w:before="0" w:after="0" w:line="360" w:lineRule="auto"/>
        <w:jc w:val="left"/>
        <w:outlineLvl w:val="2"/>
        <w:rPr>
          <w:rFonts w:cs="Times New Roman"/>
          <w:b/>
          <w:szCs w:val="24"/>
        </w:rPr>
      </w:pPr>
      <w:r w:rsidRPr="00EF5B36">
        <w:rPr>
          <w:b/>
        </w:rPr>
        <w:t>OVERVIEW</w:t>
      </w:r>
    </w:p>
    <w:p w14:paraId="656CBD31" w14:textId="219A0439" w:rsidR="00454D65" w:rsidRPr="00EF5B36" w:rsidRDefault="00C0441E" w:rsidP="003E4B51">
      <w:pPr>
        <w:pStyle w:val="ListParagraph"/>
        <w:numPr>
          <w:ilvl w:val="0"/>
          <w:numId w:val="1"/>
        </w:numPr>
        <w:tabs>
          <w:tab w:val="clear" w:pos="720"/>
          <w:tab w:val="num" w:pos="0"/>
          <w:tab w:val="left" w:pos="709"/>
        </w:tabs>
        <w:spacing w:before="240" w:after="240" w:line="360" w:lineRule="auto"/>
        <w:ind w:left="0" w:firstLine="0"/>
        <w:rPr>
          <w:rFonts w:ascii="Times New Roman" w:hAnsi="Times New Roman"/>
          <w:sz w:val="24"/>
          <w:szCs w:val="24"/>
        </w:rPr>
      </w:pPr>
      <w:r>
        <w:rPr>
          <w:rFonts w:ascii="Times New Roman" w:hAnsi="Times New Roman"/>
          <w:b/>
          <w:sz w:val="24"/>
        </w:rPr>
        <w:t>XXXX XXXX</w:t>
      </w:r>
      <w:r w:rsidR="00454D65" w:rsidRPr="00EF5B36">
        <w:rPr>
          <w:rFonts w:ascii="Times New Roman" w:hAnsi="Times New Roman"/>
          <w:sz w:val="24"/>
        </w:rPr>
        <w:t xml:space="preserve"> (the </w:t>
      </w:r>
      <w:r w:rsidR="000E00D3">
        <w:rPr>
          <w:rFonts w:ascii="Times New Roman" w:hAnsi="Times New Roman"/>
          <w:sz w:val="24"/>
        </w:rPr>
        <w:t>female appellant</w:t>
      </w:r>
      <w:r w:rsidR="00454D65" w:rsidRPr="00EF5B36">
        <w:rPr>
          <w:rFonts w:ascii="Times New Roman" w:hAnsi="Times New Roman"/>
          <w:sz w:val="24"/>
        </w:rPr>
        <w:t xml:space="preserve">) is a citizen of Haiti. Her minor son, </w:t>
      </w:r>
      <w:r>
        <w:rPr>
          <w:rFonts w:ascii="Times New Roman" w:hAnsi="Times New Roman"/>
          <w:b/>
          <w:sz w:val="24"/>
        </w:rPr>
        <w:t>XXXX XXXX XXXX XXXX</w:t>
      </w:r>
      <w:r w:rsidR="00454D65" w:rsidRPr="00EF5B36">
        <w:rPr>
          <w:rFonts w:ascii="Times New Roman" w:hAnsi="Times New Roman"/>
          <w:sz w:val="24"/>
        </w:rPr>
        <w:t xml:space="preserve"> (the minor appellant), is a citizen of Brazil. </w:t>
      </w:r>
    </w:p>
    <w:p w14:paraId="17A2F2D8" w14:textId="79EB681A" w:rsidR="00454D65" w:rsidRPr="00EF5B36" w:rsidRDefault="000E00D3" w:rsidP="003E4B51">
      <w:pPr>
        <w:pStyle w:val="ListParagraph"/>
        <w:numPr>
          <w:ilvl w:val="0"/>
          <w:numId w:val="1"/>
        </w:numPr>
        <w:spacing w:before="240" w:after="240" w:line="360" w:lineRule="auto"/>
        <w:ind w:left="0" w:firstLine="0"/>
        <w:rPr>
          <w:rFonts w:ascii="Times New Roman" w:hAnsi="Times New Roman"/>
          <w:sz w:val="24"/>
          <w:szCs w:val="24"/>
        </w:rPr>
      </w:pPr>
      <w:r>
        <w:rPr>
          <w:rFonts w:ascii="Times New Roman" w:hAnsi="Times New Roman"/>
          <w:sz w:val="24"/>
        </w:rPr>
        <w:t>The female appellant</w:t>
      </w:r>
      <w:r w:rsidR="00454D65" w:rsidRPr="00EF5B36">
        <w:rPr>
          <w:rFonts w:ascii="Times New Roman" w:hAnsi="Times New Roman"/>
          <w:sz w:val="24"/>
        </w:rPr>
        <w:t xml:space="preserve"> fears that, if she were to return to Haiti, her life would be at risk because of her brother</w:t>
      </w:r>
      <w:r w:rsidR="00F21F52" w:rsidRPr="00EF5B36">
        <w:rPr>
          <w:rFonts w:ascii="Times New Roman" w:hAnsi="Times New Roman"/>
          <w:sz w:val="24"/>
        </w:rPr>
        <w:noBreakHyphen/>
      </w:r>
      <w:r w:rsidR="00454D65" w:rsidRPr="00EF5B36">
        <w:rPr>
          <w:rFonts w:ascii="Times New Roman" w:hAnsi="Times New Roman"/>
          <w:sz w:val="24"/>
        </w:rPr>
        <w:t>in</w:t>
      </w:r>
      <w:r w:rsidR="00F21F52" w:rsidRPr="00EF5B36">
        <w:rPr>
          <w:rFonts w:ascii="Times New Roman" w:hAnsi="Times New Roman"/>
          <w:sz w:val="24"/>
        </w:rPr>
        <w:noBreakHyphen/>
      </w:r>
      <w:r w:rsidR="00454D65" w:rsidRPr="00EF5B36">
        <w:rPr>
          <w:rFonts w:ascii="Times New Roman" w:hAnsi="Times New Roman"/>
          <w:sz w:val="24"/>
        </w:rPr>
        <w:t xml:space="preserve">law, </w:t>
      </w:r>
      <w:r w:rsidR="00C0441E">
        <w:rPr>
          <w:rFonts w:ascii="Times New Roman" w:hAnsi="Times New Roman"/>
          <w:sz w:val="24"/>
        </w:rPr>
        <w:t>XXXX XXXX XXXX</w:t>
      </w:r>
      <w:r w:rsidR="00454D65" w:rsidRPr="00EF5B36">
        <w:rPr>
          <w:rFonts w:ascii="Times New Roman" w:hAnsi="Times New Roman"/>
          <w:sz w:val="24"/>
        </w:rPr>
        <w:t xml:space="preserve"> who is seeking revenge because she sold </w:t>
      </w:r>
      <w:r w:rsidR="00AC3AEC">
        <w:rPr>
          <w:rFonts w:ascii="Times New Roman" w:hAnsi="Times New Roman"/>
          <w:sz w:val="24"/>
        </w:rPr>
        <w:t>the</w:t>
      </w:r>
      <w:r w:rsidR="00454D65" w:rsidRPr="00EF5B36">
        <w:rPr>
          <w:rFonts w:ascii="Times New Roman" w:hAnsi="Times New Roman"/>
          <w:sz w:val="24"/>
        </w:rPr>
        <w:t xml:space="preserve"> house that was purchased with money belonging to her husband, who is also Mr. </w:t>
      </w:r>
      <w:r w:rsidR="00C0441E">
        <w:rPr>
          <w:rFonts w:ascii="Times New Roman" w:hAnsi="Times New Roman"/>
          <w:sz w:val="24"/>
        </w:rPr>
        <w:t>XXXX</w:t>
      </w:r>
      <w:r w:rsidR="00454D65" w:rsidRPr="00EF5B36">
        <w:rPr>
          <w:rFonts w:ascii="Times New Roman" w:hAnsi="Times New Roman"/>
          <w:sz w:val="24"/>
        </w:rPr>
        <w:t xml:space="preserve"> brother. </w:t>
      </w:r>
    </w:p>
    <w:p w14:paraId="614B0D7A" w14:textId="77777777" w:rsidR="00085079" w:rsidRPr="00EF5B36" w:rsidRDefault="00085079" w:rsidP="003E4B51">
      <w:pPr>
        <w:pStyle w:val="ListParagraph"/>
        <w:numPr>
          <w:ilvl w:val="0"/>
          <w:numId w:val="1"/>
        </w:numPr>
        <w:spacing w:before="240" w:after="240" w:line="360" w:lineRule="auto"/>
        <w:ind w:left="0" w:firstLine="0"/>
        <w:rPr>
          <w:rFonts w:ascii="Times New Roman" w:hAnsi="Times New Roman"/>
          <w:sz w:val="24"/>
          <w:szCs w:val="24"/>
        </w:rPr>
      </w:pPr>
      <w:r w:rsidRPr="00EF5B36">
        <w:rPr>
          <w:rFonts w:ascii="Times New Roman" w:hAnsi="Times New Roman"/>
          <w:sz w:val="24"/>
        </w:rPr>
        <w:t>The minor appellant fears that, if he were to return to Brazil, he would be persecuted because of the way Haitians are treated in Brazil.</w:t>
      </w:r>
    </w:p>
    <w:p w14:paraId="1750E654" w14:textId="7C5D9889" w:rsidR="00454D65" w:rsidRPr="00EF5B36" w:rsidRDefault="00454D65" w:rsidP="003E4B51">
      <w:pPr>
        <w:pStyle w:val="ListParagraph"/>
        <w:numPr>
          <w:ilvl w:val="0"/>
          <w:numId w:val="1"/>
        </w:numPr>
        <w:tabs>
          <w:tab w:val="clear" w:pos="720"/>
          <w:tab w:val="num" w:pos="0"/>
          <w:tab w:val="left" w:pos="709"/>
        </w:tabs>
        <w:spacing w:before="240" w:after="240" w:line="360" w:lineRule="auto"/>
        <w:ind w:left="0" w:firstLine="0"/>
        <w:rPr>
          <w:rFonts w:ascii="Times New Roman" w:hAnsi="Times New Roman"/>
          <w:sz w:val="24"/>
          <w:szCs w:val="24"/>
        </w:rPr>
      </w:pPr>
      <w:r w:rsidRPr="00EF5B36">
        <w:rPr>
          <w:rFonts w:ascii="Times New Roman" w:hAnsi="Times New Roman"/>
          <w:sz w:val="24"/>
        </w:rPr>
        <w:t xml:space="preserve">The Refugee Protection Division (RPD) rejected </w:t>
      </w:r>
      <w:r w:rsidR="000E00D3">
        <w:rPr>
          <w:rFonts w:ascii="Times New Roman" w:hAnsi="Times New Roman"/>
          <w:sz w:val="24"/>
        </w:rPr>
        <w:t>the appellant</w:t>
      </w:r>
      <w:r w:rsidRPr="00EF5B36">
        <w:rPr>
          <w:rFonts w:ascii="Times New Roman" w:hAnsi="Times New Roman"/>
          <w:sz w:val="24"/>
        </w:rPr>
        <w:t xml:space="preserve">s’ claim for refugee protection because it found that </w:t>
      </w:r>
      <w:r w:rsidR="000E00D3">
        <w:rPr>
          <w:rFonts w:ascii="Times New Roman" w:hAnsi="Times New Roman"/>
          <w:sz w:val="24"/>
        </w:rPr>
        <w:t>the female appellant</w:t>
      </w:r>
      <w:r w:rsidRPr="00EF5B36">
        <w:rPr>
          <w:rFonts w:ascii="Times New Roman" w:hAnsi="Times New Roman"/>
          <w:sz w:val="24"/>
        </w:rPr>
        <w:t xml:space="preserve"> was not a credible witness. The RPD further concluded that </w:t>
      </w:r>
      <w:r w:rsidR="000E00D3">
        <w:rPr>
          <w:rFonts w:ascii="Times New Roman" w:hAnsi="Times New Roman"/>
          <w:sz w:val="24"/>
        </w:rPr>
        <w:t>the female appellant</w:t>
      </w:r>
      <w:r w:rsidRPr="00EF5B36">
        <w:rPr>
          <w:rFonts w:ascii="Times New Roman" w:hAnsi="Times New Roman"/>
          <w:sz w:val="24"/>
        </w:rPr>
        <w:t xml:space="preserve"> had failed to establish a prospective ris</w:t>
      </w:r>
      <w:r w:rsidR="00255134" w:rsidRPr="00EF5B36">
        <w:rPr>
          <w:rFonts w:ascii="Times New Roman" w:hAnsi="Times New Roman"/>
          <w:sz w:val="24"/>
        </w:rPr>
        <w:t>k should she return to Haiti.</w:t>
      </w:r>
    </w:p>
    <w:p w14:paraId="15A0D24D" w14:textId="2E964D58" w:rsidR="00454D65" w:rsidRPr="00EF5B36" w:rsidRDefault="00454D65" w:rsidP="003E4B51">
      <w:pPr>
        <w:pStyle w:val="ListParagraph"/>
        <w:numPr>
          <w:ilvl w:val="0"/>
          <w:numId w:val="1"/>
        </w:numPr>
        <w:tabs>
          <w:tab w:val="clear" w:pos="720"/>
          <w:tab w:val="num" w:pos="0"/>
          <w:tab w:val="left" w:pos="709"/>
        </w:tabs>
        <w:spacing w:before="240" w:after="240" w:line="360" w:lineRule="auto"/>
        <w:ind w:left="0" w:firstLine="0"/>
        <w:rPr>
          <w:rFonts w:ascii="Times New Roman" w:hAnsi="Times New Roman"/>
          <w:sz w:val="24"/>
          <w:szCs w:val="24"/>
        </w:rPr>
      </w:pPr>
      <w:r w:rsidRPr="00EF5B36">
        <w:rPr>
          <w:rFonts w:ascii="Times New Roman" w:hAnsi="Times New Roman"/>
          <w:sz w:val="24"/>
        </w:rPr>
        <w:t xml:space="preserve">The appellants submit that the RPD erred in its assessment of </w:t>
      </w:r>
      <w:r w:rsidR="00F24774">
        <w:rPr>
          <w:rFonts w:ascii="Times New Roman" w:hAnsi="Times New Roman"/>
          <w:sz w:val="24"/>
        </w:rPr>
        <w:t>the female appellant</w:t>
      </w:r>
      <w:r w:rsidRPr="00EF5B36">
        <w:rPr>
          <w:rFonts w:ascii="Times New Roman" w:hAnsi="Times New Roman"/>
          <w:sz w:val="24"/>
        </w:rPr>
        <w:t>’s credibility and in its analysis of the prospective risk in Haiti. Additionally, they submit that the RPD erred by failing to analyze the prospective risk the minor appellant would face should he return to Brazil.</w:t>
      </w:r>
    </w:p>
    <w:p w14:paraId="55B086C6" w14:textId="4BAAD536" w:rsidR="00C47077" w:rsidRPr="00EF5B36" w:rsidRDefault="00C47077" w:rsidP="003E4B51">
      <w:pPr>
        <w:pStyle w:val="ListParagraph"/>
        <w:numPr>
          <w:ilvl w:val="0"/>
          <w:numId w:val="1"/>
        </w:numPr>
        <w:spacing w:before="240" w:after="240" w:line="360" w:lineRule="auto"/>
        <w:ind w:left="0" w:firstLine="0"/>
        <w:rPr>
          <w:rFonts w:ascii="Times New Roman" w:hAnsi="Times New Roman"/>
          <w:sz w:val="24"/>
          <w:szCs w:val="24"/>
        </w:rPr>
      </w:pPr>
      <w:r w:rsidRPr="00EF5B36">
        <w:rPr>
          <w:rFonts w:ascii="Times New Roman" w:hAnsi="Times New Roman"/>
          <w:sz w:val="24"/>
        </w:rPr>
        <w:t xml:space="preserve">The determinative issues for the Refugee Appeal Division (RAD) are the applicability of exclusion clause 1E to </w:t>
      </w:r>
      <w:r w:rsidR="00F24774">
        <w:rPr>
          <w:rFonts w:ascii="Times New Roman" w:hAnsi="Times New Roman"/>
          <w:sz w:val="24"/>
        </w:rPr>
        <w:t>the female appellant</w:t>
      </w:r>
      <w:r w:rsidRPr="00EF5B36">
        <w:rPr>
          <w:rFonts w:ascii="Times New Roman" w:hAnsi="Times New Roman"/>
          <w:sz w:val="24"/>
        </w:rPr>
        <w:t>’s situation and the existence of a prospective risk for the minor appellant should he return to Brazil.</w:t>
      </w:r>
    </w:p>
    <w:p w14:paraId="702F399C" w14:textId="015E01CF" w:rsidR="00454D65" w:rsidRPr="00EF5B36" w:rsidRDefault="00454D65" w:rsidP="003E4B51">
      <w:pPr>
        <w:pStyle w:val="ListParagraph"/>
        <w:numPr>
          <w:ilvl w:val="0"/>
          <w:numId w:val="1"/>
        </w:numPr>
        <w:tabs>
          <w:tab w:val="clear" w:pos="720"/>
          <w:tab w:val="num" w:pos="0"/>
          <w:tab w:val="left" w:pos="709"/>
        </w:tabs>
        <w:spacing w:before="240" w:after="240" w:line="360" w:lineRule="auto"/>
        <w:ind w:left="0" w:firstLine="0"/>
        <w:rPr>
          <w:rFonts w:ascii="Times New Roman" w:hAnsi="Times New Roman"/>
          <w:sz w:val="24"/>
          <w:szCs w:val="24"/>
        </w:rPr>
      </w:pPr>
      <w:r w:rsidRPr="00EF5B36">
        <w:rPr>
          <w:rFonts w:ascii="Times New Roman" w:hAnsi="Times New Roman"/>
          <w:sz w:val="24"/>
        </w:rPr>
        <w:t xml:space="preserve">The RAD concludes that the RPD erred in its analysis of the applicability of the Article 1E exclusion to </w:t>
      </w:r>
      <w:r w:rsidR="00F24774">
        <w:rPr>
          <w:rFonts w:ascii="Times New Roman" w:hAnsi="Times New Roman"/>
          <w:sz w:val="24"/>
        </w:rPr>
        <w:t>the female appellant</w:t>
      </w:r>
      <w:r w:rsidRPr="00EF5B36">
        <w:rPr>
          <w:rFonts w:ascii="Times New Roman" w:hAnsi="Times New Roman"/>
          <w:sz w:val="24"/>
        </w:rPr>
        <w:t>’s situation for the reasons that follow.</w:t>
      </w:r>
      <w:r w:rsidR="00E857AF">
        <w:rPr>
          <w:rFonts w:ascii="Times New Roman" w:hAnsi="Times New Roman"/>
          <w:sz w:val="24"/>
        </w:rPr>
        <w:t xml:space="preserve"> </w:t>
      </w:r>
      <w:r w:rsidRPr="00EF5B36">
        <w:rPr>
          <w:rFonts w:ascii="Times New Roman" w:hAnsi="Times New Roman"/>
          <w:sz w:val="24"/>
        </w:rPr>
        <w:t xml:space="preserve">The RAD concludes that </w:t>
      </w:r>
      <w:r w:rsidR="00F24774">
        <w:rPr>
          <w:rFonts w:ascii="Times New Roman" w:hAnsi="Times New Roman"/>
          <w:sz w:val="24"/>
        </w:rPr>
        <w:t>the female appellant</w:t>
      </w:r>
      <w:r w:rsidRPr="00EF5B36">
        <w:rPr>
          <w:rFonts w:ascii="Times New Roman" w:hAnsi="Times New Roman"/>
          <w:sz w:val="24"/>
        </w:rPr>
        <w:t xml:space="preserve"> is a person </w:t>
      </w:r>
      <w:r w:rsidR="00820B86">
        <w:rPr>
          <w:rFonts w:ascii="Times New Roman" w:hAnsi="Times New Roman"/>
          <w:sz w:val="24"/>
        </w:rPr>
        <w:t>described in</w:t>
      </w:r>
      <w:r w:rsidRPr="00EF5B36">
        <w:rPr>
          <w:rFonts w:ascii="Times New Roman" w:hAnsi="Times New Roman"/>
          <w:sz w:val="24"/>
        </w:rPr>
        <w:t xml:space="preserve"> Article 1E of the Convention. With regard to the minor appellant, the RAD concludes that the RPD erred by failing to analyze the risk he would face if he were to return to Brazil. However, the RAD concludes that he </w:t>
      </w:r>
      <w:r w:rsidR="006B734F">
        <w:rPr>
          <w:rFonts w:ascii="Times New Roman" w:hAnsi="Times New Roman"/>
          <w:sz w:val="24"/>
        </w:rPr>
        <w:t xml:space="preserve">failed to </w:t>
      </w:r>
      <w:r w:rsidR="006B734F">
        <w:rPr>
          <w:rFonts w:ascii="Times New Roman" w:hAnsi="Times New Roman"/>
          <w:sz w:val="24"/>
        </w:rPr>
        <w:lastRenderedPageBreak/>
        <w:t xml:space="preserve">establish </w:t>
      </w:r>
      <w:r w:rsidRPr="00EF5B36">
        <w:rPr>
          <w:rFonts w:ascii="Times New Roman" w:hAnsi="Times New Roman"/>
          <w:sz w:val="24"/>
        </w:rPr>
        <w:t xml:space="preserve">a serious possibility of persecution or demonstrate the existence of a risk within the meaning of subsection 97(1) of the </w:t>
      </w:r>
      <w:r w:rsidRPr="00EF5B36">
        <w:rPr>
          <w:rFonts w:ascii="Times New Roman" w:hAnsi="Times New Roman"/>
          <w:i/>
          <w:iCs/>
          <w:sz w:val="24"/>
        </w:rPr>
        <w:t>Immigration and Refugee Protection Act</w:t>
      </w:r>
      <w:r w:rsidRPr="00EF5B36">
        <w:rPr>
          <w:rFonts w:ascii="Times New Roman" w:hAnsi="Times New Roman"/>
          <w:sz w:val="24"/>
        </w:rPr>
        <w:t xml:space="preserve"> (IRPA) if he were to return to Brazil. </w:t>
      </w:r>
    </w:p>
    <w:p w14:paraId="5EC21426" w14:textId="77777777" w:rsidR="00454D65" w:rsidRPr="00EF5B36" w:rsidRDefault="00454D65" w:rsidP="003E4B51">
      <w:pPr>
        <w:pStyle w:val="ListParagraph"/>
        <w:numPr>
          <w:ilvl w:val="0"/>
          <w:numId w:val="1"/>
        </w:numPr>
        <w:tabs>
          <w:tab w:val="clear" w:pos="720"/>
          <w:tab w:val="num" w:pos="0"/>
          <w:tab w:val="left" w:pos="709"/>
        </w:tabs>
        <w:spacing w:before="240" w:after="240" w:line="360" w:lineRule="auto"/>
        <w:ind w:left="0" w:firstLine="0"/>
        <w:rPr>
          <w:rFonts w:ascii="Times New Roman" w:hAnsi="Times New Roman"/>
          <w:sz w:val="24"/>
          <w:szCs w:val="24"/>
        </w:rPr>
      </w:pPr>
      <w:r w:rsidRPr="00EF5B36">
        <w:rPr>
          <w:rFonts w:ascii="Times New Roman" w:hAnsi="Times New Roman"/>
          <w:sz w:val="24"/>
        </w:rPr>
        <w:t>The appeal is dismissed.</w:t>
      </w:r>
    </w:p>
    <w:p w14:paraId="568BE705" w14:textId="77777777" w:rsidR="00454D65" w:rsidRPr="00EF5B36" w:rsidRDefault="00454D65" w:rsidP="003E4B51">
      <w:pPr>
        <w:spacing w:before="360" w:after="240" w:line="360" w:lineRule="auto"/>
        <w:jc w:val="left"/>
        <w:rPr>
          <w:szCs w:val="24"/>
        </w:rPr>
      </w:pPr>
      <w:r w:rsidRPr="00EF5B36">
        <w:rPr>
          <w:b/>
        </w:rPr>
        <w:t>BACKGROUND</w:t>
      </w:r>
      <w:r w:rsidRPr="00EF5B36">
        <w:t xml:space="preserve"> </w:t>
      </w:r>
    </w:p>
    <w:p w14:paraId="502A9643" w14:textId="2FA2427F" w:rsidR="0002718E" w:rsidRPr="00EF5B36" w:rsidRDefault="00454D65" w:rsidP="003E4B51">
      <w:pPr>
        <w:pStyle w:val="ListParagraph"/>
        <w:numPr>
          <w:ilvl w:val="0"/>
          <w:numId w:val="1"/>
        </w:numPr>
        <w:spacing w:before="240" w:after="240" w:line="360" w:lineRule="auto"/>
        <w:ind w:left="0" w:firstLine="0"/>
        <w:rPr>
          <w:rFonts w:ascii="Times New Roman" w:hAnsi="Times New Roman"/>
          <w:sz w:val="24"/>
          <w:szCs w:val="24"/>
        </w:rPr>
      </w:pPr>
      <w:r w:rsidRPr="00EF5B36">
        <w:rPr>
          <w:rFonts w:ascii="Times New Roman" w:hAnsi="Times New Roman"/>
          <w:sz w:val="24"/>
        </w:rPr>
        <w:t xml:space="preserve">The appellants’ allegations can be found in </w:t>
      </w:r>
      <w:r w:rsidR="00F24774">
        <w:rPr>
          <w:rFonts w:ascii="Times New Roman" w:hAnsi="Times New Roman"/>
          <w:sz w:val="24"/>
        </w:rPr>
        <w:t>the female appellant</w:t>
      </w:r>
      <w:r w:rsidRPr="00EF5B36">
        <w:rPr>
          <w:rFonts w:ascii="Times New Roman" w:hAnsi="Times New Roman"/>
          <w:sz w:val="24"/>
        </w:rPr>
        <w:t>’s Basis of Claim Form</w:t>
      </w:r>
      <w:r w:rsidR="0002718E" w:rsidRPr="00EF5B36">
        <w:rPr>
          <w:rStyle w:val="EndnoteReference"/>
          <w:rFonts w:ascii="Times New Roman" w:hAnsi="Times New Roman"/>
          <w:sz w:val="24"/>
          <w:szCs w:val="24"/>
        </w:rPr>
        <w:endnoteReference w:id="1"/>
      </w:r>
      <w:r w:rsidRPr="00EF5B36">
        <w:rPr>
          <w:rFonts w:ascii="Times New Roman" w:hAnsi="Times New Roman"/>
          <w:sz w:val="24"/>
        </w:rPr>
        <w:t xml:space="preserve"> (BOC Form), and can be summarized as follows:</w:t>
      </w:r>
    </w:p>
    <w:p w14:paraId="0CD37451" w14:textId="1EE9D777" w:rsidR="0002718E" w:rsidRPr="00EF5B36" w:rsidRDefault="00F24774" w:rsidP="003C69DE">
      <w:pPr>
        <w:pStyle w:val="ListParagraph"/>
        <w:numPr>
          <w:ilvl w:val="1"/>
          <w:numId w:val="7"/>
        </w:numPr>
        <w:spacing w:before="240" w:after="240"/>
        <w:rPr>
          <w:rFonts w:ascii="Times New Roman" w:hAnsi="Times New Roman"/>
          <w:sz w:val="24"/>
          <w:szCs w:val="24"/>
        </w:rPr>
      </w:pPr>
      <w:r>
        <w:rPr>
          <w:rFonts w:ascii="Times New Roman" w:hAnsi="Times New Roman"/>
          <w:sz w:val="24"/>
        </w:rPr>
        <w:t>The female appellant</w:t>
      </w:r>
      <w:r w:rsidR="0002718E" w:rsidRPr="00EF5B36">
        <w:rPr>
          <w:rFonts w:ascii="Times New Roman" w:hAnsi="Times New Roman"/>
          <w:sz w:val="24"/>
        </w:rPr>
        <w:t xml:space="preserve"> was threatened in Haiti by her husband’s brother.</w:t>
      </w:r>
    </w:p>
    <w:p w14:paraId="2721F116" w14:textId="77777777" w:rsidR="0002718E" w:rsidRPr="00EF5B36" w:rsidRDefault="0002718E" w:rsidP="003C69DE">
      <w:pPr>
        <w:pStyle w:val="ListParagraph"/>
        <w:numPr>
          <w:ilvl w:val="1"/>
          <w:numId w:val="7"/>
        </w:numPr>
        <w:spacing w:before="240" w:after="240"/>
        <w:rPr>
          <w:rFonts w:ascii="Times New Roman" w:hAnsi="Times New Roman"/>
          <w:sz w:val="24"/>
          <w:szCs w:val="24"/>
        </w:rPr>
      </w:pPr>
      <w:r w:rsidRPr="00EF5B36">
        <w:rPr>
          <w:rFonts w:ascii="Times New Roman" w:hAnsi="Times New Roman"/>
          <w:sz w:val="24"/>
        </w:rPr>
        <w:t>He is still looking for her and is threatening vengeance.</w:t>
      </w:r>
    </w:p>
    <w:p w14:paraId="5C2AB288" w14:textId="541F763F" w:rsidR="0002718E" w:rsidRPr="00EF5B36" w:rsidRDefault="00F24774" w:rsidP="003C69DE">
      <w:pPr>
        <w:pStyle w:val="ListParagraph"/>
        <w:numPr>
          <w:ilvl w:val="1"/>
          <w:numId w:val="7"/>
        </w:numPr>
        <w:spacing w:before="240" w:after="240"/>
        <w:rPr>
          <w:rFonts w:ascii="Times New Roman" w:hAnsi="Times New Roman"/>
          <w:sz w:val="24"/>
          <w:szCs w:val="24"/>
        </w:rPr>
      </w:pPr>
      <w:r>
        <w:rPr>
          <w:rFonts w:ascii="Times New Roman" w:hAnsi="Times New Roman"/>
          <w:sz w:val="24"/>
        </w:rPr>
        <w:t>The female appellant</w:t>
      </w:r>
      <w:r w:rsidR="0002718E" w:rsidRPr="00EF5B36">
        <w:rPr>
          <w:rFonts w:ascii="Times New Roman" w:hAnsi="Times New Roman"/>
          <w:sz w:val="24"/>
        </w:rPr>
        <w:t>’s purchase of a house is the source of the conflict.</w:t>
      </w:r>
    </w:p>
    <w:p w14:paraId="6D0FE791" w14:textId="0D5FA806" w:rsidR="0002718E" w:rsidRPr="00EF5B36" w:rsidRDefault="0002718E" w:rsidP="003C69DE">
      <w:pPr>
        <w:pStyle w:val="ListParagraph"/>
        <w:numPr>
          <w:ilvl w:val="1"/>
          <w:numId w:val="7"/>
        </w:numPr>
        <w:spacing w:before="240" w:after="240"/>
        <w:rPr>
          <w:rFonts w:ascii="Times New Roman" w:hAnsi="Times New Roman"/>
          <w:sz w:val="24"/>
          <w:szCs w:val="24"/>
        </w:rPr>
      </w:pPr>
      <w:r w:rsidRPr="00EF5B36">
        <w:rPr>
          <w:rFonts w:ascii="Times New Roman" w:hAnsi="Times New Roman"/>
          <w:sz w:val="24"/>
        </w:rPr>
        <w:t xml:space="preserve">In </w:t>
      </w:r>
      <w:r w:rsidR="00C0441E">
        <w:rPr>
          <w:rFonts w:ascii="Times New Roman" w:hAnsi="Times New Roman"/>
          <w:sz w:val="24"/>
        </w:rPr>
        <w:t>XXXX</w:t>
      </w:r>
      <w:r w:rsidRPr="00EF5B36">
        <w:rPr>
          <w:rFonts w:ascii="Times New Roman" w:hAnsi="Times New Roman"/>
          <w:sz w:val="24"/>
        </w:rPr>
        <w:t xml:space="preserve"> 2013, </w:t>
      </w:r>
      <w:r w:rsidR="00F24774">
        <w:rPr>
          <w:rFonts w:ascii="Times New Roman" w:hAnsi="Times New Roman"/>
          <w:sz w:val="24"/>
        </w:rPr>
        <w:t>the female appellant</w:t>
      </w:r>
      <w:r w:rsidRPr="00EF5B36">
        <w:rPr>
          <w:rFonts w:ascii="Times New Roman" w:hAnsi="Times New Roman"/>
          <w:sz w:val="24"/>
        </w:rPr>
        <w:t xml:space="preserve"> left Haiti for Brazil.</w:t>
      </w:r>
    </w:p>
    <w:p w14:paraId="16338F8D" w14:textId="77777777" w:rsidR="0002718E" w:rsidRPr="00EF5B36" w:rsidRDefault="0002718E" w:rsidP="003C69DE">
      <w:pPr>
        <w:pStyle w:val="ListParagraph"/>
        <w:numPr>
          <w:ilvl w:val="1"/>
          <w:numId w:val="7"/>
        </w:numPr>
        <w:spacing w:before="240" w:after="240"/>
        <w:rPr>
          <w:rFonts w:ascii="Times New Roman" w:hAnsi="Times New Roman"/>
          <w:sz w:val="24"/>
          <w:szCs w:val="24"/>
        </w:rPr>
      </w:pPr>
      <w:r w:rsidRPr="00EF5B36">
        <w:rPr>
          <w:rFonts w:ascii="Times New Roman" w:hAnsi="Times New Roman"/>
          <w:sz w:val="24"/>
        </w:rPr>
        <w:t>The appellants left Brazil in 2016 because of the political instability and attacks, discrimination, and racism toward Haitians.</w:t>
      </w:r>
    </w:p>
    <w:p w14:paraId="5316E106" w14:textId="368ED745" w:rsidR="0002718E" w:rsidRPr="00EF5B36" w:rsidRDefault="00F24774" w:rsidP="003C69DE">
      <w:pPr>
        <w:pStyle w:val="ListParagraph"/>
        <w:numPr>
          <w:ilvl w:val="1"/>
          <w:numId w:val="7"/>
        </w:numPr>
        <w:spacing w:before="240" w:after="240"/>
        <w:rPr>
          <w:rFonts w:ascii="Times New Roman" w:hAnsi="Times New Roman"/>
          <w:sz w:val="24"/>
          <w:szCs w:val="24"/>
        </w:rPr>
      </w:pPr>
      <w:r>
        <w:rPr>
          <w:rFonts w:ascii="Times New Roman" w:hAnsi="Times New Roman"/>
          <w:sz w:val="24"/>
        </w:rPr>
        <w:t>The female appellant</w:t>
      </w:r>
      <w:r w:rsidR="0002718E" w:rsidRPr="00EF5B36">
        <w:rPr>
          <w:rFonts w:ascii="Times New Roman" w:hAnsi="Times New Roman"/>
          <w:sz w:val="24"/>
        </w:rPr>
        <w:t xml:space="preserve"> also fears violence against women if she were to return to Haiti.</w:t>
      </w:r>
    </w:p>
    <w:p w14:paraId="2FC383FD" w14:textId="77777777" w:rsidR="0002718E" w:rsidRPr="00EF5B36" w:rsidRDefault="0002718E" w:rsidP="003C69DE">
      <w:pPr>
        <w:pStyle w:val="ListParagraph"/>
        <w:numPr>
          <w:ilvl w:val="1"/>
          <w:numId w:val="7"/>
        </w:numPr>
        <w:spacing w:before="240" w:after="240"/>
        <w:rPr>
          <w:rFonts w:ascii="Times New Roman" w:hAnsi="Times New Roman"/>
          <w:sz w:val="24"/>
          <w:szCs w:val="24"/>
        </w:rPr>
      </w:pPr>
      <w:r w:rsidRPr="00EF5B36">
        <w:rPr>
          <w:rFonts w:ascii="Times New Roman" w:hAnsi="Times New Roman"/>
          <w:sz w:val="24"/>
        </w:rPr>
        <w:t>The minor appellant fears that his life would be in danger should he return to Brazil because of the discrimination Haitians face there.</w:t>
      </w:r>
    </w:p>
    <w:p w14:paraId="7AAB4E75" w14:textId="25AE2070" w:rsidR="0002718E" w:rsidRPr="00EF5B36" w:rsidRDefault="0002718E" w:rsidP="003E4B51">
      <w:pPr>
        <w:pStyle w:val="ListParagraph"/>
        <w:numPr>
          <w:ilvl w:val="0"/>
          <w:numId w:val="1"/>
        </w:numPr>
        <w:tabs>
          <w:tab w:val="clear" w:pos="720"/>
        </w:tabs>
        <w:spacing w:before="240" w:after="240" w:line="360" w:lineRule="auto"/>
        <w:ind w:left="0" w:firstLine="0"/>
        <w:rPr>
          <w:rFonts w:ascii="Times New Roman" w:hAnsi="Times New Roman"/>
          <w:sz w:val="24"/>
          <w:szCs w:val="24"/>
        </w:rPr>
      </w:pPr>
      <w:r w:rsidRPr="00EF5B36">
        <w:rPr>
          <w:rFonts w:ascii="Times New Roman" w:hAnsi="Times New Roman"/>
          <w:sz w:val="24"/>
        </w:rPr>
        <w:t xml:space="preserve">The RPD </w:t>
      </w:r>
      <w:r w:rsidR="009510D2">
        <w:rPr>
          <w:rFonts w:ascii="Times New Roman" w:hAnsi="Times New Roman"/>
          <w:sz w:val="24"/>
        </w:rPr>
        <w:t xml:space="preserve">examined </w:t>
      </w:r>
      <w:r w:rsidRPr="00EF5B36">
        <w:rPr>
          <w:rFonts w:ascii="Times New Roman" w:hAnsi="Times New Roman"/>
          <w:sz w:val="24"/>
        </w:rPr>
        <w:t xml:space="preserve">the applicability of exclusion clause 1E. It concluded that </w:t>
      </w:r>
      <w:r w:rsidR="00F24774">
        <w:rPr>
          <w:rFonts w:ascii="Times New Roman" w:hAnsi="Times New Roman"/>
          <w:sz w:val="24"/>
        </w:rPr>
        <w:t>the female appellant</w:t>
      </w:r>
      <w:r w:rsidRPr="00EF5B36">
        <w:rPr>
          <w:rFonts w:ascii="Times New Roman" w:hAnsi="Times New Roman"/>
          <w:sz w:val="24"/>
        </w:rPr>
        <w:t xml:space="preserve"> never obtained permanent residence in Brazil. The RPD also concluded that the status possessed by </w:t>
      </w:r>
      <w:r w:rsidR="00F24774">
        <w:rPr>
          <w:rFonts w:ascii="Times New Roman" w:hAnsi="Times New Roman"/>
          <w:sz w:val="24"/>
        </w:rPr>
        <w:t>the female appellant</w:t>
      </w:r>
      <w:r w:rsidRPr="00EF5B36">
        <w:rPr>
          <w:rFonts w:ascii="Times New Roman" w:hAnsi="Times New Roman"/>
          <w:sz w:val="24"/>
        </w:rPr>
        <w:t xml:space="preserve"> i</w:t>
      </w:r>
      <w:r w:rsidR="009510D2">
        <w:rPr>
          <w:rFonts w:ascii="Times New Roman" w:hAnsi="Times New Roman"/>
          <w:sz w:val="24"/>
        </w:rPr>
        <w:t>n</w:t>
      </w:r>
      <w:r w:rsidRPr="00EF5B36">
        <w:rPr>
          <w:rFonts w:ascii="Times New Roman" w:hAnsi="Times New Roman"/>
          <w:sz w:val="24"/>
        </w:rPr>
        <w:t xml:space="preserve"> Brazil did not grant her the same rights as those enjoyed by Brazilian citizens. The RPD also </w:t>
      </w:r>
      <w:r w:rsidR="00935241">
        <w:rPr>
          <w:rFonts w:ascii="Times New Roman" w:hAnsi="Times New Roman"/>
          <w:sz w:val="24"/>
        </w:rPr>
        <w:t>examined</w:t>
      </w:r>
      <w:r w:rsidRPr="00EF5B36">
        <w:rPr>
          <w:rFonts w:ascii="Times New Roman" w:hAnsi="Times New Roman"/>
          <w:sz w:val="24"/>
        </w:rPr>
        <w:t xml:space="preserve"> the possibility of </w:t>
      </w:r>
      <w:r w:rsidR="00F24774">
        <w:rPr>
          <w:rFonts w:ascii="Times New Roman" w:hAnsi="Times New Roman"/>
          <w:sz w:val="24"/>
        </w:rPr>
        <w:t>the female appellant</w:t>
      </w:r>
      <w:r w:rsidR="00542640">
        <w:rPr>
          <w:rFonts w:ascii="Times New Roman" w:hAnsi="Times New Roman"/>
          <w:sz w:val="24"/>
        </w:rPr>
        <w:t xml:space="preserve">’s </w:t>
      </w:r>
      <w:r w:rsidRPr="00EF5B36">
        <w:rPr>
          <w:rFonts w:ascii="Times New Roman" w:hAnsi="Times New Roman"/>
          <w:sz w:val="24"/>
        </w:rPr>
        <w:t xml:space="preserve">obtaining permanent residence due to the minor appellant being Brazilian. However, the RPD concluded that it did not have sufficient evidence to determine whether that option was available to </w:t>
      </w:r>
      <w:r w:rsidR="00F24774">
        <w:rPr>
          <w:rFonts w:ascii="Times New Roman" w:hAnsi="Times New Roman"/>
          <w:sz w:val="24"/>
        </w:rPr>
        <w:t>the female appellant</w:t>
      </w:r>
      <w:r w:rsidRPr="00EF5B36">
        <w:rPr>
          <w:rFonts w:ascii="Times New Roman" w:hAnsi="Times New Roman"/>
          <w:sz w:val="24"/>
        </w:rPr>
        <w:t xml:space="preserve">. Consequently, the RPD concluded that </w:t>
      </w:r>
      <w:r w:rsidR="00F24774">
        <w:rPr>
          <w:rFonts w:ascii="Times New Roman" w:hAnsi="Times New Roman"/>
          <w:sz w:val="24"/>
        </w:rPr>
        <w:t>the female appellant</w:t>
      </w:r>
      <w:r w:rsidRPr="00EF5B36">
        <w:rPr>
          <w:rFonts w:ascii="Times New Roman" w:hAnsi="Times New Roman"/>
          <w:sz w:val="24"/>
        </w:rPr>
        <w:t xml:space="preserve"> was not excluded under Article 1E of the Convention.</w:t>
      </w:r>
    </w:p>
    <w:p w14:paraId="18EDDEA2" w14:textId="5B038C59" w:rsidR="0002718E" w:rsidRPr="00EF5B36" w:rsidRDefault="0002718E" w:rsidP="003E4B51">
      <w:pPr>
        <w:pStyle w:val="ListParagraph"/>
        <w:numPr>
          <w:ilvl w:val="0"/>
          <w:numId w:val="1"/>
        </w:numPr>
        <w:tabs>
          <w:tab w:val="clear" w:pos="720"/>
        </w:tabs>
        <w:spacing w:before="240" w:after="240" w:line="360" w:lineRule="auto"/>
        <w:ind w:left="0" w:firstLine="0"/>
        <w:rPr>
          <w:rFonts w:ascii="Times New Roman" w:hAnsi="Times New Roman"/>
          <w:sz w:val="24"/>
          <w:szCs w:val="24"/>
        </w:rPr>
      </w:pPr>
      <w:r w:rsidRPr="00EF5B36">
        <w:rPr>
          <w:rFonts w:ascii="Times New Roman" w:hAnsi="Times New Roman"/>
          <w:sz w:val="24"/>
        </w:rPr>
        <w:lastRenderedPageBreak/>
        <w:t>The RAD notes that the recent documentary evidence</w:t>
      </w:r>
      <w:r w:rsidRPr="00EF5B36">
        <w:rPr>
          <w:rStyle w:val="EndnoteReference"/>
          <w:rFonts w:ascii="Times New Roman" w:hAnsi="Times New Roman"/>
          <w:sz w:val="24"/>
          <w:szCs w:val="24"/>
        </w:rPr>
        <w:endnoteReference w:id="2"/>
      </w:r>
      <w:r w:rsidRPr="00EF5B36">
        <w:rPr>
          <w:rFonts w:ascii="Times New Roman" w:hAnsi="Times New Roman"/>
          <w:sz w:val="24"/>
        </w:rPr>
        <w:t xml:space="preserve"> clarifies the evidence that was available at the time of the hearing before the RPD with regard to the possibility of </w:t>
      </w:r>
      <w:r w:rsidR="00F24774">
        <w:rPr>
          <w:rFonts w:ascii="Times New Roman" w:hAnsi="Times New Roman"/>
          <w:sz w:val="24"/>
        </w:rPr>
        <w:t>the female appellant</w:t>
      </w:r>
      <w:r w:rsidRPr="00EF5B36">
        <w:rPr>
          <w:rFonts w:ascii="Times New Roman" w:hAnsi="Times New Roman"/>
          <w:sz w:val="24"/>
        </w:rPr>
        <w:t xml:space="preserve"> becoming a permanent resident of Brazil on the basis of family reunification.</w:t>
      </w:r>
    </w:p>
    <w:p w14:paraId="7882B7B4" w14:textId="6048D53B" w:rsidR="0002718E" w:rsidRPr="00EF5B36" w:rsidRDefault="0002718E" w:rsidP="003E4B51">
      <w:pPr>
        <w:pStyle w:val="ListParagraph"/>
        <w:numPr>
          <w:ilvl w:val="0"/>
          <w:numId w:val="1"/>
        </w:numPr>
        <w:tabs>
          <w:tab w:val="clear" w:pos="720"/>
        </w:tabs>
        <w:spacing w:before="240" w:after="240" w:line="360" w:lineRule="auto"/>
        <w:ind w:left="0" w:firstLine="0"/>
        <w:rPr>
          <w:rFonts w:ascii="Times New Roman" w:hAnsi="Times New Roman"/>
          <w:b/>
          <w:sz w:val="24"/>
          <w:szCs w:val="24"/>
        </w:rPr>
      </w:pPr>
      <w:r w:rsidRPr="00EF5B36">
        <w:rPr>
          <w:rFonts w:ascii="Times New Roman" w:hAnsi="Times New Roman"/>
          <w:sz w:val="24"/>
        </w:rPr>
        <w:t>Consequently,</w:t>
      </w:r>
      <w:r w:rsidR="00542207">
        <w:rPr>
          <w:rFonts w:ascii="Times New Roman" w:hAnsi="Times New Roman"/>
          <w:sz w:val="24"/>
        </w:rPr>
        <w:t xml:space="preserve"> by providing</w:t>
      </w:r>
      <w:r w:rsidRPr="00EF5B36">
        <w:rPr>
          <w:rFonts w:ascii="Times New Roman" w:hAnsi="Times New Roman"/>
          <w:sz w:val="24"/>
        </w:rPr>
        <w:t xml:space="preserve"> notice of a new issue,</w:t>
      </w:r>
      <w:r w:rsidRPr="00EF5B36">
        <w:rPr>
          <w:rStyle w:val="EndnoteReference"/>
          <w:rFonts w:ascii="Times New Roman" w:hAnsi="Times New Roman"/>
          <w:sz w:val="24"/>
          <w:szCs w:val="24"/>
        </w:rPr>
        <w:endnoteReference w:id="3"/>
      </w:r>
      <w:r w:rsidRPr="00EF5B36">
        <w:rPr>
          <w:rFonts w:ascii="Times New Roman" w:hAnsi="Times New Roman"/>
          <w:sz w:val="24"/>
        </w:rPr>
        <w:t xml:space="preserve"> the RAD invited the appellants to </w:t>
      </w:r>
      <w:r w:rsidR="00542207">
        <w:rPr>
          <w:rFonts w:ascii="Times New Roman" w:hAnsi="Times New Roman"/>
          <w:sz w:val="24"/>
        </w:rPr>
        <w:t>make</w:t>
      </w:r>
      <w:r w:rsidRPr="00EF5B36">
        <w:rPr>
          <w:rFonts w:ascii="Times New Roman" w:hAnsi="Times New Roman"/>
          <w:sz w:val="24"/>
        </w:rPr>
        <w:t xml:space="preserve"> submissions regarding the possibility of </w:t>
      </w:r>
      <w:r w:rsidR="00F24774">
        <w:rPr>
          <w:rFonts w:ascii="Times New Roman" w:hAnsi="Times New Roman"/>
          <w:sz w:val="24"/>
        </w:rPr>
        <w:t>the female appellant</w:t>
      </w:r>
      <w:r w:rsidRPr="00EF5B36">
        <w:rPr>
          <w:rFonts w:ascii="Times New Roman" w:hAnsi="Times New Roman"/>
          <w:sz w:val="24"/>
        </w:rPr>
        <w:t xml:space="preserve"> returning to Brazil and obtaining permanent resident status via a family reunification visa, given that the minor appellant is a Brazilian citizen. The RAD also invited the appellants to provide submissions regarding the applicability of the Article 1E exclusion</w:t>
      </w:r>
      <w:r w:rsidR="00E71D2B">
        <w:rPr>
          <w:rFonts w:ascii="Times New Roman" w:hAnsi="Times New Roman"/>
          <w:sz w:val="24"/>
        </w:rPr>
        <w:t xml:space="preserve"> and of</w:t>
      </w:r>
      <w:r w:rsidRPr="00EF5B36">
        <w:rPr>
          <w:rFonts w:ascii="Times New Roman" w:hAnsi="Times New Roman"/>
          <w:sz w:val="24"/>
        </w:rPr>
        <w:t xml:space="preserve"> </w:t>
      </w:r>
      <w:r w:rsidRPr="00EF5B36">
        <w:rPr>
          <w:rFonts w:ascii="Times New Roman" w:hAnsi="Times New Roman"/>
          <w:i/>
          <w:sz w:val="24"/>
        </w:rPr>
        <w:t>Osazuwa v. Canada (Citizenship and Immigration</w:t>
      </w:r>
      <w:r w:rsidRPr="00EF5B36">
        <w:rPr>
          <w:rFonts w:ascii="Times New Roman" w:hAnsi="Times New Roman"/>
          <w:sz w:val="24"/>
        </w:rPr>
        <w:t xml:space="preserve">), 2016 FC 155. </w:t>
      </w:r>
    </w:p>
    <w:p w14:paraId="49CE5FD6" w14:textId="77777777" w:rsidR="0002718E" w:rsidRPr="00EF5B36" w:rsidRDefault="0002718E" w:rsidP="003E4B51">
      <w:pPr>
        <w:pStyle w:val="ListParagraph"/>
        <w:spacing w:before="360" w:after="240" w:line="360" w:lineRule="auto"/>
        <w:ind w:left="0"/>
        <w:rPr>
          <w:rFonts w:ascii="Times New Roman" w:hAnsi="Times New Roman"/>
          <w:b/>
          <w:sz w:val="24"/>
          <w:szCs w:val="24"/>
        </w:rPr>
      </w:pPr>
      <w:r w:rsidRPr="00EF5B36">
        <w:rPr>
          <w:rFonts w:ascii="Times New Roman" w:hAnsi="Times New Roman"/>
          <w:b/>
          <w:sz w:val="24"/>
        </w:rPr>
        <w:t>ANALYSIS</w:t>
      </w:r>
    </w:p>
    <w:p w14:paraId="0D3F80DE" w14:textId="77777777" w:rsidR="0002718E" w:rsidRPr="00EF5B36" w:rsidRDefault="0002718E" w:rsidP="003E4B51">
      <w:pPr>
        <w:numPr>
          <w:ilvl w:val="0"/>
          <w:numId w:val="1"/>
        </w:numPr>
        <w:tabs>
          <w:tab w:val="clear" w:pos="576"/>
          <w:tab w:val="clear" w:pos="720"/>
          <w:tab w:val="clear" w:pos="1008"/>
          <w:tab w:val="clear" w:pos="1440"/>
          <w:tab w:val="clear" w:pos="1872"/>
          <w:tab w:val="clear" w:pos="2304"/>
          <w:tab w:val="clear" w:pos="2736"/>
          <w:tab w:val="num" w:pos="0"/>
          <w:tab w:val="left" w:pos="709"/>
        </w:tabs>
        <w:spacing w:before="240" w:after="240" w:line="360" w:lineRule="auto"/>
        <w:ind w:left="0" w:firstLine="0"/>
        <w:jc w:val="left"/>
        <w:rPr>
          <w:rFonts w:eastAsiaTheme="minorHAnsi" w:cs="Times New Roman"/>
          <w:spacing w:val="0"/>
          <w:szCs w:val="24"/>
        </w:rPr>
      </w:pPr>
      <w:r w:rsidRPr="00EF5B36">
        <w:t>The RAD conducted an independent assessment of the evidence, including listening to the recording of the hearing. The RAD applied the standard of correctness.</w:t>
      </w:r>
      <w:r w:rsidRPr="00EF5B36">
        <w:rPr>
          <w:rFonts w:eastAsiaTheme="minorHAnsi" w:cs="Times New Roman"/>
          <w:spacing w:val="0"/>
          <w:szCs w:val="24"/>
          <w:vertAlign w:val="superscript"/>
          <w:lang w:eastAsia="en-US"/>
        </w:rPr>
        <w:endnoteReference w:id="4"/>
      </w:r>
      <w:r w:rsidRPr="00EF5B36">
        <w:t xml:space="preserve"> </w:t>
      </w:r>
    </w:p>
    <w:p w14:paraId="583F7C3E" w14:textId="77777777" w:rsidR="0002718E" w:rsidRPr="00EF5B36" w:rsidRDefault="0002718E" w:rsidP="003E4B51">
      <w:pPr>
        <w:tabs>
          <w:tab w:val="clear" w:pos="576"/>
          <w:tab w:val="clear" w:pos="1008"/>
          <w:tab w:val="clear" w:pos="1440"/>
          <w:tab w:val="clear" w:pos="1872"/>
          <w:tab w:val="clear" w:pos="2304"/>
          <w:tab w:val="clear" w:pos="2736"/>
        </w:tabs>
        <w:spacing w:before="240" w:after="240" w:line="360" w:lineRule="auto"/>
        <w:jc w:val="left"/>
        <w:rPr>
          <w:rFonts w:eastAsiaTheme="minorHAnsi" w:cs="Times New Roman"/>
          <w:b/>
          <w:szCs w:val="24"/>
        </w:rPr>
      </w:pPr>
      <w:r w:rsidRPr="00EF5B36">
        <w:rPr>
          <w:b/>
        </w:rPr>
        <w:t>Applicability of exclusion clause 1E</w:t>
      </w:r>
    </w:p>
    <w:p w14:paraId="168E4E30" w14:textId="75ABA235"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cs="Times New Roman"/>
          <w:szCs w:val="24"/>
        </w:rPr>
      </w:pPr>
      <w:r w:rsidRPr="00EF5B36">
        <w:t>In response to the notice of a new issue from the RAD, the appellants submit that the RAD is not a</w:t>
      </w:r>
      <w:r w:rsidR="004368A7" w:rsidRPr="00EF5B36">
        <w:t xml:space="preserve"> </w:t>
      </w:r>
      <w:r w:rsidRPr="00EF5B36">
        <w:rPr>
          <w:i/>
          <w:iCs/>
        </w:rPr>
        <w:t>de novo</w:t>
      </w:r>
      <w:r w:rsidRPr="00EF5B36">
        <w:t xml:space="preserve"> </w:t>
      </w:r>
      <w:r w:rsidR="003A4F3D" w:rsidRPr="00EF5B36">
        <w:t xml:space="preserve">tribunal </w:t>
      </w:r>
      <w:r w:rsidRPr="00EF5B36">
        <w:t xml:space="preserve">and suggest that since the RPD concluded that </w:t>
      </w:r>
      <w:r w:rsidR="00F24774">
        <w:t>the female appellant</w:t>
      </w:r>
      <w:r w:rsidRPr="00EF5B36">
        <w:t xml:space="preserve"> is not a person described in Article 1E of the Convention, there is no need for the RAD to revisit this issue.</w:t>
      </w:r>
    </w:p>
    <w:p w14:paraId="6C5A3DFC" w14:textId="3E9EC4AF"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cs="Times New Roman"/>
          <w:szCs w:val="24"/>
        </w:rPr>
      </w:pPr>
      <w:r w:rsidRPr="00EF5B36">
        <w:t>Although the RAD is not a</w:t>
      </w:r>
      <w:r w:rsidR="004368A7" w:rsidRPr="00EF5B36">
        <w:t xml:space="preserve"> </w:t>
      </w:r>
      <w:r w:rsidRPr="00EF5B36">
        <w:rPr>
          <w:i/>
          <w:iCs/>
        </w:rPr>
        <w:t>de novo</w:t>
      </w:r>
      <w:r w:rsidR="003A4F3D">
        <w:rPr>
          <w:i/>
          <w:iCs/>
        </w:rPr>
        <w:t xml:space="preserve"> </w:t>
      </w:r>
      <w:r w:rsidR="003A4F3D" w:rsidRPr="00EF5B36">
        <w:t>tribunal</w:t>
      </w:r>
      <w:r w:rsidRPr="00EF5B36">
        <w:t>, it can raise new issues.</w:t>
      </w:r>
      <w:r w:rsidRPr="00EF5B36">
        <w:rPr>
          <w:rStyle w:val="EndnoteReference"/>
          <w:rFonts w:cs="Times New Roman"/>
          <w:szCs w:val="24"/>
        </w:rPr>
        <w:endnoteReference w:id="5"/>
      </w:r>
      <w:r w:rsidRPr="00EF5B36">
        <w:t xml:space="preserve"> However, the RAD must inform the parties and give them the opportunity to provide submissions in accordance with the rules of natural justice. That was done in this case. Furthermore, the Federal Court has ruled that, before granting refugee protection, the RAD is obligated to consider whether the exclusion clause applies.</w:t>
      </w:r>
      <w:r w:rsidRPr="00EF5B36">
        <w:rPr>
          <w:rStyle w:val="EndnoteReference"/>
          <w:rFonts w:cs="Times New Roman"/>
          <w:szCs w:val="24"/>
        </w:rPr>
        <w:endnoteReference w:id="6"/>
      </w:r>
    </w:p>
    <w:p w14:paraId="5D08CF60" w14:textId="4AA25E08" w:rsidR="00CA7DAD"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After taking into account the appellants’ submissions and weighing the factors set out in </w:t>
      </w:r>
      <w:r w:rsidRPr="00EF5B36">
        <w:rPr>
          <w:i/>
        </w:rPr>
        <w:t>Zeng</w:t>
      </w:r>
      <w:r w:rsidRPr="00EF5B36">
        <w:t xml:space="preserve"> (</w:t>
      </w:r>
      <w:r w:rsidRPr="00EF5B36">
        <w:rPr>
          <w:i/>
        </w:rPr>
        <w:t>Canada (Citizenship and Immigration) v. Zeng</w:t>
      </w:r>
      <w:r w:rsidRPr="00EF5B36">
        <w:t xml:space="preserve">, 2010 FCA 118) [Zeng], the RAD concludes that the RPD erred in its analysis of the applicability of exclusion clause 1E. Although the RAD arrived at the conclusion that the RPD erred in its analysis of </w:t>
      </w:r>
      <w:r w:rsidR="00F24774">
        <w:t>the female appellant</w:t>
      </w:r>
      <w:r w:rsidRPr="00EF5B36">
        <w:t xml:space="preserve">’s credibility and </w:t>
      </w:r>
      <w:r w:rsidRPr="00EF5B36">
        <w:lastRenderedPageBreak/>
        <w:t xml:space="preserve">in its analysis of prospective risk in Haiti, the RAD concludes that </w:t>
      </w:r>
      <w:r w:rsidR="00F24774">
        <w:t>the female appellant</w:t>
      </w:r>
      <w:r w:rsidRPr="00EF5B36">
        <w:t xml:space="preserve"> is a person referred to in Article 1E of the Convention.</w:t>
      </w:r>
    </w:p>
    <w:p w14:paraId="36088632" w14:textId="77777777" w:rsidR="00CA7DAD" w:rsidRPr="00EF5B36" w:rsidRDefault="00CA7DAD">
      <w:pPr>
        <w:tabs>
          <w:tab w:val="clear" w:pos="576"/>
          <w:tab w:val="clear" w:pos="1008"/>
          <w:tab w:val="clear" w:pos="1440"/>
          <w:tab w:val="clear" w:pos="1872"/>
          <w:tab w:val="clear" w:pos="2304"/>
          <w:tab w:val="clear" w:pos="2736"/>
        </w:tabs>
        <w:spacing w:before="0" w:after="160" w:line="259" w:lineRule="auto"/>
        <w:jc w:val="left"/>
        <w:rPr>
          <w:rFonts w:eastAsiaTheme="minorHAnsi" w:cs="Times New Roman"/>
          <w:spacing w:val="0"/>
          <w:szCs w:val="24"/>
        </w:rPr>
      </w:pPr>
      <w:r w:rsidRPr="00EF5B36">
        <w:br w:type="page"/>
      </w:r>
    </w:p>
    <w:p w14:paraId="23FB75C2" w14:textId="1F0A8547" w:rsidR="0002718E" w:rsidRPr="00EF5B36" w:rsidRDefault="007D2430" w:rsidP="007D2430">
      <w:pPr>
        <w:tabs>
          <w:tab w:val="clear" w:pos="576"/>
          <w:tab w:val="left" w:pos="720"/>
        </w:tabs>
        <w:spacing w:before="240" w:after="240" w:line="360" w:lineRule="auto"/>
        <w:jc w:val="left"/>
        <w:rPr>
          <w:i/>
          <w:szCs w:val="24"/>
        </w:rPr>
      </w:pPr>
      <w:bookmarkStart w:id="0" w:name="_Hlk26787677"/>
      <w:r w:rsidRPr="00EF5B36">
        <w:rPr>
          <w:i/>
        </w:rPr>
        <w:lastRenderedPageBreak/>
        <w:tab/>
      </w:r>
      <w:r w:rsidR="00F24774">
        <w:rPr>
          <w:i/>
        </w:rPr>
        <w:t>The female appellant</w:t>
      </w:r>
      <w:r w:rsidRPr="00EF5B36">
        <w:rPr>
          <w:i/>
        </w:rPr>
        <w:t xml:space="preserve"> could have obtained permanent residence in Brazil at the time of the hearing </w:t>
      </w:r>
    </w:p>
    <w:p w14:paraId="00E15F03" w14:textId="183B6E18"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The RAD concludes that the RPD erred in concluding that it had insufficient evidence to determine whether </w:t>
      </w:r>
      <w:r w:rsidR="00F24774">
        <w:t>the female appellant</w:t>
      </w:r>
      <w:r w:rsidRPr="00EF5B36">
        <w:t xml:space="preserve"> could have obtained permanent resident status based on her child being a Brazilian citizen. The RAD is of the opinion that, at the time of the hearing before the RPD, </w:t>
      </w:r>
      <w:r w:rsidR="00F24774">
        <w:t>the female appellant</w:t>
      </w:r>
      <w:r w:rsidRPr="00EF5B36">
        <w:t xml:space="preserve"> could have obtained permanent resident status in Brazil. </w:t>
      </w:r>
    </w:p>
    <w:p w14:paraId="6106946F" w14:textId="2165AD4A"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The appellants argue that there is </w:t>
      </w:r>
      <w:r w:rsidR="00D81C4A">
        <w:t>in</w:t>
      </w:r>
      <w:r w:rsidRPr="00EF5B36">
        <w:t xml:space="preserve">sufficient evidence on the record to conclude that </w:t>
      </w:r>
      <w:r w:rsidR="00F24774">
        <w:t>the female appellant</w:t>
      </w:r>
      <w:r w:rsidRPr="00EF5B36">
        <w:t xml:space="preserve"> could obtain permanent resident status based on her child being a Brazilian citizen. They contend that the documentary evidence</w:t>
      </w:r>
      <w:r w:rsidRPr="00EF5B36">
        <w:rPr>
          <w:rStyle w:val="EndnoteReference"/>
          <w:rFonts w:eastAsiaTheme="minorHAnsi" w:cs="Times New Roman"/>
          <w:spacing w:val="0"/>
          <w:szCs w:val="24"/>
          <w:lang w:eastAsia="en-US"/>
        </w:rPr>
        <w:endnoteReference w:id="7"/>
      </w:r>
      <w:r w:rsidRPr="00EF5B36">
        <w:t xml:space="preserve"> is silent as to the evaluation criteria for granting permanent residence to the parents of Brazilian children. They further submit that Brazilian law</w:t>
      </w:r>
      <w:r w:rsidRPr="00EF5B36">
        <w:rPr>
          <w:rStyle w:val="EndnoteReference"/>
          <w:rFonts w:eastAsiaTheme="minorHAnsi" w:cs="Times New Roman"/>
          <w:spacing w:val="0"/>
          <w:szCs w:val="24"/>
          <w:lang w:eastAsia="en-US"/>
        </w:rPr>
        <w:endnoteReference w:id="8"/>
      </w:r>
      <w:r w:rsidRPr="00EF5B36">
        <w:t xml:space="preserve"> does not stipulate whether or not the Brazilian child must be physically present in Brazil for the parent to be able to apply for permanent residence status. They also argue that, according to the documentary evidence,</w:t>
      </w:r>
      <w:r w:rsidRPr="00EF5B36">
        <w:rPr>
          <w:rStyle w:val="EndnoteReference"/>
          <w:rFonts w:eastAsiaTheme="minorHAnsi" w:cs="Times New Roman"/>
          <w:spacing w:val="0"/>
          <w:szCs w:val="24"/>
          <w:lang w:eastAsia="en-US"/>
        </w:rPr>
        <w:endnoteReference w:id="9"/>
      </w:r>
      <w:r w:rsidRPr="00EF5B36">
        <w:t xml:space="preserve"> the parent who does not reside in Brazil must have valid status in Canada, which is not the case for </w:t>
      </w:r>
      <w:r w:rsidR="00F24774">
        <w:t>the female appellant</w:t>
      </w:r>
      <w:r w:rsidRPr="00EF5B36">
        <w:t xml:space="preserve">. </w:t>
      </w:r>
    </w:p>
    <w:p w14:paraId="547955D1" w14:textId="594E3AD0"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szCs w:val="24"/>
        </w:rPr>
      </w:pPr>
      <w:r w:rsidRPr="00EF5B36">
        <w:t>The RAD took into consideration the documentary evidence that was before the RPD</w:t>
      </w:r>
      <w:r w:rsidRPr="00EF5B36">
        <w:rPr>
          <w:szCs w:val="24"/>
          <w:vertAlign w:val="superscript"/>
        </w:rPr>
        <w:endnoteReference w:id="10"/>
      </w:r>
      <w:r w:rsidRPr="00EF5B36">
        <w:t xml:space="preserve"> at the time of the hearing. This evidence shows that Brazil has a program that enables the parents of children born in Brazil to obtain permanent residency. The RAD </w:t>
      </w:r>
      <w:r w:rsidR="001B61F9">
        <w:t>notes</w:t>
      </w:r>
      <w:r w:rsidRPr="00EF5B36">
        <w:t xml:space="preserve"> that, as the RPD and the appellants stated, the documentary evidence shows that individuals who wish to obtain a family reunification visa must submit their application to the Federal Police office in the area in which they reside.</w:t>
      </w:r>
      <w:r w:rsidRPr="00EF5B36">
        <w:rPr>
          <w:szCs w:val="24"/>
          <w:vertAlign w:val="superscript"/>
        </w:rPr>
        <w:endnoteReference w:id="11"/>
      </w:r>
      <w:r w:rsidRPr="00EF5B36">
        <w:t xml:space="preserve"> However, nothing in the evidence</w:t>
      </w:r>
      <w:r w:rsidRPr="00EF5B36">
        <w:rPr>
          <w:szCs w:val="24"/>
          <w:vertAlign w:val="superscript"/>
        </w:rPr>
        <w:endnoteReference w:id="12"/>
      </w:r>
      <w:r w:rsidRPr="00EF5B36">
        <w:t xml:space="preserve"> states that these procedures are exhaustive. In light of the foregoing, the RAD is of the opinion that the onus is on </w:t>
      </w:r>
      <w:r w:rsidR="00F24774">
        <w:t>the female appellant</w:t>
      </w:r>
      <w:r w:rsidRPr="00EF5B36">
        <w:t xml:space="preserve"> to demonstrate that she could not obtain permanent residence in Brazil.</w:t>
      </w:r>
    </w:p>
    <w:p w14:paraId="4DDE2305" w14:textId="71E48312"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szCs w:val="24"/>
        </w:rPr>
      </w:pPr>
      <w:r w:rsidRPr="00EF5B36">
        <w:t>Furthermore, contrary to the appellants’ arguments, since the hearing before the RPD, the Response to Information Request (RIR) found at Tab 14.14</w:t>
      </w:r>
      <w:r w:rsidRPr="00EF5B36">
        <w:rPr>
          <w:rStyle w:val="EndnoteReference"/>
          <w:szCs w:val="24"/>
        </w:rPr>
        <w:endnoteReference w:id="13"/>
      </w:r>
      <w:r w:rsidRPr="00EF5B36">
        <w:t xml:space="preserve"> of the most recent National Documentation Package on Haiti clarifies the issue of the right to Brazilian citizenship that was in effect at the time of the RPD hearing. It is clear from the information in that RIR</w:t>
      </w:r>
      <w:r w:rsidRPr="00EF5B36">
        <w:rPr>
          <w:rStyle w:val="EndnoteReference"/>
          <w:szCs w:val="24"/>
        </w:rPr>
        <w:endnoteReference w:id="14"/>
      </w:r>
      <w:r w:rsidRPr="00EF5B36">
        <w:t xml:space="preserve"> that </w:t>
      </w:r>
      <w:r w:rsidR="00F24774">
        <w:t>the female appellant</w:t>
      </w:r>
      <w:r w:rsidRPr="00EF5B36">
        <w:t xml:space="preserve"> could obtain permanent residence in Brazil because she has a Brazilian child. The RAD finds that, under Brazilian law, family reunification visas are granted to immigrants who have a child of Brazilian nationality. The visa application can be submitted in person at a Brazilian </w:t>
      </w:r>
      <w:r w:rsidRPr="00EF5B36">
        <w:lastRenderedPageBreak/>
        <w:t>consulate. A family reunification visa makes it possible to reside permanently in Brazil. Furthermore, Brazilian law allows parents of children with Brazilian citizenship to become naturalized citizens after living in Brazil for one year. Nothing in the documentary evidence</w:t>
      </w:r>
      <w:r w:rsidRPr="00EF5B36">
        <w:rPr>
          <w:rStyle w:val="EndnoteReference"/>
          <w:szCs w:val="24"/>
        </w:rPr>
        <w:endnoteReference w:id="15"/>
      </w:r>
      <w:r w:rsidRPr="00EF5B36">
        <w:t xml:space="preserve"> indicates that the Brazilian child must be in Brazil when the visa application is submitted to the consulate. This requirement is not mentioned in Brazilian law or on the website of the Consulate General of Brazil in Montréal.</w:t>
      </w:r>
      <w:r w:rsidRPr="00EF5B36">
        <w:rPr>
          <w:rStyle w:val="EndnoteReference"/>
          <w:szCs w:val="24"/>
        </w:rPr>
        <w:endnoteReference w:id="16"/>
      </w:r>
      <w:r w:rsidRPr="00EF5B36">
        <w:t xml:space="preserve"> Based on the information in the RIR,</w:t>
      </w:r>
      <w:r w:rsidRPr="00EF5B36">
        <w:rPr>
          <w:rStyle w:val="EndnoteReference"/>
          <w:szCs w:val="24"/>
        </w:rPr>
        <w:endnoteReference w:id="17"/>
      </w:r>
      <w:r w:rsidRPr="00EF5B36">
        <w:t xml:space="preserve"> the RAD concludes that </w:t>
      </w:r>
      <w:r w:rsidR="00F24774">
        <w:t>the female appellant</w:t>
      </w:r>
      <w:r w:rsidRPr="00EF5B36">
        <w:t xml:space="preserve"> could obtain a family reunification visa through mere formalities. The RAD is of the opinion that the fact that the RIR mentions that non</w:t>
      </w:r>
      <w:r w:rsidR="00F21F52" w:rsidRPr="00EF5B36">
        <w:noBreakHyphen/>
      </w:r>
      <w:r w:rsidRPr="00EF5B36">
        <w:t xml:space="preserve">Canadians must provide proof of legal status in Canada does not lead to the conclusion that refugee protection claimants in Canada would be denied such a visa. The onus is on </w:t>
      </w:r>
      <w:r w:rsidR="00F24774">
        <w:t>the female appellant</w:t>
      </w:r>
      <w:r w:rsidRPr="00EF5B36">
        <w:t xml:space="preserve"> to demonstrate that she cannot obtain this type of visa, for example, by providing a response from the consulate indicating that she cannot submit an application. </w:t>
      </w:r>
      <w:r w:rsidR="00F24774">
        <w:t>The female appellant</w:t>
      </w:r>
      <w:r w:rsidRPr="00EF5B36">
        <w:t xml:space="preserve"> was questioned at the hearing about the possibility of returning to Brazil given that she has a Brazilian child.</w:t>
      </w:r>
      <w:r w:rsidRPr="00EF5B36">
        <w:rPr>
          <w:rStyle w:val="EndnoteReference"/>
          <w:szCs w:val="24"/>
        </w:rPr>
        <w:endnoteReference w:id="18"/>
      </w:r>
      <w:r w:rsidRPr="00EF5B36">
        <w:t xml:space="preserve"> </w:t>
      </w:r>
      <w:r w:rsidR="00F24774">
        <w:t>The female appellant</w:t>
      </w:r>
      <w:r w:rsidRPr="00EF5B36">
        <w:t xml:space="preserve"> responded that she was unaware that </w:t>
      </w:r>
      <w:r w:rsidR="00FC4908">
        <w:t>this</w:t>
      </w:r>
      <w:r w:rsidRPr="00EF5B36">
        <w:t xml:space="preserve"> option was available to her and that she did not want to return to Brazil.</w:t>
      </w:r>
      <w:r w:rsidRPr="00EF5B36">
        <w:rPr>
          <w:rStyle w:val="EndnoteReference"/>
          <w:szCs w:val="24"/>
        </w:rPr>
        <w:endnoteReference w:id="19"/>
      </w:r>
      <w:r w:rsidRPr="00EF5B36">
        <w:t xml:space="preserve"> </w:t>
      </w:r>
      <w:r w:rsidR="00F24774">
        <w:t>The female appellant</w:t>
      </w:r>
      <w:r w:rsidRPr="00EF5B36">
        <w:t xml:space="preserve"> provided no evidence showing that Brazilian authorities would refuse to issue her a family reunification visa because she is a refugee protection claimant in Canada. It was open to </w:t>
      </w:r>
      <w:r w:rsidR="00F24774">
        <w:t>the female appellant</w:t>
      </w:r>
      <w:r w:rsidRPr="00EF5B36">
        <w:t xml:space="preserve"> to obtain information from the Brazilian consulate regarding the procedure for obtaining permanent residence. There is no evidence before the RAD to show that any such steps</w:t>
      </w:r>
      <w:r w:rsidR="005F13BF">
        <w:t xml:space="preserve"> were taken</w:t>
      </w:r>
      <w:r w:rsidRPr="00EF5B36">
        <w:t xml:space="preserve">. </w:t>
      </w:r>
    </w:p>
    <w:p w14:paraId="5DF24677" w14:textId="208F1523"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410062">
        <w:t>In light of</w:t>
      </w:r>
      <w:r w:rsidRPr="00EF5B36">
        <w:t xml:space="preserve"> the foregoing, the RAD concludes that, at the time of the hearing, </w:t>
      </w:r>
      <w:r w:rsidR="00F24774">
        <w:t>the female appellant</w:t>
      </w:r>
      <w:r w:rsidRPr="00EF5B36">
        <w:t xml:space="preserve"> could have obtained permanent resident status in Brazil, but she did not do so. </w:t>
      </w:r>
    </w:p>
    <w:p w14:paraId="3286204B" w14:textId="77777777"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It is important, however, to determine whether this status is substantially similar to that of Brazilian nationals.</w:t>
      </w:r>
    </w:p>
    <w:p w14:paraId="5E91A7A6" w14:textId="77777777" w:rsidR="0002718E" w:rsidRPr="00EF5B36" w:rsidRDefault="007D2430" w:rsidP="007D2430">
      <w:pPr>
        <w:tabs>
          <w:tab w:val="clear" w:pos="576"/>
          <w:tab w:val="left" w:pos="720"/>
        </w:tabs>
        <w:spacing w:before="240" w:after="240"/>
        <w:jc w:val="left"/>
        <w:rPr>
          <w:rFonts w:eastAsiaTheme="minorHAnsi" w:cs="Times New Roman"/>
          <w:i/>
          <w:spacing w:val="0"/>
          <w:szCs w:val="24"/>
        </w:rPr>
      </w:pPr>
      <w:r w:rsidRPr="00EF5B36">
        <w:rPr>
          <w:i/>
        </w:rPr>
        <w:tab/>
        <w:t>The status of permanent residents in Brazil is substantially similar to that of Brazilian nationals</w:t>
      </w:r>
    </w:p>
    <w:p w14:paraId="14D9734F" w14:textId="1D6EB17F"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The RAD concludes that the rights of permanent residents in Brazil are </w:t>
      </w:r>
      <w:r w:rsidR="00F21F52" w:rsidRPr="00EF5B36">
        <w:t>substantially</w:t>
      </w:r>
      <w:r w:rsidRPr="00EF5B36">
        <w:t xml:space="preserve"> the same as those of Brazilian nationals. </w:t>
      </w:r>
    </w:p>
    <w:p w14:paraId="752955AB" w14:textId="5F462DC3"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cs="Times New Roman"/>
          <w:i/>
          <w:szCs w:val="24"/>
        </w:rPr>
      </w:pPr>
      <w:r w:rsidRPr="00EF5B36">
        <w:lastRenderedPageBreak/>
        <w:t>In response to the RAD’s notice, the appellants argue that given the treatment of Afro</w:t>
      </w:r>
      <w:r w:rsidR="00F21F52" w:rsidRPr="00EF5B36">
        <w:noBreakHyphen/>
      </w:r>
      <w:r w:rsidRPr="00EF5B36">
        <w:t>Brazilians, Haitians, and women of colour in Brazil, their rights are not substantially similar to those of Brazilian nationals.</w:t>
      </w:r>
    </w:p>
    <w:p w14:paraId="4DC87542" w14:textId="7D4B77B2" w:rsidR="00124CD2" w:rsidRPr="00EF5B36" w:rsidRDefault="0002718E" w:rsidP="003E4B51">
      <w:pPr>
        <w:numPr>
          <w:ilvl w:val="0"/>
          <w:numId w:val="1"/>
        </w:numPr>
        <w:tabs>
          <w:tab w:val="clear" w:pos="576"/>
        </w:tabs>
        <w:spacing w:before="240" w:after="240" w:line="360" w:lineRule="auto"/>
        <w:ind w:left="0" w:firstLine="0"/>
        <w:jc w:val="left"/>
        <w:rPr>
          <w:rFonts w:cs="Times New Roman"/>
          <w:szCs w:val="24"/>
        </w:rPr>
      </w:pPr>
      <w:r w:rsidRPr="00EF5B36">
        <w:t xml:space="preserve">The RAD is of the opinion that the way </w:t>
      </w:r>
      <w:r w:rsidR="00F24774">
        <w:t>the female appellant</w:t>
      </w:r>
      <w:r w:rsidRPr="00EF5B36">
        <w:t xml:space="preserve"> would be treated as a Black Haitian woman if she were to return to Brazil is not relevant in determining whether the rights of permanent residents in Brazil are substantially similar to those of Brazilian nationals. Rather, the issue is whether status in the third country gives an applicant the same rights and obligations as those enjoyed by the nationals of that country, including the right to work without restrictions, the right to study, the right to full access to social services and the right </w:t>
      </w:r>
      <w:r w:rsidR="001945BE">
        <w:t>of return</w:t>
      </w:r>
      <w:r w:rsidRPr="00EF5B36">
        <w:t>.</w:t>
      </w:r>
      <w:r w:rsidR="00E90444" w:rsidRPr="00EF5B36">
        <w:rPr>
          <w:rFonts w:eastAsiaTheme="minorHAnsi" w:cs="Times New Roman"/>
          <w:spacing w:val="0"/>
          <w:szCs w:val="24"/>
          <w:vertAlign w:val="superscript"/>
          <w:lang w:eastAsia="en-US"/>
        </w:rPr>
        <w:endnoteReference w:id="20"/>
      </w:r>
      <w:r w:rsidRPr="00EF5B36">
        <w:t xml:space="preserve"> In th</w:t>
      </w:r>
      <w:r w:rsidR="00A91576">
        <w:t xml:space="preserve">is </w:t>
      </w:r>
      <w:r w:rsidRPr="00EF5B36">
        <w:t xml:space="preserve">case, the issue is therefore whether the rights granted to permanent residents of Brazil by the constitution are substantially the same as those of nationals of that country. That said, the treatment of women of colour and Haitians in Brazil is relevant in the context of analyzing another factor, namely prospective risk. That factor will be analyzed below. </w:t>
      </w:r>
    </w:p>
    <w:p w14:paraId="1E4753CC" w14:textId="77777777"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As to the rights conferred on permanent residents of Brazil,</w:t>
      </w:r>
      <w:r w:rsidRPr="00EF5B36">
        <w:rPr>
          <w:rFonts w:eastAsiaTheme="minorHAnsi" w:cs="Times New Roman"/>
          <w:spacing w:val="0"/>
          <w:szCs w:val="24"/>
          <w:vertAlign w:val="superscript"/>
          <w:lang w:eastAsia="en-US"/>
        </w:rPr>
        <w:endnoteReference w:id="21"/>
      </w:r>
      <w:r w:rsidRPr="00EF5B36">
        <w:t xml:space="preserve">, there are certain restrictions on the rights of foreigners in Brazil, the most significant ones being exclusion from military service, voting, and certain public offices. However, the Brazilian constitution guarantees foreign nationals residing in Brazil the same rights as those of Brazilian citizens in the areas of education, health, employment and social security. Consequently, the RAD finds that the rights of permanent residents of Brazil are substantially the same as those of Brazilian nationals. </w:t>
      </w:r>
    </w:p>
    <w:p w14:paraId="31668563" w14:textId="3B40EC92"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It is also important to determine whether </w:t>
      </w:r>
      <w:r w:rsidR="00F24774">
        <w:t>the female appellant</w:t>
      </w:r>
      <w:r w:rsidRPr="00EF5B36">
        <w:t xml:space="preserve"> could return to Brazil. </w:t>
      </w:r>
    </w:p>
    <w:p w14:paraId="4517FD5B" w14:textId="2888F14C" w:rsidR="0002718E" w:rsidRPr="00EF5B36" w:rsidRDefault="007D2430" w:rsidP="007D2430">
      <w:pPr>
        <w:tabs>
          <w:tab w:val="clear" w:pos="576"/>
          <w:tab w:val="left" w:pos="720"/>
        </w:tabs>
        <w:spacing w:before="240" w:after="240" w:line="360" w:lineRule="auto"/>
        <w:jc w:val="left"/>
        <w:rPr>
          <w:i/>
          <w:szCs w:val="24"/>
        </w:rPr>
      </w:pPr>
      <w:r w:rsidRPr="00EF5B36">
        <w:rPr>
          <w:i/>
        </w:rPr>
        <w:tab/>
      </w:r>
      <w:r w:rsidR="00F24774">
        <w:rPr>
          <w:i/>
        </w:rPr>
        <w:t>The female appellant</w:t>
      </w:r>
      <w:r w:rsidRPr="00EF5B36">
        <w:rPr>
          <w:i/>
        </w:rPr>
        <w:t xml:space="preserve"> has the option of returning to Brazil</w:t>
      </w:r>
    </w:p>
    <w:p w14:paraId="445F7675" w14:textId="463BE8AB"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The RAD concludes that </w:t>
      </w:r>
      <w:r w:rsidR="00F24774">
        <w:t>the female appellant</w:t>
      </w:r>
      <w:r w:rsidRPr="00EF5B36">
        <w:t xml:space="preserve"> could return to Brazil by obtaining permanent resident status through a family reunification visa.</w:t>
      </w:r>
    </w:p>
    <w:p w14:paraId="1D503DA6" w14:textId="7F61DEB6"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szCs w:val="24"/>
        </w:rPr>
      </w:pPr>
      <w:r w:rsidRPr="00EF5B36">
        <w:t xml:space="preserve">The RAD does not agree with the appellants’ arguments that the possibility for </w:t>
      </w:r>
      <w:r w:rsidR="00F24774">
        <w:t>the female appellant</w:t>
      </w:r>
      <w:r w:rsidRPr="00EF5B36">
        <w:t xml:space="preserve"> to return to Brazil is purely theoretical and has no material application to her case. As mentioned previously, the RAD is of the opinion that </w:t>
      </w:r>
      <w:r w:rsidR="00F24774">
        <w:t>the female appellant</w:t>
      </w:r>
      <w:r w:rsidRPr="00EF5B36">
        <w:t xml:space="preserve"> could obtain permanent resident status in Brazil through mere formalities. </w:t>
      </w:r>
    </w:p>
    <w:p w14:paraId="2A59C64C" w14:textId="63AF89E7"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szCs w:val="24"/>
        </w:rPr>
      </w:pPr>
      <w:r w:rsidRPr="00EF5B36">
        <w:lastRenderedPageBreak/>
        <w:t xml:space="preserve">Consequently, the RAD concludes that </w:t>
      </w:r>
      <w:r w:rsidR="00F24774">
        <w:t>the female appellant</w:t>
      </w:r>
      <w:r w:rsidRPr="00EF5B36">
        <w:t xml:space="preserve"> has not demonstrated that she would be unable to obtain a family reunification visa while outside Brazil and thereby obtain permanent resident status. The RAD is of the opinion that </w:t>
      </w:r>
      <w:r w:rsidR="00F24774">
        <w:t>the female appellant</w:t>
      </w:r>
      <w:r w:rsidRPr="00EF5B36">
        <w:t xml:space="preserve"> has failed to discharge her burden of establishing that she would not be able to return to Brazil.</w:t>
      </w:r>
      <w:r w:rsidRPr="00EF5B36">
        <w:rPr>
          <w:szCs w:val="24"/>
          <w:vertAlign w:val="superscript"/>
        </w:rPr>
        <w:endnoteReference w:id="22"/>
      </w:r>
      <w:r w:rsidRPr="00EF5B36">
        <w:t xml:space="preserve"> This factor weighs in favour of exclusion.</w:t>
      </w:r>
    </w:p>
    <w:bookmarkEnd w:id="0"/>
    <w:p w14:paraId="511925E7" w14:textId="1E1A6CD8"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szCs w:val="24"/>
        </w:rPr>
      </w:pPr>
      <w:r w:rsidRPr="00EF5B36">
        <w:t xml:space="preserve">However, it is important to analyze the risk </w:t>
      </w:r>
      <w:r w:rsidR="00F24774">
        <w:t>the female appellant</w:t>
      </w:r>
      <w:r w:rsidRPr="00EF5B36">
        <w:t xml:space="preserve"> would face if she were to return to Brazil.</w:t>
      </w:r>
    </w:p>
    <w:p w14:paraId="4CCFF605" w14:textId="675F82BE" w:rsidR="0002718E" w:rsidRPr="00EF5B36" w:rsidRDefault="00F24774" w:rsidP="00467848">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t>The female appellant</w:t>
      </w:r>
      <w:r w:rsidR="0002718E" w:rsidRPr="00EF5B36">
        <w:t xml:space="preserve"> has not established that she would face a serious possibility of persecution nor has she demonstrated, on a balance of probabilities, that she would be personally subjected to a risk within the meaning of subsection 97(1) of the IRPA if she were to return to Brazil.</w:t>
      </w:r>
    </w:p>
    <w:p w14:paraId="611DF542" w14:textId="49A0E5EF"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The RAD concludes that </w:t>
      </w:r>
      <w:r w:rsidR="00F24774">
        <w:t>the female appellant</w:t>
      </w:r>
      <w:r w:rsidRPr="00EF5B36">
        <w:t xml:space="preserve"> has not established that she would face a serious possibility of persecution nor has she demonstrated, on a balance of probabilities, that she would be personally subjected to a risk within the meaning of subsection 97(1) of the IRPA if she were to return to Brazil.</w:t>
      </w:r>
    </w:p>
    <w:p w14:paraId="5556BDD7" w14:textId="73943DEC"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The appellants submit that Afro</w:t>
      </w:r>
      <w:r w:rsidR="00F21F52" w:rsidRPr="00EF5B36">
        <w:noBreakHyphen/>
      </w:r>
      <w:r w:rsidRPr="00EF5B36">
        <w:t>Brazilians and women of colour are subjected to extreme racial discrimination, which rebuts the presumption of state protection.</w:t>
      </w:r>
    </w:p>
    <w:p w14:paraId="7BBDCB47" w14:textId="2ACABF88" w:rsidR="0002718E" w:rsidRPr="00EF5B36" w:rsidRDefault="001F532A"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In accordance with </w:t>
      </w:r>
      <w:r w:rsidRPr="00EF5B36">
        <w:rPr>
          <w:i/>
        </w:rPr>
        <w:t>Majebi</w:t>
      </w:r>
      <w:r w:rsidRPr="00EF5B36">
        <w:t xml:space="preserve"> </w:t>
      </w:r>
      <w:r w:rsidRPr="00EF5B36">
        <w:rPr>
          <w:color w:val="212529"/>
          <w:shd w:val="clear" w:color="auto" w:fill="FFFFFF"/>
        </w:rPr>
        <w:t>(2016 FCA 274</w:t>
      </w:r>
      <w:r w:rsidR="00900F57">
        <w:rPr>
          <w:color w:val="212529"/>
          <w:shd w:val="clear" w:color="auto" w:fill="FFFFFF"/>
        </w:rPr>
        <w:t>)</w:t>
      </w:r>
      <w:r w:rsidRPr="00EF5B36">
        <w:t xml:space="preserve"> at paragraph 9,</w:t>
      </w:r>
      <w:r w:rsidR="00667272" w:rsidRPr="00EF5B36">
        <w:rPr>
          <w:rStyle w:val="EndnoteReference"/>
          <w:rFonts w:eastAsiaTheme="minorHAnsi" w:cs="Times New Roman"/>
          <w:spacing w:val="0"/>
          <w:szCs w:val="24"/>
          <w:lang w:eastAsia="en-US"/>
        </w:rPr>
        <w:endnoteReference w:id="23"/>
      </w:r>
      <w:r w:rsidRPr="00EF5B36">
        <w:t xml:space="preserve"> given the conclusion that the RPD erred in its analysis of the applicability of exclusion clause 1E, the RAD has taken into consideration the most recent documentary evidence</w:t>
      </w:r>
      <w:r w:rsidR="0002718E" w:rsidRPr="00EF5B36">
        <w:rPr>
          <w:rStyle w:val="EndnoteReference"/>
          <w:rFonts w:eastAsiaTheme="minorHAnsi" w:cs="Times New Roman"/>
          <w:spacing w:val="0"/>
          <w:szCs w:val="24"/>
          <w:lang w:eastAsia="en-US"/>
        </w:rPr>
        <w:endnoteReference w:id="24"/>
      </w:r>
      <w:r w:rsidRPr="00EF5B36">
        <w:t xml:space="preserve"> as to the treatment of Haitians in Brazil rather than what was available at the time of the RPD hearing. The RAD also took into consideration </w:t>
      </w:r>
      <w:r w:rsidR="00F24774">
        <w:t>the female appellant</w:t>
      </w:r>
      <w:r w:rsidRPr="00EF5B36">
        <w:t xml:space="preserve">’s testimony. </w:t>
      </w:r>
    </w:p>
    <w:p w14:paraId="3B2C4B65" w14:textId="0FF7A992" w:rsidR="00E77E24" w:rsidRPr="00EF5B36" w:rsidRDefault="00E77E2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The RAD took into consideration the documentary evidence</w:t>
      </w:r>
      <w:r w:rsidRPr="00EF5B36">
        <w:rPr>
          <w:rStyle w:val="EndnoteReference"/>
          <w:szCs w:val="24"/>
        </w:rPr>
        <w:endnoteReference w:id="25"/>
      </w:r>
      <w:r w:rsidRPr="00EF5B36">
        <w:t xml:space="preserve"> to which the appellants refer regarding the treatment of Afro</w:t>
      </w:r>
      <w:r w:rsidR="00F21F52" w:rsidRPr="00EF5B36">
        <w:noBreakHyphen/>
      </w:r>
      <w:r w:rsidR="00255134" w:rsidRPr="00EF5B36">
        <w:t xml:space="preserve">Brazilians in Brazil. </w:t>
      </w:r>
      <w:r w:rsidRPr="00EF5B36">
        <w:t>Although this evidence reveals that Afro</w:t>
      </w:r>
      <w:r w:rsidR="00F21F52" w:rsidRPr="00EF5B36">
        <w:noBreakHyphen/>
      </w:r>
      <w:r w:rsidRPr="00EF5B36">
        <w:t xml:space="preserve">Brazilians do experience widespread social exclusion and suffer much higher levels of violence than whites, the RAD notes that it is also stated that this violence is particularly present in marginalized communities such as </w:t>
      </w:r>
      <w:r w:rsidRPr="00EF5B36">
        <w:rPr>
          <w:i/>
        </w:rPr>
        <w:t>favelas</w:t>
      </w:r>
      <w:r w:rsidRPr="00EF5B36">
        <w:t xml:space="preserve"> and </w:t>
      </w:r>
      <w:r w:rsidRPr="00EF5B36">
        <w:rPr>
          <w:i/>
        </w:rPr>
        <w:t>periferias</w:t>
      </w:r>
      <w:r w:rsidR="00255134" w:rsidRPr="00EF5B36">
        <w:t xml:space="preserve">. </w:t>
      </w:r>
      <w:r w:rsidR="00F24774">
        <w:t>The female appellant</w:t>
      </w:r>
      <w:r w:rsidRPr="00EF5B36">
        <w:t xml:space="preserve"> does not allege that she was living in such communities. </w:t>
      </w:r>
      <w:r w:rsidR="00F24774">
        <w:t>The female appellant</w:t>
      </w:r>
      <w:r w:rsidRPr="00EF5B36">
        <w:t xml:space="preserve"> testified that she lived in </w:t>
      </w:r>
      <w:r w:rsidRPr="00EF5B36">
        <w:lastRenderedPageBreak/>
        <w:t>Belo Horizonte.</w:t>
      </w:r>
      <w:r w:rsidRPr="00EF5B36">
        <w:rPr>
          <w:rStyle w:val="EndnoteReference"/>
          <w:szCs w:val="24"/>
        </w:rPr>
        <w:endnoteReference w:id="26"/>
      </w:r>
      <w:r w:rsidRPr="00EF5B36">
        <w:t xml:space="preserve"> According to her testimony, there were some Brazilians living in her neighbourhood. The only problem that she stated she had with her neighbours is that they did not want her child to shout.</w:t>
      </w:r>
      <w:r w:rsidRPr="00EF5B36">
        <w:rPr>
          <w:rStyle w:val="EndnoteReference"/>
          <w:szCs w:val="24"/>
        </w:rPr>
        <w:endnoteReference w:id="27"/>
      </w:r>
      <w:r w:rsidRPr="00EF5B36">
        <w:t xml:space="preserve"> Furthermore, </w:t>
      </w:r>
      <w:r w:rsidR="00F24774">
        <w:t>the female appellant</w:t>
      </w:r>
      <w:r w:rsidRPr="00EF5B36">
        <w:t xml:space="preserve"> has not demonstrated that she would be living in a marginalized community if she were to return to Brazil. Contrary to the appellants’ submissions, this evidence does not support a finding that all women of colour in Brazil are subjected to generalized or systematic acts of violence, marginalization or social exclusion. In this case, </w:t>
      </w:r>
      <w:r w:rsidR="00F24774">
        <w:t>the female appellant</w:t>
      </w:r>
      <w:r w:rsidRPr="00EF5B36">
        <w:t>, as a Black Haitian woman, was not subjected to such treatment.</w:t>
      </w:r>
    </w:p>
    <w:p w14:paraId="2D552B0C" w14:textId="77777777" w:rsidR="00E77E24" w:rsidRPr="00EF5B36" w:rsidRDefault="00E77E2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The RAD also considered the documentary evidence</w:t>
      </w:r>
      <w:r w:rsidRPr="00EF5B36">
        <w:rPr>
          <w:rStyle w:val="EndnoteReference"/>
          <w:szCs w:val="24"/>
        </w:rPr>
        <w:endnoteReference w:id="28"/>
      </w:r>
      <w:r w:rsidRPr="00EF5B36">
        <w:t xml:space="preserve"> cited by the appellants with regard to racial violence in Brazil. Contrary to the appellants’ arguments, this evidence does not support a conclusion that all people of colour in Brazil are systematically subjected to violence by state agents.</w:t>
      </w:r>
    </w:p>
    <w:p w14:paraId="37613E88" w14:textId="77777777" w:rsidR="00E77E24" w:rsidRPr="00EF5B36" w:rsidRDefault="00E77E2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The documentary evidence</w:t>
      </w:r>
      <w:r w:rsidRPr="00EF5B36">
        <w:rPr>
          <w:rFonts w:eastAsiaTheme="minorHAnsi" w:cs="Times New Roman"/>
          <w:spacing w:val="0"/>
          <w:szCs w:val="24"/>
          <w:vertAlign w:val="superscript"/>
          <w:lang w:eastAsia="en-US"/>
        </w:rPr>
        <w:endnoteReference w:id="29"/>
      </w:r>
      <w:r w:rsidRPr="00EF5B36">
        <w:t xml:space="preserve"> taken as a whole demonstrates the existence of racial discrimination and racism in Brazil. </w:t>
      </w:r>
    </w:p>
    <w:p w14:paraId="28A8B2B6" w14:textId="0B5D2377" w:rsidR="00E77E24" w:rsidRPr="00EF5B36" w:rsidRDefault="00E77E2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With regard to access to employment, according to an RIR on how Haitians are treated,</w:t>
      </w:r>
      <w:r w:rsidRPr="00EF5B36">
        <w:rPr>
          <w:rFonts w:eastAsiaTheme="minorHAnsi" w:cs="Times New Roman"/>
          <w:spacing w:val="0"/>
          <w:szCs w:val="24"/>
          <w:vertAlign w:val="superscript"/>
          <w:lang w:eastAsia="en-US"/>
        </w:rPr>
        <w:endnoteReference w:id="30"/>
      </w:r>
      <w:r w:rsidRPr="00EF5B36">
        <w:t xml:space="preserve"> racial inequality is a serious problem in Brazil and most Brazilians who live in poverty are Black. However, the same document states that Haitians make up the largest immigrant nationality in Brazil’s labour market.</w:t>
      </w:r>
    </w:p>
    <w:p w14:paraId="6ADCB8A5" w14:textId="6C458C50" w:rsidR="00E77E24" w:rsidRPr="00EF5B36" w:rsidRDefault="00E77E2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Another RIR</w:t>
      </w:r>
      <w:r w:rsidRPr="00EF5B36">
        <w:rPr>
          <w:rStyle w:val="EndnoteReference"/>
          <w:rFonts w:eastAsiaTheme="minorHAnsi" w:cs="Times New Roman"/>
          <w:spacing w:val="0"/>
          <w:szCs w:val="24"/>
          <w:lang w:eastAsia="en-US"/>
        </w:rPr>
        <w:endnoteReference w:id="31"/>
      </w:r>
      <w:r w:rsidRPr="00EF5B36">
        <w:t xml:space="preserve"> referred to by the appellants states that cases of slave labour have been identified. However, this information does not support a conclusion that all Haitians are subjected to such treatment. Furthermore, in 2018, sources reported that Haitians were finding work, particularly in the construction and hotel industries. According to the representative of an organization active in welcoming and aiding immigrants to Brazil (</w:t>
      </w:r>
      <w:r w:rsidR="00C0441E">
        <w:t>XXXX</w:t>
      </w:r>
      <w:r w:rsidRPr="00EF5B36">
        <w:t>), not speaking Portuguese is the main barrier Haitians face in accessing employment. That same representative states that in terms of the right to work and safety, Haitians are treated the same way as other members of Brazilian society.</w:t>
      </w:r>
    </w:p>
    <w:p w14:paraId="30A48B8D" w14:textId="42308BCE" w:rsidR="00E77E24" w:rsidRPr="00EF5B36" w:rsidRDefault="00E77E2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As for access to education, although the appellants cite an excerpt from the RIR</w:t>
      </w:r>
      <w:r w:rsidRPr="00EF5B36">
        <w:rPr>
          <w:rStyle w:val="EndnoteReference"/>
          <w:rFonts w:eastAsiaTheme="minorHAnsi" w:cs="Times New Roman"/>
          <w:spacing w:val="0"/>
          <w:szCs w:val="24"/>
          <w:lang w:eastAsia="en-US"/>
        </w:rPr>
        <w:endnoteReference w:id="32"/>
      </w:r>
      <w:r w:rsidRPr="00EF5B36">
        <w:t xml:space="preserve"> that states that some Haitians were told there were no places left for their children, the same source cited in the RIR also stated that access to education is very complicated, that there </w:t>
      </w:r>
      <w:r w:rsidR="00C96A6D">
        <w:t>are</w:t>
      </w:r>
      <w:r w:rsidRPr="00EF5B36">
        <w:t xml:space="preserve"> not enough </w:t>
      </w:r>
      <w:r w:rsidRPr="00EF5B36">
        <w:lastRenderedPageBreak/>
        <w:t xml:space="preserve">spots in schools, and that this is a “national problem.” Furthermore, the RIR does not state whether the children who were refused a spot in school were Brazilian or foreign nationals. </w:t>
      </w:r>
      <w:r w:rsidR="00345AB6">
        <w:t>T</w:t>
      </w:r>
      <w:r w:rsidRPr="00EF5B36">
        <w:t>he minor appellant is Brazilian. The documentary evidence</w:t>
      </w:r>
      <w:r w:rsidR="003D0A89" w:rsidRPr="00EF5B36">
        <w:rPr>
          <w:rStyle w:val="EndnoteReference"/>
          <w:rFonts w:eastAsiaTheme="minorHAnsi" w:cs="Times New Roman"/>
          <w:spacing w:val="0"/>
          <w:szCs w:val="24"/>
          <w:lang w:eastAsia="en-US"/>
        </w:rPr>
        <w:endnoteReference w:id="33"/>
      </w:r>
      <w:r w:rsidRPr="00EF5B36">
        <w:t xml:space="preserve"> as a whole does not support a finding that Brazilian children who are Black are refused access to schooling.</w:t>
      </w:r>
    </w:p>
    <w:p w14:paraId="338A7292" w14:textId="3A46911D" w:rsidR="00E77E24" w:rsidRPr="00EF5B36" w:rsidRDefault="00E77E2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As for the treatment of Haitians by society, sources cited in the RIR</w:t>
      </w:r>
      <w:r w:rsidRPr="00EF5B36">
        <w:rPr>
          <w:rStyle w:val="EndnoteReference"/>
          <w:rFonts w:eastAsiaTheme="minorHAnsi" w:cs="Times New Roman"/>
          <w:spacing w:val="0"/>
          <w:szCs w:val="24"/>
          <w:lang w:eastAsia="en-US"/>
        </w:rPr>
        <w:endnoteReference w:id="34"/>
      </w:r>
      <w:r w:rsidRPr="00EF5B36">
        <w:t xml:space="preserve"> state that Haitians are not socially accepted and that they are affected by the racist protests. There is mention that a violent incident occurred in August 2015 against Haitian nationals but that the evidence is unclear as to whether it was an incident of racism or a settling of scores related to drug trafficking. A United Nations report</w:t>
      </w:r>
      <w:r w:rsidRPr="00EF5B36">
        <w:rPr>
          <w:rFonts w:eastAsiaTheme="minorHAnsi" w:cs="Times New Roman"/>
          <w:spacing w:val="0"/>
          <w:szCs w:val="24"/>
          <w:vertAlign w:val="superscript"/>
          <w:lang w:eastAsia="en-US"/>
        </w:rPr>
        <w:endnoteReference w:id="35"/>
      </w:r>
      <w:r w:rsidRPr="00EF5B36">
        <w:t xml:space="preserve"> from 2016 states that migrant workers, including Haitians, have been exploited and that some Haitians have been victims of violent attacks, apparently due to their race and nationality. The RAD notes that the violent incidents recounted by the documentary evidence seem to be isolated incidents that took place about three years ago.  </w:t>
      </w:r>
    </w:p>
    <w:p w14:paraId="615A166A" w14:textId="239F1FB7" w:rsidR="0002718E" w:rsidRPr="00EF5B36" w:rsidRDefault="00F24774"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t>The female appellant</w:t>
      </w:r>
      <w:r w:rsidR="0002718E" w:rsidRPr="00EF5B36">
        <w:t xml:space="preserve"> testified that her fear of returning to Brazil stems from what she has seen on television, namely, that thieves are breaking into homes, kidnapping children and killing the parents.</w:t>
      </w:r>
      <w:r w:rsidR="0002718E" w:rsidRPr="00EF5B36">
        <w:rPr>
          <w:rStyle w:val="EndnoteReference"/>
          <w:rFonts w:eastAsiaTheme="minorHAnsi" w:cs="Times New Roman"/>
          <w:spacing w:val="0"/>
          <w:szCs w:val="24"/>
          <w:lang w:eastAsia="en-US"/>
        </w:rPr>
        <w:endnoteReference w:id="36"/>
      </w:r>
      <w:r w:rsidR="0002718E" w:rsidRPr="00EF5B36">
        <w:t xml:space="preserve"> However, </w:t>
      </w:r>
      <w:r>
        <w:t>the female appellant</w:t>
      </w:r>
      <w:r w:rsidR="0002718E" w:rsidRPr="00EF5B36">
        <w:t xml:space="preserve"> did not demonstrate that these thieves are targeting people of colour in particular. In light of the objective documentary evidence regarding crime in Brazil,</w:t>
      </w:r>
      <w:r w:rsidR="0002718E" w:rsidRPr="00EF5B36">
        <w:rPr>
          <w:rStyle w:val="EndnoteReference"/>
          <w:rFonts w:eastAsiaTheme="minorHAnsi" w:cs="Times New Roman"/>
          <w:spacing w:val="0"/>
          <w:szCs w:val="24"/>
          <w:lang w:eastAsia="en-US"/>
        </w:rPr>
        <w:endnoteReference w:id="37"/>
      </w:r>
      <w:r w:rsidR="0002718E" w:rsidRPr="00EF5B36">
        <w:t xml:space="preserve"> the RAD concludes that individuals in Brazil face a general risk of being targeted by thieves. </w:t>
      </w:r>
    </w:p>
    <w:p w14:paraId="581AD65E" w14:textId="731DEC02" w:rsidR="0002718E" w:rsidRPr="00EF5B36" w:rsidRDefault="0002718E"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spacing w:val="0"/>
          <w:szCs w:val="24"/>
        </w:rPr>
      </w:pPr>
      <w:r w:rsidRPr="00EF5B36">
        <w:t xml:space="preserve">With regard to </w:t>
      </w:r>
      <w:r w:rsidR="00F24774">
        <w:t>the female appellant</w:t>
      </w:r>
      <w:r w:rsidRPr="00EF5B36">
        <w:t xml:space="preserve">’s experiences in Brazil, the RAD accepts that she was the victim of discrimination. At the hearing, </w:t>
      </w:r>
      <w:r w:rsidR="00F24774">
        <w:t>the female appellant</w:t>
      </w:r>
      <w:r w:rsidRPr="00EF5B36">
        <w:t xml:space="preserve"> stated that she could not return to Brazil because </w:t>
      </w:r>
      <w:r w:rsidR="00D80578">
        <w:t>she is Black</w:t>
      </w:r>
      <w:r w:rsidRPr="00EF5B36">
        <w:t xml:space="preserve">. </w:t>
      </w:r>
      <w:r w:rsidR="00F24774">
        <w:t>The female appellant</w:t>
      </w:r>
      <w:r w:rsidRPr="00EF5B36">
        <w:t xml:space="preserve"> testified as to her difficulties finding a daycare for her son.</w:t>
      </w:r>
      <w:r w:rsidR="007E165C" w:rsidRPr="00EF5B36">
        <w:rPr>
          <w:rStyle w:val="EndnoteReference"/>
          <w:rFonts w:eastAsiaTheme="minorHAnsi" w:cs="Times New Roman"/>
          <w:spacing w:val="0"/>
          <w:szCs w:val="24"/>
          <w:lang w:eastAsia="en-US"/>
        </w:rPr>
        <w:endnoteReference w:id="38"/>
      </w:r>
      <w:r w:rsidRPr="00EF5B36">
        <w:t xml:space="preserve"> In the opinion of the RAD, her testimony on this aspect was contradictory. On the one hand, </w:t>
      </w:r>
      <w:r w:rsidR="00CB526B">
        <w:t>the male appellant</w:t>
      </w:r>
      <w:r w:rsidRPr="00EF5B36">
        <w:t xml:space="preserve"> testified that sometimes when she went to pick up her son at daycare, they did not want to take him and that she and her son </w:t>
      </w:r>
      <w:r w:rsidR="005B4CC4">
        <w:t>got looks</w:t>
      </w:r>
      <w:r w:rsidRPr="00EF5B36">
        <w:t xml:space="preserve"> because they are Black.</w:t>
      </w:r>
      <w:r w:rsidRPr="00EF5B36">
        <w:rPr>
          <w:rStyle w:val="EndnoteReference"/>
          <w:rFonts w:eastAsiaTheme="minorHAnsi" w:cs="Times New Roman"/>
          <w:spacing w:val="0"/>
          <w:szCs w:val="24"/>
          <w:lang w:eastAsia="en-US"/>
        </w:rPr>
        <w:endnoteReference w:id="39"/>
      </w:r>
      <w:r w:rsidRPr="00EF5B36">
        <w:t xml:space="preserve"> On the other hand, </w:t>
      </w:r>
      <w:r w:rsidR="00F24774">
        <w:t>the female appellant</w:t>
      </w:r>
      <w:r w:rsidRPr="00EF5B36">
        <w:t xml:space="preserve"> later adjusted her testimony and stated that, when she looked for a daycare for her son, no one wanted to take him, which suggests that she did not find a daycare for her son. </w:t>
      </w:r>
      <w:r w:rsidR="00F24774">
        <w:t>The female appellant</w:t>
      </w:r>
      <w:r w:rsidRPr="00EF5B36">
        <w:t xml:space="preserve"> also explained that, at her workplace in Brazil, all of the cleaning staff were given gloves except for her because she is Black.</w:t>
      </w:r>
      <w:r w:rsidRPr="00EF5B36">
        <w:rPr>
          <w:rStyle w:val="EndnoteReference"/>
          <w:rFonts w:eastAsiaTheme="minorHAnsi" w:cs="Times New Roman"/>
          <w:spacing w:val="0"/>
          <w:szCs w:val="24"/>
          <w:lang w:eastAsia="en-US"/>
        </w:rPr>
        <w:endnoteReference w:id="40"/>
      </w:r>
      <w:r w:rsidRPr="00EF5B36">
        <w:t xml:space="preserve"> </w:t>
      </w:r>
      <w:r w:rsidR="00F24774">
        <w:t>The female appellant</w:t>
      </w:r>
      <w:r w:rsidRPr="00EF5B36">
        <w:t xml:space="preserve"> stated that t</w:t>
      </w:r>
      <w:r w:rsidR="00255134" w:rsidRPr="00EF5B36">
        <w:t xml:space="preserve">his situation was humiliating. </w:t>
      </w:r>
      <w:r w:rsidRPr="00EF5B36">
        <w:t xml:space="preserve">She also stated that Black people cannot take the bus because people spit </w:t>
      </w:r>
      <w:r w:rsidRPr="00EF5B36">
        <w:lastRenderedPageBreak/>
        <w:t>on them and that her husband had been humiliated at work.</w:t>
      </w:r>
      <w:r w:rsidRPr="00EF5B36">
        <w:rPr>
          <w:rStyle w:val="EndnoteReference"/>
          <w:rFonts w:eastAsiaTheme="minorHAnsi" w:cs="Times New Roman"/>
          <w:spacing w:val="0"/>
          <w:szCs w:val="24"/>
          <w:lang w:eastAsia="en-US"/>
        </w:rPr>
        <w:endnoteReference w:id="41"/>
      </w:r>
      <w:r w:rsidR="00255134" w:rsidRPr="00EF5B36">
        <w:t xml:space="preserve"> </w:t>
      </w:r>
      <w:r w:rsidRPr="00EF5B36">
        <w:t>In her BOC Form,</w:t>
      </w:r>
      <w:r w:rsidRPr="00EF5B36">
        <w:rPr>
          <w:rStyle w:val="EndnoteReference"/>
          <w:rFonts w:eastAsiaTheme="minorHAnsi" w:cs="Times New Roman"/>
          <w:spacing w:val="0"/>
          <w:szCs w:val="24"/>
          <w:lang w:eastAsia="en-US"/>
        </w:rPr>
        <w:endnoteReference w:id="42"/>
      </w:r>
      <w:r w:rsidRPr="00EF5B36">
        <w:t xml:space="preserve"> </w:t>
      </w:r>
      <w:r w:rsidR="00F24774">
        <w:t>the female appellant</w:t>
      </w:r>
      <w:r w:rsidRPr="00EF5B36">
        <w:t xml:space="preserve"> states that she left Brazil because of the prevailing insecurity and because of the discrimination and racism toward Haitians. She also state</w:t>
      </w:r>
      <w:r w:rsidR="00C67D62">
        <w:t>s</w:t>
      </w:r>
      <w:r w:rsidRPr="00EF5B36">
        <w:t xml:space="preserve"> that she was able to find work at the beginning of her stay in Brazil, but that she was unable to do so later. However, she </w:t>
      </w:r>
      <w:r w:rsidR="00C67D62">
        <w:t>does</w:t>
      </w:r>
      <w:r w:rsidRPr="00EF5B36">
        <w:t xml:space="preserve"> not state whether this difficulty was because she is a woman of colour. The RAD notes that </w:t>
      </w:r>
      <w:r w:rsidR="00F24774">
        <w:t>the female appellant</w:t>
      </w:r>
      <w:r w:rsidRPr="00EF5B36">
        <w:t xml:space="preserve"> states that there was a job shortage in the country, which could explain why she had trouble finding a job. The documentary evidence</w:t>
      </w:r>
      <w:r w:rsidRPr="00EF5B36">
        <w:rPr>
          <w:rFonts w:eastAsiaTheme="minorHAnsi" w:cs="Times New Roman"/>
          <w:spacing w:val="0"/>
          <w:szCs w:val="24"/>
          <w:vertAlign w:val="superscript"/>
          <w:lang w:eastAsia="en-US"/>
        </w:rPr>
        <w:endnoteReference w:id="43"/>
      </w:r>
      <w:r w:rsidRPr="00EF5B36">
        <w:t xml:space="preserve"> states that Brazil’s economy wa</w:t>
      </w:r>
      <w:r w:rsidR="00F21F52" w:rsidRPr="00EF5B36">
        <w:t xml:space="preserve">s in a recession in 2015–2016. </w:t>
      </w:r>
      <w:r w:rsidRPr="00EF5B36">
        <w:t>Furthermore, according to her refugee protection claim forms,</w:t>
      </w:r>
      <w:r w:rsidRPr="00EF5B36">
        <w:rPr>
          <w:rFonts w:eastAsiaTheme="minorHAnsi" w:cs="Times New Roman"/>
          <w:spacing w:val="0"/>
          <w:szCs w:val="24"/>
          <w:vertAlign w:val="superscript"/>
          <w:lang w:eastAsia="en-US"/>
        </w:rPr>
        <w:endnoteReference w:id="44"/>
      </w:r>
      <w:r w:rsidRPr="00EF5B36">
        <w:t xml:space="preserve"> </w:t>
      </w:r>
      <w:r w:rsidR="00F24774">
        <w:t>the female appellant</w:t>
      </w:r>
      <w:r w:rsidRPr="00EF5B36">
        <w:t xml:space="preserve"> was unemployed between October 2014 and May 2015. The RAD notes that the minor appellant was born in October 2014. The period when </w:t>
      </w:r>
      <w:r w:rsidR="00F24774">
        <w:t>the female appellant</w:t>
      </w:r>
      <w:r w:rsidRPr="00EF5B36">
        <w:t xml:space="preserve"> did not work in Brazil seems to coincide with the minor appellant’s birth. Furthermore, on the same form, </w:t>
      </w:r>
      <w:r w:rsidR="00F24774">
        <w:t>the female appellant</w:t>
      </w:r>
      <w:r w:rsidRPr="00EF5B36">
        <w:t xml:space="preserve"> states that she worked from May 2015 to </w:t>
      </w:r>
      <w:r w:rsidR="00C0441E">
        <w:t>XXXX</w:t>
      </w:r>
      <w:r w:rsidRPr="00EF5B36">
        <w:t xml:space="preserve"> 2016, when she left Brazil. </w:t>
      </w:r>
      <w:r w:rsidR="00F24774">
        <w:t>The female appellant</w:t>
      </w:r>
      <w:r w:rsidRPr="00EF5B36">
        <w:t xml:space="preserve">’s evidence is not sufficient to establish that she was unable to find work in Brazil because she is a woman of colour or that she was unable to find a daycare for her son. In the RAD’s opinion, the problems described by </w:t>
      </w:r>
      <w:r w:rsidR="00F24774">
        <w:t>the female appellant</w:t>
      </w:r>
      <w:r w:rsidRPr="00EF5B36">
        <w:t xml:space="preserve"> do not amount to persecution.</w:t>
      </w:r>
    </w:p>
    <w:p w14:paraId="189EC9A4" w14:textId="48E2BDE9" w:rsidR="005868D8" w:rsidRPr="00EF5B36" w:rsidRDefault="005868D8"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i/>
          <w:spacing w:val="0"/>
          <w:szCs w:val="24"/>
        </w:rPr>
      </w:pPr>
      <w:r w:rsidRPr="00EF5B36">
        <w:t xml:space="preserve">The RAD concludes that the evidence on the record does not lead to the conclusion that the problems </w:t>
      </w:r>
      <w:r w:rsidR="00F24774">
        <w:t>the female appellant</w:t>
      </w:r>
      <w:r w:rsidRPr="00EF5B36">
        <w:t xml:space="preserve"> encountered in Brazil are </w:t>
      </w:r>
      <w:r w:rsidR="00607C87">
        <w:t>tantamount</w:t>
      </w:r>
      <w:r w:rsidRPr="00EF5B36">
        <w:t xml:space="preserve"> to persecution, even when </w:t>
      </w:r>
      <w:r w:rsidR="00EB1AD2">
        <w:t>considered</w:t>
      </w:r>
      <w:r w:rsidRPr="00EF5B36">
        <w:t xml:space="preserve"> </w:t>
      </w:r>
      <w:r w:rsidR="00EB1AD2">
        <w:t>cumulatively</w:t>
      </w:r>
      <w:r w:rsidRPr="00EF5B36">
        <w:t xml:space="preserve">, </w:t>
      </w:r>
      <w:r w:rsidR="002C1A79">
        <w:t xml:space="preserve">or </w:t>
      </w:r>
      <w:r w:rsidRPr="00EF5B36">
        <w:t xml:space="preserve">that there is a serious possibility of her being persecuted on one of the five Convention grounds if she were to return to Brazil. Furthermore, </w:t>
      </w:r>
      <w:r w:rsidR="00F24774">
        <w:t>the female appellant</w:t>
      </w:r>
      <w:r w:rsidRPr="00EF5B36">
        <w:t xml:space="preserve"> has not demonstrated that she would be personally subjected to a risk within the meaning of subsection 97(1) of the IRPA if she were to return to Brazil. </w:t>
      </w:r>
    </w:p>
    <w:p w14:paraId="1EAA44DD" w14:textId="77777777" w:rsidR="005868D8" w:rsidRPr="00EF5B36" w:rsidRDefault="00FA4966" w:rsidP="00FA4966">
      <w:pPr>
        <w:tabs>
          <w:tab w:val="clear" w:pos="576"/>
          <w:tab w:val="clear" w:pos="1008"/>
          <w:tab w:val="clear" w:pos="1440"/>
          <w:tab w:val="clear" w:pos="1872"/>
          <w:tab w:val="clear" w:pos="2304"/>
          <w:tab w:val="clear" w:pos="2736"/>
        </w:tabs>
        <w:spacing w:before="240" w:after="240"/>
        <w:jc w:val="left"/>
        <w:rPr>
          <w:rFonts w:eastAsiaTheme="minorHAnsi" w:cs="Times New Roman"/>
          <w:i/>
          <w:spacing w:val="0"/>
          <w:szCs w:val="24"/>
        </w:rPr>
      </w:pPr>
      <w:r w:rsidRPr="00EF5B36">
        <w:rPr>
          <w:i/>
        </w:rPr>
        <w:tab/>
        <w:t>The Refugee Appeal Division concludes that it is not necessary to analyze the risk in the country of origin, namely Haiti</w:t>
      </w:r>
    </w:p>
    <w:p w14:paraId="0520932D" w14:textId="35323EF2" w:rsidR="005868D8" w:rsidRPr="00EF5B36" w:rsidRDefault="005868D8"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szCs w:val="24"/>
        </w:rPr>
      </w:pPr>
      <w:r w:rsidRPr="00EF5B36">
        <w:t xml:space="preserve">In the opinion of the RAD, </w:t>
      </w:r>
      <w:r w:rsidRPr="00EF5B36">
        <w:rPr>
          <w:i/>
        </w:rPr>
        <w:t>Osazuwa v. Canada (Citizenship and Immigration)</w:t>
      </w:r>
      <w:r w:rsidRPr="00EF5B36">
        <w:t xml:space="preserve">, 2016 FC 155 applies to the circumstances in this case. </w:t>
      </w:r>
      <w:r w:rsidR="00B1768D">
        <w:t>C</w:t>
      </w:r>
      <w:r w:rsidRPr="00EF5B36">
        <w:t>ertain facts</w:t>
      </w:r>
      <w:r w:rsidR="00B1768D">
        <w:t xml:space="preserve"> do</w:t>
      </w:r>
      <w:r w:rsidRPr="00EF5B36">
        <w:t xml:space="preserve"> differ, because in </w:t>
      </w:r>
      <w:r w:rsidRPr="00EF5B36">
        <w:rPr>
          <w:i/>
        </w:rPr>
        <w:t>Osazuwa</w:t>
      </w:r>
      <w:r w:rsidRPr="00EF5B36">
        <w:t xml:space="preserve"> the refugee protection claimant had obtained the status of permanent resident in Italy, a status that he had lost because he had allowed it to expire, and the</w:t>
      </w:r>
      <w:r w:rsidR="007D0D35">
        <w:t xml:space="preserve"> refugee protection</w:t>
      </w:r>
      <w:r w:rsidRPr="00EF5B36">
        <w:t xml:space="preserve"> claimant did not discharge his burden before the RAD of demonstrating that he could not return to his former country of residence, namely Italy. In the present case, </w:t>
      </w:r>
      <w:r w:rsidR="00F24774">
        <w:t>the female appellant</w:t>
      </w:r>
      <w:r w:rsidRPr="00EF5B36">
        <w:t xml:space="preserve"> has not discharged her </w:t>
      </w:r>
      <w:r w:rsidRPr="00EF5B36">
        <w:lastRenderedPageBreak/>
        <w:t xml:space="preserve">burden of establishing that she could not return to Brazil. In </w:t>
      </w:r>
      <w:r w:rsidRPr="00EF5B36">
        <w:rPr>
          <w:i/>
        </w:rPr>
        <w:t>Osazuwa</w:t>
      </w:r>
      <w:r w:rsidRPr="00EF5B36">
        <w:t>, the Court concluded as follows:</w:t>
      </w:r>
    </w:p>
    <w:p w14:paraId="4DBAE45D" w14:textId="77777777" w:rsidR="005868D8" w:rsidRPr="00EF5B36" w:rsidRDefault="005868D8" w:rsidP="003E4B51">
      <w:pPr>
        <w:tabs>
          <w:tab w:val="clear" w:pos="576"/>
          <w:tab w:val="clear" w:pos="1008"/>
          <w:tab w:val="clear" w:pos="1440"/>
          <w:tab w:val="clear" w:pos="1872"/>
          <w:tab w:val="clear" w:pos="2304"/>
          <w:tab w:val="clear" w:pos="2736"/>
        </w:tabs>
        <w:spacing w:before="0" w:after="240"/>
        <w:ind w:left="720" w:right="720"/>
        <w:jc w:val="left"/>
        <w:rPr>
          <w:rFonts w:cs="Times New Roman"/>
          <w:szCs w:val="24"/>
        </w:rPr>
      </w:pPr>
      <w:r w:rsidRPr="00EF5B36">
        <w:t xml:space="preserve"> </w:t>
      </w:r>
      <w:r w:rsidRPr="00EF5B36">
        <w:rPr>
          <w:color w:val="000000"/>
          <w:shd w:val="clear" w:color="auto" w:fill="FFFFFF"/>
        </w:rPr>
        <w:t>[</w:t>
      </w:r>
      <w:bookmarkStart w:id="3" w:name="par51"/>
      <w:r w:rsidRPr="00EF5B36">
        <w:rPr>
          <w:color w:val="000000"/>
        </w:rPr>
        <w:t>51</w:t>
      </w:r>
      <w:bookmarkEnd w:id="3"/>
      <w:r w:rsidRPr="00EF5B36">
        <w:rPr>
          <w:color w:val="000000"/>
          <w:shd w:val="clear" w:color="auto" w:fill="FFFFFF"/>
        </w:rPr>
        <w:t>]</w:t>
      </w:r>
      <w:r w:rsidRPr="00EF5B36">
        <w:rPr>
          <w:color w:val="000000"/>
          <w:sz w:val="14"/>
        </w:rPr>
        <w:t xml:space="preserve">      </w:t>
      </w:r>
      <w:r w:rsidRPr="00EF5B36">
        <w:rPr>
          <w:color w:val="000000"/>
          <w:shd w:val="clear" w:color="auto" w:fill="FFFFFF"/>
        </w:rPr>
        <w:t xml:space="preserve">Having concluded that the Applicant can return to Italy, there was nothing unreasonable about the conclusion that there was no point in analysing the risks faced by the Applicant in Nigeria. </w:t>
      </w:r>
    </w:p>
    <w:p w14:paraId="15D79469" w14:textId="60C2203D" w:rsidR="005868D8" w:rsidRPr="00EF5B36" w:rsidRDefault="005868D8"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szCs w:val="24"/>
        </w:rPr>
      </w:pPr>
      <w:r w:rsidRPr="00EF5B36">
        <w:t xml:space="preserve">In view of the foregoing, namely that </w:t>
      </w:r>
      <w:r w:rsidR="00F24774">
        <w:t>the female appellant</w:t>
      </w:r>
      <w:r w:rsidRPr="00EF5B36">
        <w:t xml:space="preserve"> can return to Brazil, a country where she has not demonstrated the existence of a prospective risk, the RAD concludes that there is no reason to analyze the risks she would </w:t>
      </w:r>
      <w:r w:rsidR="00B143D2">
        <w:t xml:space="preserve">face </w:t>
      </w:r>
      <w:r w:rsidRPr="00EF5B36">
        <w:t>in Haiti.</w:t>
      </w:r>
    </w:p>
    <w:p w14:paraId="0A6544B5" w14:textId="6041F23D" w:rsidR="005868D8" w:rsidRPr="00EF5B36" w:rsidRDefault="005868D8" w:rsidP="00FA4966">
      <w:pPr>
        <w:tabs>
          <w:tab w:val="clear" w:pos="576"/>
          <w:tab w:val="left" w:pos="720"/>
        </w:tabs>
        <w:spacing w:before="240" w:after="240"/>
        <w:ind w:left="720"/>
        <w:jc w:val="left"/>
        <w:rPr>
          <w:i/>
          <w:szCs w:val="24"/>
        </w:rPr>
      </w:pPr>
      <w:r w:rsidRPr="00EF5B36">
        <w:rPr>
          <w:i/>
        </w:rPr>
        <w:t xml:space="preserve">Concluding that </w:t>
      </w:r>
      <w:r w:rsidR="00F24774">
        <w:rPr>
          <w:i/>
        </w:rPr>
        <w:t>the female appellant</w:t>
      </w:r>
      <w:r w:rsidRPr="00EF5B36">
        <w:rPr>
          <w:i/>
        </w:rPr>
        <w:t xml:space="preserve"> is a person referred to in Article 1E of the Convention does not breach Canada’s international obligations </w:t>
      </w:r>
    </w:p>
    <w:p w14:paraId="6A098EF2" w14:textId="77777777" w:rsidR="005868D8" w:rsidRPr="00EF5B36" w:rsidRDefault="005868D8"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cs="Times New Roman"/>
          <w:szCs w:val="24"/>
        </w:rPr>
      </w:pPr>
      <w:r w:rsidRPr="00EF5B36">
        <w:t>The RAD concludes that Canada’s international obligations would not be contravened by applying Article 1E of the Convention.</w:t>
      </w:r>
    </w:p>
    <w:p w14:paraId="0BBDC6CA" w14:textId="68FC3513" w:rsidR="005868D8" w:rsidRPr="00EF5B36" w:rsidRDefault="005868D8" w:rsidP="003E4B51">
      <w:pPr>
        <w:numPr>
          <w:ilvl w:val="0"/>
          <w:numId w:val="1"/>
        </w:numPr>
        <w:tabs>
          <w:tab w:val="clear" w:pos="576"/>
          <w:tab w:val="clear" w:pos="720"/>
          <w:tab w:val="clear" w:pos="1008"/>
          <w:tab w:val="clear" w:pos="1440"/>
          <w:tab w:val="clear" w:pos="1872"/>
          <w:tab w:val="clear" w:pos="2304"/>
          <w:tab w:val="clear" w:pos="2736"/>
          <w:tab w:val="left" w:pos="709"/>
        </w:tabs>
        <w:spacing w:before="240" w:after="240" w:line="360" w:lineRule="auto"/>
        <w:ind w:left="0" w:firstLine="0"/>
        <w:jc w:val="left"/>
        <w:rPr>
          <w:rFonts w:eastAsiaTheme="minorHAnsi" w:cs="Times New Roman"/>
          <w:spacing w:val="0"/>
          <w:sz w:val="22"/>
          <w:szCs w:val="24"/>
        </w:rPr>
      </w:pPr>
      <w:r w:rsidRPr="00EF5B36">
        <w:t xml:space="preserve">Under the circumstances, because she is the mother of a Brazilian child, </w:t>
      </w:r>
      <w:r w:rsidR="00F24774">
        <w:t>the female appellant</w:t>
      </w:r>
      <w:r w:rsidRPr="00EF5B36">
        <w:t xml:space="preserve"> could return to Brazil by obtaining a family reunification visa. </w:t>
      </w:r>
      <w:r w:rsidR="00F24774">
        <w:t>The female appellant</w:t>
      </w:r>
      <w:r w:rsidRPr="00EF5B36">
        <w:t xml:space="preserve"> did not establish a serious possibility of persecution in Brazil on one of the five Convention grounds. Additionally, she did not demonstrate that she would be subjected personally to any of the risks listed in subsection 97(1) of the IRPA if she were to return to Brazil. Consequently, concluding that she is a person referred to in Article 1E of the Convention does not contravene Canada’s international obligations.</w:t>
      </w:r>
    </w:p>
    <w:p w14:paraId="0A7FE3F1" w14:textId="71C8822C" w:rsidR="0017131A" w:rsidRPr="00EF5B36" w:rsidRDefault="005868D8"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cs="Times New Roman"/>
          <w:szCs w:val="24"/>
        </w:rPr>
      </w:pPr>
      <w:r w:rsidRPr="00EF5B36">
        <w:t xml:space="preserve">Consequently, the RAD concludes that </w:t>
      </w:r>
      <w:r w:rsidR="00F24774">
        <w:t>the female appellant</w:t>
      </w:r>
      <w:r w:rsidRPr="00EF5B36">
        <w:t xml:space="preserve"> is a person referred to in Article 1E of the Convention. </w:t>
      </w:r>
    </w:p>
    <w:p w14:paraId="67583CA3" w14:textId="77777777" w:rsidR="0017131A" w:rsidRPr="00EF5B36" w:rsidRDefault="0017131A">
      <w:pPr>
        <w:tabs>
          <w:tab w:val="clear" w:pos="576"/>
          <w:tab w:val="clear" w:pos="1008"/>
          <w:tab w:val="clear" w:pos="1440"/>
          <w:tab w:val="clear" w:pos="1872"/>
          <w:tab w:val="clear" w:pos="2304"/>
          <w:tab w:val="clear" w:pos="2736"/>
        </w:tabs>
        <w:spacing w:before="0" w:after="160" w:line="259" w:lineRule="auto"/>
        <w:jc w:val="left"/>
        <w:rPr>
          <w:rFonts w:cs="Times New Roman"/>
          <w:szCs w:val="24"/>
        </w:rPr>
      </w:pPr>
      <w:r w:rsidRPr="00EF5B36">
        <w:br w:type="page"/>
      </w:r>
    </w:p>
    <w:p w14:paraId="0DBC65FE" w14:textId="77777777" w:rsidR="005868D8" w:rsidRPr="00EF5B36" w:rsidRDefault="005868D8" w:rsidP="003E4B51">
      <w:pPr>
        <w:spacing w:before="240" w:after="240" w:line="360" w:lineRule="auto"/>
        <w:jc w:val="left"/>
        <w:rPr>
          <w:rFonts w:eastAsiaTheme="minorHAnsi"/>
          <w:b/>
          <w:szCs w:val="24"/>
        </w:rPr>
      </w:pPr>
      <w:r w:rsidRPr="00EF5B36">
        <w:rPr>
          <w:b/>
        </w:rPr>
        <w:lastRenderedPageBreak/>
        <w:t>Minor appellant</w:t>
      </w:r>
    </w:p>
    <w:p w14:paraId="0FA17CEB" w14:textId="22D0AF6C" w:rsidR="00E90368" w:rsidRPr="00EF5B36" w:rsidRDefault="00E90368"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cs="Times New Roman"/>
          <w:szCs w:val="24"/>
        </w:rPr>
      </w:pPr>
      <w:r w:rsidRPr="00EF5B36">
        <w:t xml:space="preserve">The RAD concludes that the RPD erred by not analyzing the existence of a prospective risk for the minor appellant should he return to Brazil. However, the RAD concludes that the minor appellant failed to establish a serious possibility of persecution and did not demonstrate, on a balance of probabilities, </w:t>
      </w:r>
      <w:r w:rsidR="00AA4C38">
        <w:t>that there is</w:t>
      </w:r>
      <w:r w:rsidRPr="00EF5B36">
        <w:t xml:space="preserve"> a risk within the meaning of subsection 97(1) of the IRPA if he were to return to Brazil. </w:t>
      </w:r>
    </w:p>
    <w:p w14:paraId="41420D53" w14:textId="4032EA91" w:rsidR="00E64673" w:rsidRPr="00EF5B36" w:rsidRDefault="004E493D" w:rsidP="003E4B51">
      <w:pPr>
        <w:numPr>
          <w:ilvl w:val="0"/>
          <w:numId w:val="1"/>
        </w:numPr>
        <w:tabs>
          <w:tab w:val="clear" w:pos="576"/>
          <w:tab w:val="clear" w:pos="1008"/>
          <w:tab w:val="clear" w:pos="1440"/>
          <w:tab w:val="clear" w:pos="1872"/>
          <w:tab w:val="clear" w:pos="2304"/>
          <w:tab w:val="clear" w:pos="2736"/>
        </w:tabs>
        <w:spacing w:before="240" w:after="240" w:line="360" w:lineRule="auto"/>
        <w:ind w:left="0" w:firstLine="0"/>
        <w:jc w:val="left"/>
        <w:rPr>
          <w:rFonts w:eastAsiaTheme="minorHAnsi" w:cs="Times New Roman"/>
          <w:i/>
          <w:spacing w:val="0"/>
          <w:szCs w:val="24"/>
        </w:rPr>
      </w:pPr>
      <w:r w:rsidRPr="00EF5B36">
        <w:t xml:space="preserve">As previously mentioned, the evidence on the record does not lead to the conclusion that the problems </w:t>
      </w:r>
      <w:r w:rsidR="00F24774">
        <w:t>the female appellant</w:t>
      </w:r>
      <w:r w:rsidRPr="00EF5B36">
        <w:t xml:space="preserve"> encountered in Brazil are </w:t>
      </w:r>
      <w:r w:rsidR="00A42EBB">
        <w:t>tantamount</w:t>
      </w:r>
      <w:r w:rsidRPr="00EF5B36">
        <w:t xml:space="preserve"> to persecution, even when </w:t>
      </w:r>
      <w:r w:rsidR="00A42EBB">
        <w:t>considered cumulatively</w:t>
      </w:r>
      <w:r w:rsidRPr="00EF5B36">
        <w:t xml:space="preserve">, or that there is a serious possibility of her being persecuted on one of the five Convention grounds if she were to return to Brazil. This analysis also applies to the minor appellant’s situation, given that his refugee protection claim is based on that of </w:t>
      </w:r>
      <w:r w:rsidR="00F24774">
        <w:t>the female appellant</w:t>
      </w:r>
      <w:r w:rsidRPr="00EF5B36">
        <w:t>.</w:t>
      </w:r>
    </w:p>
    <w:p w14:paraId="1E060DB5" w14:textId="77777777" w:rsidR="005868D8" w:rsidRPr="00EF5B36" w:rsidRDefault="005868D8" w:rsidP="00A17A75">
      <w:pPr>
        <w:tabs>
          <w:tab w:val="clear" w:pos="576"/>
          <w:tab w:val="clear" w:pos="1008"/>
          <w:tab w:val="clear" w:pos="1440"/>
          <w:tab w:val="clear" w:pos="1872"/>
          <w:tab w:val="clear" w:pos="2304"/>
          <w:tab w:val="clear" w:pos="2736"/>
        </w:tabs>
        <w:spacing w:before="240" w:after="240" w:line="360" w:lineRule="auto"/>
        <w:rPr>
          <w:rFonts w:cs="Times New Roman"/>
          <w:b/>
          <w:spacing w:val="0"/>
          <w:szCs w:val="24"/>
        </w:rPr>
      </w:pPr>
      <w:r w:rsidRPr="00EF5B36">
        <w:rPr>
          <w:b/>
        </w:rPr>
        <w:t>CONCLUSION</w:t>
      </w:r>
    </w:p>
    <w:p w14:paraId="6948A973" w14:textId="745B178D" w:rsidR="00FB58F4" w:rsidRPr="00EF5B36" w:rsidRDefault="005868D8" w:rsidP="003E4B51">
      <w:pPr>
        <w:numPr>
          <w:ilvl w:val="0"/>
          <w:numId w:val="1"/>
        </w:numPr>
        <w:tabs>
          <w:tab w:val="clear" w:pos="576"/>
          <w:tab w:val="clear" w:pos="720"/>
          <w:tab w:val="clear" w:pos="1008"/>
          <w:tab w:val="clear" w:pos="1440"/>
          <w:tab w:val="clear" w:pos="1872"/>
          <w:tab w:val="clear" w:pos="2304"/>
          <w:tab w:val="clear" w:pos="2736"/>
          <w:tab w:val="num" w:pos="0"/>
          <w:tab w:val="left" w:pos="709"/>
        </w:tabs>
        <w:spacing w:before="240" w:after="240" w:line="360" w:lineRule="auto"/>
        <w:ind w:left="0" w:firstLine="0"/>
        <w:jc w:val="left"/>
        <w:rPr>
          <w:rFonts w:eastAsiaTheme="minorHAnsi" w:cs="Times New Roman"/>
          <w:spacing w:val="0"/>
          <w:szCs w:val="24"/>
        </w:rPr>
      </w:pPr>
      <w:r w:rsidRPr="00EF5B36">
        <w:t>The RAD dismisses the appeal. The RAD confirms the determination</w:t>
      </w:r>
      <w:r w:rsidR="00961261">
        <w:t xml:space="preserve"> of the RPD</w:t>
      </w:r>
      <w:r w:rsidR="0076611E">
        <w:t xml:space="preserve"> on other grounds</w:t>
      </w:r>
      <w:r w:rsidRPr="00EF5B36">
        <w:t xml:space="preserve">. The RAD determines that </w:t>
      </w:r>
      <w:r w:rsidR="00C0441E">
        <w:rPr>
          <w:b/>
        </w:rPr>
        <w:t>XXXX XXXX</w:t>
      </w:r>
      <w:r w:rsidRPr="00EF5B36">
        <w:t xml:space="preserve"> is not a refugee or person in need of protection because she is excluded under Article 1E of the Convention. </w:t>
      </w:r>
    </w:p>
    <w:p w14:paraId="239992AC" w14:textId="48377DF8" w:rsidR="005868D8" w:rsidRPr="00EF5B36" w:rsidRDefault="005868D8" w:rsidP="003E4B51">
      <w:pPr>
        <w:numPr>
          <w:ilvl w:val="0"/>
          <w:numId w:val="1"/>
        </w:numPr>
        <w:tabs>
          <w:tab w:val="clear" w:pos="576"/>
          <w:tab w:val="clear" w:pos="720"/>
          <w:tab w:val="clear" w:pos="1008"/>
          <w:tab w:val="clear" w:pos="1440"/>
          <w:tab w:val="clear" w:pos="1872"/>
          <w:tab w:val="clear" w:pos="2304"/>
          <w:tab w:val="clear" w:pos="2736"/>
          <w:tab w:val="num" w:pos="0"/>
          <w:tab w:val="left" w:pos="709"/>
        </w:tabs>
        <w:spacing w:before="240" w:after="240" w:line="360" w:lineRule="auto"/>
        <w:ind w:left="0" w:firstLine="0"/>
        <w:jc w:val="left"/>
        <w:rPr>
          <w:rFonts w:eastAsiaTheme="minorHAnsi" w:cs="Times New Roman"/>
          <w:spacing w:val="0"/>
          <w:szCs w:val="24"/>
        </w:rPr>
      </w:pPr>
      <w:r w:rsidRPr="00EF5B36">
        <w:t xml:space="preserve">Furthermore, her son, </w:t>
      </w:r>
      <w:r w:rsidR="00C0441E">
        <w:rPr>
          <w:b/>
        </w:rPr>
        <w:t>XXXX XXXX XXXX XXXX</w:t>
      </w:r>
      <w:r w:rsidRPr="00EF5B36">
        <w:t>, is neither a “Convention refugee” under section 96 of the IRPA nor a “person in need of protection” within the meaning of subsection 97(1) of the IRPA.</w:t>
      </w:r>
    </w:p>
    <w:p w14:paraId="559C878E" w14:textId="77777777" w:rsidR="00A17A75" w:rsidRPr="00EF5B36" w:rsidRDefault="00A17A75" w:rsidP="00A17A75">
      <w:pPr>
        <w:tabs>
          <w:tab w:val="clear" w:pos="576"/>
          <w:tab w:val="clear" w:pos="1008"/>
          <w:tab w:val="clear" w:pos="1440"/>
          <w:tab w:val="clear" w:pos="1872"/>
          <w:tab w:val="clear" w:pos="2304"/>
          <w:tab w:val="clear" w:pos="2736"/>
        </w:tabs>
        <w:spacing w:before="240" w:after="240" w:line="360" w:lineRule="auto"/>
        <w:rPr>
          <w:rFonts w:eastAsiaTheme="minorHAnsi" w:cs="Times New Roman"/>
          <w:spacing w:val="0"/>
          <w:szCs w:val="24"/>
          <w:lang w:eastAsia="en-US"/>
        </w:rPr>
      </w:pP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A17A75" w:rsidRPr="00EF5B36" w14:paraId="33650937" w14:textId="77777777" w:rsidTr="00A17A75">
        <w:trPr>
          <w:trHeight w:hRule="exact" w:val="370"/>
          <w:jc w:val="center"/>
        </w:trPr>
        <w:tc>
          <w:tcPr>
            <w:tcW w:w="4840" w:type="dxa"/>
          </w:tcPr>
          <w:p w14:paraId="71093FD4" w14:textId="77777777" w:rsidR="00A17A75" w:rsidRPr="00EF5B36" w:rsidRDefault="00A17A75" w:rsidP="005E476A">
            <w:pPr>
              <w:spacing w:before="60" w:after="0"/>
              <w:jc w:val="right"/>
              <w:rPr>
                <w:rFonts w:cs="Times New Roman"/>
                <w:spacing w:val="0"/>
                <w:szCs w:val="24"/>
              </w:rPr>
            </w:pPr>
          </w:p>
        </w:tc>
        <w:tc>
          <w:tcPr>
            <w:tcW w:w="4950" w:type="dxa"/>
            <w:tcBorders>
              <w:bottom w:val="single" w:sz="6" w:space="0" w:color="auto"/>
            </w:tcBorders>
          </w:tcPr>
          <w:p w14:paraId="0AE2A1C7" w14:textId="712B501A" w:rsidR="00A17A75" w:rsidRPr="00EF5B36" w:rsidRDefault="0063699C" w:rsidP="005E476A">
            <w:pPr>
              <w:spacing w:before="60" w:after="0"/>
              <w:jc w:val="center"/>
              <w:rPr>
                <w:rFonts w:cs="Times New Roman"/>
                <w:i/>
                <w:sz w:val="22"/>
                <w:szCs w:val="22"/>
              </w:rPr>
            </w:pPr>
            <w:r w:rsidRPr="00EF5B36">
              <w:rPr>
                <w:i/>
                <w:sz w:val="22"/>
              </w:rPr>
              <w:t>Marie</w:t>
            </w:r>
            <w:r w:rsidR="00F21F52" w:rsidRPr="00EF5B36">
              <w:rPr>
                <w:i/>
                <w:sz w:val="22"/>
              </w:rPr>
              <w:noBreakHyphen/>
            </w:r>
            <w:r w:rsidRPr="00EF5B36">
              <w:rPr>
                <w:i/>
                <w:sz w:val="22"/>
              </w:rPr>
              <w:t>Lyne Thibault</w:t>
            </w:r>
          </w:p>
        </w:tc>
      </w:tr>
      <w:tr w:rsidR="00A17A75" w:rsidRPr="00EF5B36" w14:paraId="615222E2" w14:textId="77777777" w:rsidTr="00A17A75">
        <w:trPr>
          <w:trHeight w:hRule="exact" w:val="574"/>
          <w:jc w:val="center"/>
        </w:trPr>
        <w:tc>
          <w:tcPr>
            <w:tcW w:w="4840" w:type="dxa"/>
          </w:tcPr>
          <w:p w14:paraId="461F461E" w14:textId="77777777" w:rsidR="00A17A75" w:rsidRPr="00EF5B36" w:rsidRDefault="00A17A75" w:rsidP="005E476A">
            <w:pPr>
              <w:spacing w:before="0" w:after="240"/>
              <w:jc w:val="center"/>
              <w:rPr>
                <w:rFonts w:cs="Times New Roman"/>
                <w:sz w:val="22"/>
                <w:szCs w:val="22"/>
              </w:rPr>
            </w:pPr>
          </w:p>
        </w:tc>
        <w:tc>
          <w:tcPr>
            <w:tcW w:w="4950" w:type="dxa"/>
          </w:tcPr>
          <w:p w14:paraId="38D1BD26" w14:textId="033714DA" w:rsidR="00A17A75" w:rsidRPr="00EF5B36" w:rsidRDefault="00A17A75" w:rsidP="005E476A">
            <w:pPr>
              <w:tabs>
                <w:tab w:val="center" w:pos="2366"/>
              </w:tabs>
              <w:spacing w:before="0" w:after="0"/>
              <w:jc w:val="center"/>
              <w:rPr>
                <w:rFonts w:cs="Times New Roman"/>
                <w:b/>
                <w:szCs w:val="24"/>
              </w:rPr>
            </w:pPr>
            <w:r w:rsidRPr="00EF5B36">
              <w:rPr>
                <w:b/>
              </w:rPr>
              <w:t>Marie</w:t>
            </w:r>
            <w:r w:rsidR="00F21F52" w:rsidRPr="00EF5B36">
              <w:rPr>
                <w:b/>
              </w:rPr>
              <w:noBreakHyphen/>
            </w:r>
            <w:r w:rsidRPr="00EF5B36">
              <w:rPr>
                <w:b/>
              </w:rPr>
              <w:t>Lyne Thibault</w:t>
            </w:r>
          </w:p>
        </w:tc>
      </w:tr>
      <w:tr w:rsidR="00A17A75" w:rsidRPr="00EF5B36" w14:paraId="0841EAC5" w14:textId="77777777" w:rsidTr="005E476A">
        <w:trPr>
          <w:trHeight w:hRule="exact" w:val="415"/>
          <w:jc w:val="center"/>
        </w:trPr>
        <w:tc>
          <w:tcPr>
            <w:tcW w:w="4840" w:type="dxa"/>
          </w:tcPr>
          <w:p w14:paraId="27112E44" w14:textId="77777777" w:rsidR="00A17A75" w:rsidRPr="00EF5B36" w:rsidRDefault="00A17A75" w:rsidP="005E476A">
            <w:pPr>
              <w:rPr>
                <w:rFonts w:cs="Times New Roman"/>
                <w:sz w:val="22"/>
                <w:szCs w:val="22"/>
              </w:rPr>
            </w:pPr>
          </w:p>
        </w:tc>
        <w:tc>
          <w:tcPr>
            <w:tcW w:w="4950" w:type="dxa"/>
            <w:tcBorders>
              <w:bottom w:val="single" w:sz="6" w:space="0" w:color="auto"/>
            </w:tcBorders>
          </w:tcPr>
          <w:p w14:paraId="5928AB56" w14:textId="3A89E608" w:rsidR="00A17A75" w:rsidRPr="00EF5B36" w:rsidRDefault="0063699C" w:rsidP="005E476A">
            <w:pPr>
              <w:jc w:val="center"/>
              <w:rPr>
                <w:rFonts w:cs="Times New Roman"/>
                <w:szCs w:val="24"/>
              </w:rPr>
            </w:pPr>
            <w:r w:rsidRPr="00EF5B36">
              <w:t>August 4, 2020</w:t>
            </w:r>
          </w:p>
        </w:tc>
      </w:tr>
      <w:tr w:rsidR="00A17A75" w:rsidRPr="00EF5B36" w14:paraId="5B2357C0" w14:textId="77777777" w:rsidTr="005E476A">
        <w:trPr>
          <w:trHeight w:hRule="exact" w:val="567"/>
          <w:jc w:val="center"/>
        </w:trPr>
        <w:tc>
          <w:tcPr>
            <w:tcW w:w="4840" w:type="dxa"/>
          </w:tcPr>
          <w:p w14:paraId="63D849F3" w14:textId="77777777" w:rsidR="00A17A75" w:rsidRPr="00EF5B36" w:rsidRDefault="00A17A75" w:rsidP="005E476A">
            <w:pPr>
              <w:spacing w:before="0" w:after="0"/>
              <w:rPr>
                <w:rFonts w:cs="Times New Roman"/>
                <w:sz w:val="22"/>
                <w:szCs w:val="22"/>
              </w:rPr>
            </w:pPr>
          </w:p>
        </w:tc>
        <w:tc>
          <w:tcPr>
            <w:tcW w:w="4950" w:type="dxa"/>
          </w:tcPr>
          <w:p w14:paraId="7B99ECEE" w14:textId="77777777" w:rsidR="00A17A75" w:rsidRPr="00EF5B36" w:rsidRDefault="00A17A75" w:rsidP="005E476A">
            <w:pPr>
              <w:tabs>
                <w:tab w:val="left" w:pos="440"/>
                <w:tab w:val="center" w:pos="2366"/>
              </w:tabs>
              <w:spacing w:before="0" w:after="0"/>
              <w:jc w:val="center"/>
              <w:rPr>
                <w:rFonts w:cs="Times New Roman"/>
                <w:b/>
                <w:szCs w:val="24"/>
              </w:rPr>
            </w:pPr>
            <w:r w:rsidRPr="00EF5B36">
              <w:rPr>
                <w:b/>
              </w:rPr>
              <w:t>Date</w:t>
            </w:r>
          </w:p>
        </w:tc>
      </w:tr>
    </w:tbl>
    <w:p w14:paraId="75EA532A" w14:textId="78762070" w:rsidR="00A17A75" w:rsidRPr="00EF5B36" w:rsidRDefault="00F21F52" w:rsidP="00F21F52">
      <w:pPr>
        <w:tabs>
          <w:tab w:val="clear" w:pos="576"/>
          <w:tab w:val="clear" w:pos="1008"/>
          <w:tab w:val="clear" w:pos="1440"/>
          <w:tab w:val="clear" w:pos="1872"/>
          <w:tab w:val="clear" w:pos="2304"/>
          <w:tab w:val="clear" w:pos="2736"/>
        </w:tabs>
        <w:spacing w:before="0" w:after="0"/>
        <w:jc w:val="left"/>
        <w:rPr>
          <w:rFonts w:eastAsiaTheme="minorHAnsi" w:cs="Times New Roman"/>
          <w:spacing w:val="0"/>
          <w:szCs w:val="24"/>
          <w:lang w:eastAsia="en-US"/>
        </w:rPr>
      </w:pPr>
      <w:r w:rsidRPr="00EF5B36">
        <w:rPr>
          <w:rFonts w:eastAsiaTheme="minorHAnsi" w:cs="Times New Roman"/>
          <w:spacing w:val="0"/>
          <w:szCs w:val="24"/>
          <w:lang w:eastAsia="en-US"/>
        </w:rPr>
        <w:t>IRB translation</w:t>
      </w:r>
      <w:r w:rsidRPr="00EF5B36">
        <w:rPr>
          <w:rFonts w:eastAsiaTheme="minorHAnsi" w:cs="Times New Roman"/>
          <w:spacing w:val="0"/>
          <w:szCs w:val="24"/>
          <w:lang w:eastAsia="en-US"/>
        </w:rPr>
        <w:br/>
        <w:t>Original language: French</w:t>
      </w:r>
    </w:p>
    <w:p w14:paraId="2E0C4B52" w14:textId="167A36C7" w:rsidR="00F21F52" w:rsidRPr="00EF5B36" w:rsidRDefault="00F21F52" w:rsidP="00A17A75">
      <w:pPr>
        <w:tabs>
          <w:tab w:val="clear" w:pos="576"/>
          <w:tab w:val="clear" w:pos="1008"/>
          <w:tab w:val="clear" w:pos="1440"/>
          <w:tab w:val="clear" w:pos="1872"/>
          <w:tab w:val="clear" w:pos="2304"/>
          <w:tab w:val="clear" w:pos="2736"/>
        </w:tabs>
        <w:spacing w:before="240" w:after="240" w:line="360" w:lineRule="auto"/>
        <w:rPr>
          <w:rFonts w:eastAsiaTheme="minorHAnsi" w:cs="Times New Roman"/>
          <w:spacing w:val="0"/>
          <w:szCs w:val="24"/>
          <w:lang w:eastAsia="en-US"/>
        </w:rPr>
      </w:pPr>
    </w:p>
    <w:sectPr w:rsidR="00F21F52" w:rsidRPr="00EF5B36" w:rsidSect="00EF6796">
      <w:headerReference w:type="default" r:id="rId12"/>
      <w:footerReference w:type="default" r:id="rId13"/>
      <w:headerReference w:type="first" r:id="rId14"/>
      <w:footerReference w:type="first" r:id="rId15"/>
      <w:endnotePr>
        <w:numFmt w:val="decimal"/>
      </w:endnotePr>
      <w:pgSz w:w="12240" w:h="15840" w:code="1"/>
      <w:pgMar w:top="1097" w:right="1440" w:bottom="1440" w:left="1440" w:header="737" w:footer="45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23F7" w14:textId="77777777" w:rsidR="00C06E79" w:rsidRDefault="00C06E79" w:rsidP="00E619B7">
      <w:pPr>
        <w:spacing w:before="0" w:after="0"/>
      </w:pPr>
      <w:r>
        <w:separator/>
      </w:r>
    </w:p>
  </w:endnote>
  <w:endnote w:type="continuationSeparator" w:id="0">
    <w:p w14:paraId="613D63EB" w14:textId="77777777" w:rsidR="00C06E79" w:rsidRDefault="00C06E79" w:rsidP="00E619B7">
      <w:pPr>
        <w:spacing w:before="0" w:after="0"/>
      </w:pPr>
      <w:r>
        <w:continuationSeparator/>
      </w:r>
    </w:p>
  </w:endnote>
  <w:endnote w:id="1">
    <w:p w14:paraId="2471395A" w14:textId="780614F9" w:rsidR="0002718E" w:rsidRPr="00700387" w:rsidRDefault="0002718E" w:rsidP="00667272">
      <w:pPr>
        <w:pStyle w:val="EndnoteText"/>
        <w:spacing w:before="60"/>
        <w:ind w:left="547" w:hanging="547"/>
      </w:pPr>
      <w:r>
        <w:rPr>
          <w:rStyle w:val="EndnoteReference"/>
        </w:rPr>
        <w:endnoteRef/>
      </w:r>
      <w:r>
        <w:t xml:space="preserve"> </w:t>
      </w:r>
      <w:r>
        <w:tab/>
        <w:t>SPR</w:t>
      </w:r>
      <w:r w:rsidR="00F21F52">
        <w:noBreakHyphen/>
      </w:r>
      <w:r>
        <w:t xml:space="preserve">1, Refugee Protection Division (RPD) record, Basis of Claim Form (BOC Form) of </w:t>
      </w:r>
      <w:r w:rsidR="00C0441E">
        <w:t>XXXX XXXX</w:t>
      </w:r>
      <w:r>
        <w:t>, pp. 22–32.</w:t>
      </w:r>
    </w:p>
  </w:endnote>
  <w:endnote w:id="2">
    <w:p w14:paraId="26B1F2A9" w14:textId="1E02F3F4" w:rsidR="0002718E" w:rsidRPr="002F354F" w:rsidRDefault="0002718E" w:rsidP="00667272">
      <w:pPr>
        <w:pStyle w:val="EndnoteText"/>
        <w:spacing w:before="60"/>
        <w:ind w:left="547" w:hanging="547"/>
      </w:pPr>
      <w:r>
        <w:rPr>
          <w:rStyle w:val="EndnoteReference"/>
        </w:rPr>
        <w:endnoteRef/>
      </w:r>
      <w:r>
        <w:t xml:space="preserve"> </w:t>
      </w:r>
      <w:r>
        <w:tab/>
        <w:t>National Documentation Package (NDP) on Haiti, versions dated September 30, 2019, and March 31, 2020, Tab 14.14</w:t>
      </w:r>
      <w:r>
        <w:rPr>
          <w:rFonts w:ascii="Times New Roman" w:hAnsi="Times New Roman"/>
        </w:rPr>
        <w:t xml:space="preserve">: </w:t>
      </w:r>
      <w:r w:rsidRPr="004B35CE">
        <w:rPr>
          <w:rFonts w:ascii="Times New Roman" w:hAnsi="Times New Roman"/>
        </w:rPr>
        <w:t>Brazil and Haiti: Whether it is possible for Haitian nationals whose children have Brazilian citizenship to obtain permanent resident status; requirements and application procedure</w:t>
      </w:r>
      <w:r>
        <w:rPr>
          <w:rFonts w:ascii="Times New Roman" w:hAnsi="Times New Roman"/>
        </w:rPr>
        <w:t>, Immigration and Refugee Board of Canada (IRB), April 15, 2019, ZZZ106283.FE.</w:t>
      </w:r>
    </w:p>
  </w:endnote>
  <w:endnote w:id="3">
    <w:p w14:paraId="13B70361" w14:textId="3E502552" w:rsidR="0002718E" w:rsidRPr="002F354F" w:rsidRDefault="0002718E" w:rsidP="00667272">
      <w:pPr>
        <w:pStyle w:val="EndnoteText"/>
        <w:spacing w:before="60"/>
        <w:ind w:left="547" w:hanging="547"/>
      </w:pPr>
      <w:r>
        <w:rPr>
          <w:rStyle w:val="EndnoteReference"/>
        </w:rPr>
        <w:endnoteRef/>
      </w:r>
      <w:r>
        <w:t xml:space="preserve"> </w:t>
      </w:r>
      <w:r>
        <w:tab/>
        <w:t>SAR</w:t>
      </w:r>
      <w:r w:rsidR="00F21F52">
        <w:noBreakHyphen/>
      </w:r>
      <w:r>
        <w:t>1, Notice to counsel, February 25, 2020.</w:t>
      </w:r>
    </w:p>
  </w:endnote>
  <w:endnote w:id="4">
    <w:p w14:paraId="6F096CBD" w14:textId="77777777" w:rsidR="0002718E" w:rsidRPr="002F354F" w:rsidRDefault="0002718E" w:rsidP="00667272">
      <w:pPr>
        <w:pStyle w:val="EndnoteText"/>
        <w:tabs>
          <w:tab w:val="left" w:pos="720"/>
        </w:tabs>
        <w:spacing w:before="60"/>
        <w:ind w:left="547" w:hanging="547"/>
      </w:pPr>
      <w:r>
        <w:rPr>
          <w:rStyle w:val="EndnoteReference"/>
        </w:rPr>
        <w:endnoteRef/>
      </w:r>
      <w:r>
        <w:rPr>
          <w:i/>
        </w:rPr>
        <w:t xml:space="preserve"> </w:t>
      </w:r>
      <w:r>
        <w:rPr>
          <w:i/>
        </w:rPr>
        <w:tab/>
        <w:t>Canada (Citizenship and Immigration) v. Huruglica</w:t>
      </w:r>
      <w:r>
        <w:t>, 2016 FCA 93.</w:t>
      </w:r>
    </w:p>
  </w:endnote>
  <w:endnote w:id="5">
    <w:p w14:paraId="579D79F5" w14:textId="77777777" w:rsidR="0002718E" w:rsidRPr="002F354F" w:rsidRDefault="0002718E" w:rsidP="00667272">
      <w:pPr>
        <w:pStyle w:val="EndnoteText"/>
        <w:spacing w:before="60"/>
        <w:ind w:left="547" w:hanging="547"/>
      </w:pPr>
      <w:r>
        <w:rPr>
          <w:rStyle w:val="EndnoteReference"/>
        </w:rPr>
        <w:endnoteRef/>
      </w:r>
      <w:r>
        <w:t xml:space="preserve"> </w:t>
      </w:r>
      <w:r>
        <w:tab/>
      </w:r>
      <w:r>
        <w:rPr>
          <w:i/>
          <w:shd w:val="clear" w:color="auto" w:fill="FFFFFF"/>
        </w:rPr>
        <w:t>Ching v. Canada (Citizenship and Immigration)</w:t>
      </w:r>
      <w:r>
        <w:rPr>
          <w:shd w:val="clear" w:color="auto" w:fill="FFFFFF"/>
        </w:rPr>
        <w:t>, 2015 FC 725.</w:t>
      </w:r>
    </w:p>
  </w:endnote>
  <w:endnote w:id="6">
    <w:p w14:paraId="4F5C8A0A" w14:textId="77777777" w:rsidR="0002718E" w:rsidRPr="002F354F" w:rsidRDefault="0002718E" w:rsidP="00667272">
      <w:pPr>
        <w:pStyle w:val="EndnoteText"/>
        <w:spacing w:before="60"/>
        <w:ind w:left="547" w:hanging="547"/>
      </w:pPr>
      <w:r>
        <w:rPr>
          <w:rStyle w:val="EndnoteReference"/>
        </w:rPr>
        <w:endnoteRef/>
      </w:r>
      <w:r>
        <w:t xml:space="preserve"> </w:t>
      </w:r>
      <w:r>
        <w:tab/>
      </w:r>
      <w:r>
        <w:rPr>
          <w:i/>
          <w:iCs/>
          <w:shd w:val="clear" w:color="auto" w:fill="FFFFFF"/>
        </w:rPr>
        <w:t xml:space="preserve">Canada (Citizenship and Immigration) v. </w:t>
      </w:r>
      <w:r>
        <w:rPr>
          <w:i/>
          <w:shd w:val="clear" w:color="auto" w:fill="FFFFFF"/>
        </w:rPr>
        <w:t>Kaler</w:t>
      </w:r>
      <w:r>
        <w:rPr>
          <w:shd w:val="clear" w:color="auto" w:fill="FFFFFF"/>
        </w:rPr>
        <w:t>, 2019 FC 883.</w:t>
      </w:r>
    </w:p>
  </w:endnote>
  <w:endnote w:id="7">
    <w:p w14:paraId="2C2879E6" w14:textId="6C53BF11" w:rsidR="0002718E" w:rsidRPr="002F354F" w:rsidRDefault="0002718E" w:rsidP="00667272">
      <w:pPr>
        <w:pStyle w:val="EndnoteText"/>
        <w:spacing w:before="60"/>
        <w:ind w:left="547" w:hanging="547"/>
      </w:pPr>
      <w:r>
        <w:rPr>
          <w:rStyle w:val="EndnoteReference"/>
        </w:rPr>
        <w:endnoteRef/>
      </w:r>
      <w:r>
        <w:t xml:space="preserve"> </w:t>
      </w:r>
      <w:r>
        <w:tab/>
        <w:t xml:space="preserve">NDP on Haiti, </w:t>
      </w:r>
      <w:bookmarkStart w:id="1" w:name="_Hlk47448891"/>
      <w:r>
        <w:t>versions dated September 30, 2019, and March 31, 2020</w:t>
      </w:r>
      <w:bookmarkEnd w:id="1"/>
      <w:r>
        <w:t>, Tab 14.1</w:t>
      </w:r>
      <w:r w:rsidR="00C24EBF">
        <w:t>1</w:t>
      </w:r>
      <w:r>
        <w:t>:</w:t>
      </w:r>
      <w:r>
        <w:rPr>
          <w:rFonts w:ascii="Times New Roman" w:hAnsi="Times New Roman"/>
        </w:rPr>
        <w:t xml:space="preserve"> </w:t>
      </w:r>
      <w:r w:rsidRPr="004B35CE">
        <w:rPr>
          <w:rFonts w:ascii="Times New Roman" w:hAnsi="Times New Roman"/>
        </w:rPr>
        <w:t>Brazil and Haiti: Situation of Haitians in Brazil, including rights and obligations; permanent resident status; documents issued to Haitians, including Foreigner Identity Cards....</w:t>
      </w:r>
      <w:r>
        <w:rPr>
          <w:rFonts w:ascii="Times New Roman" w:hAnsi="Times New Roman"/>
        </w:rPr>
        <w:t xml:space="preserve">, IRB, June 21, 2018, ZZZ106127.FE; </w:t>
      </w:r>
      <w:r>
        <w:rPr>
          <w:i/>
        </w:rPr>
        <w:t>Supra</w:t>
      </w:r>
      <w:r>
        <w:t xml:space="preserve">, endnote 2, </w:t>
      </w:r>
      <w:r>
        <w:rPr>
          <w:rFonts w:ascii="Times New Roman" w:hAnsi="Times New Roman"/>
        </w:rPr>
        <w:t>Tab 14.14.</w:t>
      </w:r>
    </w:p>
  </w:endnote>
  <w:endnote w:id="8">
    <w:p w14:paraId="27D94559" w14:textId="77777777" w:rsidR="0002718E" w:rsidRPr="00F21F52" w:rsidRDefault="0002718E" w:rsidP="00667272">
      <w:pPr>
        <w:pStyle w:val="EndnoteText"/>
        <w:spacing w:before="60"/>
        <w:ind w:left="540" w:hanging="540"/>
        <w:rPr>
          <w:lang w:val="fr-CA"/>
        </w:rPr>
      </w:pPr>
      <w:r>
        <w:rPr>
          <w:rStyle w:val="EndnoteReference"/>
        </w:rPr>
        <w:endnoteRef/>
      </w:r>
      <w:r w:rsidRPr="00F21F52">
        <w:rPr>
          <w:lang w:val="fr-CA"/>
        </w:rPr>
        <w:t xml:space="preserve"> </w:t>
      </w:r>
      <w:r w:rsidRPr="00F21F52">
        <w:rPr>
          <w:lang w:val="fr-CA"/>
        </w:rPr>
        <w:tab/>
      </w:r>
      <w:r w:rsidRPr="00F21F52">
        <w:rPr>
          <w:i/>
          <w:lang w:val="fr-CA"/>
        </w:rPr>
        <w:t>Supra</w:t>
      </w:r>
      <w:r w:rsidRPr="00F21F52">
        <w:rPr>
          <w:lang w:val="fr-CA"/>
        </w:rPr>
        <w:t>, endnote 2, Tab 14.14.</w:t>
      </w:r>
    </w:p>
  </w:endnote>
  <w:endnote w:id="9">
    <w:p w14:paraId="5546242C" w14:textId="77777777" w:rsidR="0002718E" w:rsidRPr="00F21F52" w:rsidRDefault="0002718E" w:rsidP="00667272">
      <w:pPr>
        <w:pStyle w:val="EndnoteText"/>
        <w:spacing w:before="60"/>
        <w:ind w:left="540" w:hanging="540"/>
        <w:rPr>
          <w:lang w:val="fr-CA"/>
        </w:rPr>
      </w:pPr>
      <w:r>
        <w:rPr>
          <w:rStyle w:val="EndnoteReference"/>
        </w:rPr>
        <w:endnoteRef/>
      </w:r>
      <w:r w:rsidRPr="00F21F52">
        <w:rPr>
          <w:lang w:val="fr-CA"/>
        </w:rPr>
        <w:t xml:space="preserve"> </w:t>
      </w:r>
      <w:r w:rsidRPr="00F21F52">
        <w:rPr>
          <w:lang w:val="fr-CA"/>
        </w:rPr>
        <w:tab/>
      </w:r>
      <w:r w:rsidRPr="00F21F52">
        <w:rPr>
          <w:i/>
          <w:lang w:val="fr-CA"/>
        </w:rPr>
        <w:t>Supra</w:t>
      </w:r>
      <w:r w:rsidRPr="00F21F52">
        <w:rPr>
          <w:lang w:val="fr-CA"/>
        </w:rPr>
        <w:t>, endnote 2, Tab 14.14.</w:t>
      </w:r>
    </w:p>
  </w:endnote>
  <w:endnote w:id="10">
    <w:p w14:paraId="7EE698B4" w14:textId="5B86B8DD" w:rsidR="0002718E" w:rsidRPr="00A17A75" w:rsidRDefault="0002718E" w:rsidP="00667272">
      <w:pPr>
        <w:pStyle w:val="EndnoteText"/>
        <w:spacing w:before="60"/>
        <w:ind w:left="540" w:hanging="540"/>
      </w:pPr>
      <w:r>
        <w:rPr>
          <w:rStyle w:val="EndnoteReference"/>
        </w:rPr>
        <w:endnoteRef/>
      </w:r>
      <w:r>
        <w:t xml:space="preserve"> </w:t>
      </w:r>
      <w:r>
        <w:tab/>
        <w:t>NDP on Haiti, July 20, 2018, Tab 14.</w:t>
      </w:r>
      <w:r>
        <w:rPr>
          <w:rFonts w:ascii="Times New Roman" w:hAnsi="Times New Roman"/>
        </w:rPr>
        <w:t xml:space="preserve">11: </w:t>
      </w:r>
      <w:r w:rsidRPr="004B35CE">
        <w:rPr>
          <w:rFonts w:ascii="Times New Roman" w:hAnsi="Times New Roman"/>
        </w:rPr>
        <w:t>Brazil and Haiti: Situation of Haitians in Brazil, including rights and obligations; permanent resident status; documents issued to Haitians, including Foreigner Identity Cards....</w:t>
      </w:r>
      <w:r>
        <w:rPr>
          <w:rFonts w:ascii="Times New Roman" w:hAnsi="Times New Roman"/>
        </w:rPr>
        <w:t>, IRB, June 21, 2018, ZZZ106127.FE</w:t>
      </w:r>
      <w:r>
        <w:t>.</w:t>
      </w:r>
    </w:p>
  </w:endnote>
  <w:endnote w:id="11">
    <w:p w14:paraId="6F7D20BB" w14:textId="61BE6A61" w:rsidR="0002718E" w:rsidRPr="00880C23" w:rsidRDefault="0002718E" w:rsidP="00667272">
      <w:pPr>
        <w:pStyle w:val="EndnoteText"/>
        <w:spacing w:before="60"/>
        <w:ind w:left="540" w:hanging="540"/>
      </w:pPr>
      <w:r>
        <w:rPr>
          <w:rStyle w:val="EndnoteReference"/>
        </w:rPr>
        <w:endnoteRef/>
      </w:r>
      <w:r>
        <w:t xml:space="preserve"> </w:t>
      </w:r>
      <w:r>
        <w:tab/>
        <w:t>Ibid.</w:t>
      </w:r>
      <w:r>
        <w:rPr>
          <w:i/>
        </w:rPr>
        <w:t xml:space="preserve"> </w:t>
      </w:r>
    </w:p>
  </w:endnote>
  <w:endnote w:id="12">
    <w:p w14:paraId="2E5DA324" w14:textId="05891C68" w:rsidR="0002718E" w:rsidRPr="00880C23" w:rsidRDefault="0002718E" w:rsidP="00667272">
      <w:pPr>
        <w:pStyle w:val="EndnoteText"/>
        <w:spacing w:before="60"/>
        <w:ind w:left="540" w:hanging="540"/>
      </w:pPr>
      <w:r>
        <w:rPr>
          <w:rStyle w:val="EndnoteReference"/>
        </w:rPr>
        <w:endnoteRef/>
      </w:r>
      <w:r>
        <w:t xml:space="preserve"> </w:t>
      </w:r>
      <w:r>
        <w:tab/>
        <w:t xml:space="preserve">Ibid. </w:t>
      </w:r>
    </w:p>
  </w:endnote>
  <w:endnote w:id="13">
    <w:p w14:paraId="594863A2" w14:textId="77777777" w:rsidR="0002718E" w:rsidRPr="00880C23" w:rsidRDefault="0002718E" w:rsidP="00667272">
      <w:pPr>
        <w:pStyle w:val="EndnoteText"/>
        <w:spacing w:before="60"/>
        <w:ind w:left="540" w:hanging="540"/>
      </w:pPr>
      <w:r>
        <w:rPr>
          <w:rStyle w:val="EndnoteReference"/>
        </w:rPr>
        <w:endnoteRef/>
      </w:r>
      <w:r>
        <w:t xml:space="preserve"> </w:t>
      </w:r>
      <w:r>
        <w:tab/>
      </w:r>
      <w:r>
        <w:rPr>
          <w:i/>
        </w:rPr>
        <w:t>Supra</w:t>
      </w:r>
      <w:r>
        <w:t>, endnote 2, Tab 14.14.</w:t>
      </w:r>
    </w:p>
  </w:endnote>
  <w:endnote w:id="14">
    <w:p w14:paraId="49232999" w14:textId="77777777" w:rsidR="0002718E" w:rsidRPr="00F21F52" w:rsidRDefault="0002718E" w:rsidP="00667272">
      <w:pPr>
        <w:pStyle w:val="EndnoteText"/>
        <w:spacing w:before="60"/>
        <w:ind w:left="540" w:hanging="540"/>
        <w:rPr>
          <w:lang w:val="fr-CA"/>
        </w:rPr>
      </w:pPr>
      <w:r>
        <w:rPr>
          <w:rStyle w:val="EndnoteReference"/>
        </w:rPr>
        <w:endnoteRef/>
      </w:r>
      <w:r w:rsidRPr="00F21F52">
        <w:rPr>
          <w:lang w:val="fr-CA"/>
        </w:rPr>
        <w:t xml:space="preserve"> </w:t>
      </w:r>
      <w:r w:rsidRPr="00F21F52">
        <w:rPr>
          <w:lang w:val="fr-CA"/>
        </w:rPr>
        <w:tab/>
      </w:r>
      <w:r w:rsidRPr="00F21F52">
        <w:rPr>
          <w:i/>
          <w:lang w:val="fr-CA"/>
        </w:rPr>
        <w:t>Supra</w:t>
      </w:r>
      <w:r w:rsidRPr="00F21F52">
        <w:rPr>
          <w:lang w:val="fr-CA"/>
        </w:rPr>
        <w:t>, endnote 2, Tab 14.14.</w:t>
      </w:r>
    </w:p>
  </w:endnote>
  <w:endnote w:id="15">
    <w:p w14:paraId="64FFB410" w14:textId="77777777" w:rsidR="0002718E" w:rsidRPr="00F21F52" w:rsidRDefault="0002718E" w:rsidP="00667272">
      <w:pPr>
        <w:pStyle w:val="EndnoteText"/>
        <w:spacing w:before="60"/>
        <w:ind w:left="540" w:hanging="540"/>
        <w:rPr>
          <w:lang w:val="fr-CA"/>
        </w:rPr>
      </w:pPr>
      <w:r>
        <w:rPr>
          <w:rStyle w:val="EndnoteReference"/>
        </w:rPr>
        <w:endnoteRef/>
      </w:r>
      <w:r w:rsidRPr="00F21F52">
        <w:rPr>
          <w:lang w:val="fr-CA"/>
        </w:rPr>
        <w:t xml:space="preserve"> </w:t>
      </w:r>
      <w:r w:rsidRPr="00F21F52">
        <w:rPr>
          <w:lang w:val="fr-CA"/>
        </w:rPr>
        <w:tab/>
      </w:r>
      <w:r w:rsidRPr="00F21F52">
        <w:rPr>
          <w:i/>
          <w:lang w:val="fr-CA"/>
        </w:rPr>
        <w:t>Supra</w:t>
      </w:r>
      <w:r w:rsidRPr="00F21F52">
        <w:rPr>
          <w:lang w:val="fr-CA"/>
        </w:rPr>
        <w:t>, endnote 7, Tab 14.11.</w:t>
      </w:r>
    </w:p>
  </w:endnote>
  <w:endnote w:id="16">
    <w:p w14:paraId="40ABAFB7" w14:textId="77777777" w:rsidR="0002718E" w:rsidRPr="00F21F52" w:rsidRDefault="0002718E" w:rsidP="00667272">
      <w:pPr>
        <w:pStyle w:val="EndnoteText"/>
        <w:spacing w:before="60"/>
        <w:ind w:left="540" w:hanging="540"/>
        <w:rPr>
          <w:lang w:val="fr-CA"/>
        </w:rPr>
      </w:pPr>
      <w:r>
        <w:rPr>
          <w:rStyle w:val="EndnoteReference"/>
        </w:rPr>
        <w:endnoteRef/>
      </w:r>
      <w:r w:rsidRPr="00F21F52">
        <w:rPr>
          <w:lang w:val="fr-CA"/>
        </w:rPr>
        <w:t xml:space="preserve"> </w:t>
      </w:r>
      <w:r w:rsidRPr="00F21F52">
        <w:rPr>
          <w:lang w:val="fr-CA"/>
        </w:rPr>
        <w:tab/>
      </w:r>
      <w:r w:rsidRPr="00F21F52">
        <w:rPr>
          <w:i/>
          <w:lang w:val="fr-CA"/>
        </w:rPr>
        <w:t>Supra</w:t>
      </w:r>
      <w:r w:rsidRPr="00F21F52">
        <w:rPr>
          <w:lang w:val="fr-CA"/>
        </w:rPr>
        <w:t>, endnote 2, Tab 14.14.</w:t>
      </w:r>
    </w:p>
  </w:endnote>
  <w:endnote w:id="17">
    <w:p w14:paraId="1580DA85" w14:textId="77777777" w:rsidR="0002718E" w:rsidRPr="00F21F52" w:rsidRDefault="0002718E" w:rsidP="00667272">
      <w:pPr>
        <w:pStyle w:val="EndnoteText"/>
        <w:spacing w:before="60"/>
        <w:ind w:left="547" w:hanging="547"/>
        <w:rPr>
          <w:lang w:val="fr-CA"/>
        </w:rPr>
      </w:pPr>
      <w:r>
        <w:rPr>
          <w:rStyle w:val="EndnoteReference"/>
        </w:rPr>
        <w:endnoteRef/>
      </w:r>
      <w:r w:rsidRPr="00F21F52">
        <w:rPr>
          <w:lang w:val="fr-CA"/>
        </w:rPr>
        <w:t xml:space="preserve"> </w:t>
      </w:r>
      <w:r w:rsidRPr="00F21F52">
        <w:rPr>
          <w:lang w:val="fr-CA"/>
        </w:rPr>
        <w:tab/>
      </w:r>
      <w:r w:rsidRPr="00F21F52">
        <w:rPr>
          <w:i/>
          <w:lang w:val="fr-CA"/>
        </w:rPr>
        <w:t>Supra</w:t>
      </w:r>
      <w:r w:rsidRPr="00F21F52">
        <w:rPr>
          <w:lang w:val="fr-CA"/>
        </w:rPr>
        <w:t>, endnote 2, Tab 14.14.</w:t>
      </w:r>
    </w:p>
  </w:endnote>
  <w:endnote w:id="18">
    <w:p w14:paraId="0B4BEE65" w14:textId="77777777" w:rsidR="0002718E" w:rsidRPr="00E55C7F" w:rsidRDefault="0002718E" w:rsidP="00667272">
      <w:pPr>
        <w:pStyle w:val="EndnoteText"/>
        <w:spacing w:before="60"/>
        <w:ind w:left="547" w:hanging="547"/>
      </w:pPr>
      <w:r>
        <w:rPr>
          <w:rStyle w:val="EndnoteReference"/>
        </w:rPr>
        <w:endnoteRef/>
      </w:r>
      <w:r>
        <w:t xml:space="preserve"> </w:t>
      </w:r>
      <w:r>
        <w:tab/>
        <w:t>Recording of hearing, at approximately 00:27:00.</w:t>
      </w:r>
    </w:p>
  </w:endnote>
  <w:endnote w:id="19">
    <w:p w14:paraId="7B055681" w14:textId="77777777" w:rsidR="0002718E" w:rsidRPr="00E55C7F" w:rsidRDefault="0002718E" w:rsidP="00667272">
      <w:pPr>
        <w:pStyle w:val="EndnoteText"/>
        <w:spacing w:before="60"/>
        <w:ind w:left="540" w:hanging="540"/>
      </w:pPr>
      <w:r>
        <w:rPr>
          <w:rStyle w:val="EndnoteReference"/>
        </w:rPr>
        <w:endnoteRef/>
      </w:r>
      <w:r>
        <w:t xml:space="preserve"> </w:t>
      </w:r>
      <w:r>
        <w:tab/>
        <w:t>Recording of hearing, at approximately 00:27:25.</w:t>
      </w:r>
    </w:p>
  </w:endnote>
  <w:endnote w:id="20">
    <w:p w14:paraId="16D48D73" w14:textId="7813757B" w:rsidR="00E90444" w:rsidRPr="00B6363A" w:rsidRDefault="00E90444" w:rsidP="00667272">
      <w:pPr>
        <w:pStyle w:val="EndnoteText"/>
        <w:tabs>
          <w:tab w:val="left" w:pos="720"/>
        </w:tabs>
        <w:spacing w:before="60"/>
        <w:ind w:left="547" w:hanging="547"/>
      </w:pPr>
      <w:r>
        <w:rPr>
          <w:rStyle w:val="EndnoteReference"/>
        </w:rPr>
        <w:endnoteRef/>
      </w:r>
      <w:r>
        <w:t xml:space="preserve"> </w:t>
      </w:r>
      <w:r>
        <w:tab/>
      </w:r>
      <w:r>
        <w:rPr>
          <w:i/>
        </w:rPr>
        <w:t>Canada (Citizenship and Immigration) v. Zeng</w:t>
      </w:r>
      <w:r>
        <w:t>, 2010 FCA 118;</w:t>
      </w:r>
    </w:p>
    <w:p w14:paraId="73432E8B" w14:textId="633A4095" w:rsidR="00E90444" w:rsidRPr="00B6363A" w:rsidRDefault="003E4B51" w:rsidP="00667272">
      <w:pPr>
        <w:pStyle w:val="EndnoteText"/>
        <w:tabs>
          <w:tab w:val="left" w:pos="720"/>
        </w:tabs>
        <w:spacing w:before="60"/>
        <w:ind w:left="547" w:hanging="547"/>
      </w:pPr>
      <w:r>
        <w:t xml:space="preserve"> </w:t>
      </w:r>
      <w:r>
        <w:tab/>
      </w:r>
      <w:r w:rsidR="004368A7">
        <w:rPr>
          <w:i/>
        </w:rPr>
        <w:t xml:space="preserve">Shamlou v. </w:t>
      </w:r>
      <w:r>
        <w:rPr>
          <w:i/>
        </w:rPr>
        <w:t>Canada (Minister of Citizenship and Immigration)</w:t>
      </w:r>
      <w:r>
        <w:t>, [1995] FCA No. 1537.</w:t>
      </w:r>
    </w:p>
  </w:endnote>
  <w:endnote w:id="21">
    <w:p w14:paraId="735D8C6B" w14:textId="27040B1D" w:rsidR="0002718E" w:rsidRPr="00A12616" w:rsidRDefault="0002718E" w:rsidP="00667272">
      <w:pPr>
        <w:pStyle w:val="EndnoteText"/>
        <w:spacing w:before="60"/>
        <w:ind w:left="540" w:hanging="540"/>
      </w:pPr>
      <w:r>
        <w:rPr>
          <w:rStyle w:val="EndnoteReference"/>
        </w:rPr>
        <w:endnoteRef/>
      </w:r>
      <w:r>
        <w:t xml:space="preserve"> </w:t>
      </w:r>
      <w:r>
        <w:tab/>
        <w:t>NDP on Haiti, versions dated September 30, 2019, and March 31, 2020, Tab 3.15: Response to Information Request BRA105515.FE, Brazil: The rights and duties of permanent residents, including the rights and duties of individuals who have a permanent visa, such as professors, researchers, highly</w:t>
      </w:r>
      <w:r w:rsidR="00F21F52">
        <w:noBreakHyphen/>
      </w:r>
      <w:r>
        <w:t>skilled technicians and foreign scientists; procedure to obtain or renew a residency permit; grounds for losing permanent residence (2014</w:t>
      </w:r>
      <w:r w:rsidR="00F21F52">
        <w:noBreakHyphen/>
      </w:r>
      <w:r>
        <w:t>May 2016), IRB, May 25, 2016.</w:t>
      </w:r>
    </w:p>
  </w:endnote>
  <w:endnote w:id="22">
    <w:p w14:paraId="66E0E3DF" w14:textId="77777777" w:rsidR="0002718E" w:rsidRPr="00A12616" w:rsidRDefault="0002718E" w:rsidP="00667272">
      <w:pPr>
        <w:pStyle w:val="EndnoteText"/>
        <w:spacing w:before="60"/>
        <w:ind w:left="547" w:hanging="547"/>
      </w:pPr>
      <w:r>
        <w:rPr>
          <w:rStyle w:val="EndnoteReference"/>
        </w:rPr>
        <w:endnoteRef/>
      </w:r>
      <w:r>
        <w:t xml:space="preserve"> </w:t>
      </w:r>
      <w:r>
        <w:tab/>
      </w:r>
      <w:r>
        <w:rPr>
          <w:i/>
        </w:rPr>
        <w:t>Osazuwa v. Canada (Citizenship and Immigration)</w:t>
      </w:r>
      <w:r>
        <w:t>, 2016 FC 155.</w:t>
      </w:r>
    </w:p>
  </w:endnote>
  <w:endnote w:id="23">
    <w:p w14:paraId="5C92DDB8" w14:textId="22D71408" w:rsidR="00667272" w:rsidRDefault="00667272" w:rsidP="00667272">
      <w:pPr>
        <w:pStyle w:val="EndnoteText"/>
        <w:spacing w:before="60"/>
        <w:ind w:left="547" w:hanging="547"/>
      </w:pPr>
      <w:r>
        <w:rPr>
          <w:rStyle w:val="EndnoteReference"/>
        </w:rPr>
        <w:endnoteRef/>
      </w:r>
      <w:r>
        <w:t xml:space="preserve"> </w:t>
      </w:r>
      <w:r>
        <w:tab/>
      </w:r>
      <w:r>
        <w:rPr>
          <w:i/>
        </w:rPr>
        <w:t>Majebi v. Canada (Citizenship and Immigration)</w:t>
      </w:r>
      <w:r>
        <w:t xml:space="preserve">, </w:t>
      </w:r>
      <w:r>
        <w:rPr>
          <w:color w:val="212529"/>
          <w:shd w:val="clear" w:color="auto" w:fill="FFFFFF"/>
        </w:rPr>
        <w:t>2016 FCA 274</w:t>
      </w:r>
      <w:r>
        <w:t>, at para. 9:</w:t>
      </w:r>
    </w:p>
    <w:p w14:paraId="0950B16A" w14:textId="1153333D" w:rsidR="00667272" w:rsidRDefault="0017131A" w:rsidP="00667272">
      <w:pPr>
        <w:pStyle w:val="CommentText"/>
        <w:ind w:left="720" w:right="720"/>
      </w:pPr>
      <w:r>
        <w:t>“</w:t>
      </w:r>
      <w:r>
        <w:rPr>
          <w:color w:val="000000"/>
          <w:shd w:val="clear" w:color="auto" w:fill="FFFFFF"/>
        </w:rPr>
        <w:t xml:space="preserve">Unless the Appeal Division concludes that the decision of the Refugee Protection Division was made in error, the Appeal Division may not reconsider the issue of exclusion pursuant to Article 1E </w:t>
      </w:r>
      <w:r>
        <w:rPr>
          <w:i/>
          <w:iCs/>
          <w:color w:val="000000"/>
          <w:shd w:val="clear" w:color="auto" w:fill="FFFFFF"/>
        </w:rPr>
        <w:t>de novo</w:t>
      </w:r>
      <w:r>
        <w:rPr>
          <w:color w:val="000000"/>
          <w:shd w:val="clear" w:color="auto" w:fill="FFFFFF"/>
        </w:rPr>
        <w:t>.”</w:t>
      </w:r>
    </w:p>
  </w:endnote>
  <w:endnote w:id="24">
    <w:p w14:paraId="77B2F39D" w14:textId="43A15E3C" w:rsidR="0002718E" w:rsidRPr="002C3207" w:rsidRDefault="0002718E" w:rsidP="00667272">
      <w:pPr>
        <w:pStyle w:val="EndnoteText"/>
        <w:spacing w:before="60"/>
        <w:ind w:left="547" w:hanging="547"/>
      </w:pPr>
      <w:r>
        <w:rPr>
          <w:rStyle w:val="EndnoteReference"/>
        </w:rPr>
        <w:endnoteRef/>
      </w:r>
      <w:r>
        <w:t xml:space="preserve"> </w:t>
      </w:r>
      <w:r>
        <w:tab/>
        <w:t xml:space="preserve">NDP on Brazil, July 31, 2020, Tab 13.5; NDP on Haiti, versions dated September 30, 2019, and March 31, 2020, Tab 14.16: </w:t>
      </w:r>
      <w:r w:rsidRPr="00B659A7">
        <w:rPr>
          <w:rFonts w:ascii="Times New Roman" w:hAnsi="Times New Roman"/>
        </w:rPr>
        <w:t>Brazil and Haiti: Employment situation of Haitians in Brazil, including treatment in the workplace; whether Haitians face discrimination in hiring; state recourse available</w:t>
      </w:r>
      <w:r>
        <w:rPr>
          <w:rFonts w:ascii="Times New Roman" w:hAnsi="Times New Roman"/>
        </w:rPr>
        <w:t>, IRB, September 18, 2019, ZZZ106295.E.</w:t>
      </w:r>
    </w:p>
  </w:endnote>
  <w:endnote w:id="25">
    <w:p w14:paraId="2738D283" w14:textId="01E6299B" w:rsidR="00E77E24" w:rsidRPr="00C12388" w:rsidRDefault="00E77E24" w:rsidP="00E77E24">
      <w:pPr>
        <w:pStyle w:val="EndnoteText"/>
        <w:spacing w:before="60"/>
        <w:ind w:left="547" w:hanging="547"/>
      </w:pPr>
      <w:r>
        <w:rPr>
          <w:rStyle w:val="EndnoteReference"/>
        </w:rPr>
        <w:endnoteRef/>
      </w:r>
      <w:r>
        <w:t xml:space="preserve"> </w:t>
      </w:r>
      <w:r>
        <w:tab/>
        <w:t xml:space="preserve">NDP on Brazil, October 31, 2019, Tab 13.1: </w:t>
      </w:r>
      <w:r w:rsidRPr="006C66A3">
        <w:rPr>
          <w:rFonts w:ascii="Times New Roman" w:hAnsi="Times New Roman"/>
        </w:rPr>
        <w:t>Brazil.</w:t>
      </w:r>
      <w:r w:rsidRPr="00B659A7">
        <w:rPr>
          <w:rFonts w:ascii="Times New Roman" w:hAnsi="Times New Roman"/>
        </w:rPr>
        <w:t xml:space="preserve"> World Directory of Minorities and Indigenous Peoples</w:t>
      </w:r>
      <w:r>
        <w:rPr>
          <w:rFonts w:ascii="Times New Roman" w:hAnsi="Times New Roman"/>
        </w:rPr>
        <w:t>, Minority Rights Group International, June 2019.</w:t>
      </w:r>
    </w:p>
  </w:endnote>
  <w:endnote w:id="26">
    <w:p w14:paraId="49F0A476" w14:textId="77777777" w:rsidR="00E77E24" w:rsidRDefault="00E77E24" w:rsidP="00E77E24">
      <w:pPr>
        <w:pStyle w:val="EndnoteText"/>
        <w:spacing w:before="60"/>
        <w:ind w:left="547" w:hanging="547"/>
      </w:pPr>
      <w:r>
        <w:rPr>
          <w:rStyle w:val="EndnoteReference"/>
        </w:rPr>
        <w:endnoteRef/>
      </w:r>
      <w:r>
        <w:t xml:space="preserve"> </w:t>
      </w:r>
      <w:r>
        <w:tab/>
        <w:t>Recording of hearing, at approximately 00:36:55.</w:t>
      </w:r>
    </w:p>
  </w:endnote>
  <w:endnote w:id="27">
    <w:p w14:paraId="2FE2178A" w14:textId="77777777" w:rsidR="00E77E24" w:rsidRDefault="00E77E24" w:rsidP="00E77E24">
      <w:pPr>
        <w:pStyle w:val="EndnoteText"/>
        <w:spacing w:before="60"/>
        <w:ind w:left="547" w:hanging="547"/>
      </w:pPr>
      <w:r>
        <w:rPr>
          <w:rStyle w:val="EndnoteReference"/>
        </w:rPr>
        <w:endnoteRef/>
      </w:r>
      <w:r>
        <w:t xml:space="preserve"> </w:t>
      </w:r>
      <w:r>
        <w:tab/>
        <w:t>Recording of hearing, at approximately 00:37:50.</w:t>
      </w:r>
    </w:p>
  </w:endnote>
  <w:endnote w:id="28">
    <w:p w14:paraId="0FADC65A" w14:textId="77777777" w:rsidR="00E77E24" w:rsidRPr="008946B0" w:rsidRDefault="00E77E24" w:rsidP="00E77E24">
      <w:pPr>
        <w:pStyle w:val="EndnoteText"/>
        <w:spacing w:before="60"/>
        <w:ind w:left="547" w:hanging="547"/>
      </w:pPr>
      <w:r>
        <w:rPr>
          <w:rStyle w:val="EndnoteReference"/>
        </w:rPr>
        <w:endnoteRef/>
      </w:r>
      <w:r>
        <w:t xml:space="preserve"> </w:t>
      </w:r>
      <w:r>
        <w:tab/>
        <w:t>NDP on Brazil, October 31, 2019, Tab 13.2: Report of the Special Rapporteur on minority issues on her mission to Brazil</w:t>
      </w:r>
      <w:r>
        <w:rPr>
          <w:i/>
        </w:rPr>
        <w:t xml:space="preserve">. </w:t>
      </w:r>
      <w:r>
        <w:t>United Nations. Human Rights Council.</w:t>
      </w:r>
      <w:r>
        <w:rPr>
          <w:i/>
        </w:rPr>
        <w:t xml:space="preserve"> </w:t>
      </w:r>
      <w:r>
        <w:t>February 9, 2016.</w:t>
      </w:r>
    </w:p>
  </w:endnote>
  <w:endnote w:id="29">
    <w:p w14:paraId="189F2D89" w14:textId="7FAB5E66" w:rsidR="00E77E24" w:rsidRPr="00A12616" w:rsidRDefault="00E77E24" w:rsidP="00E77E24">
      <w:pPr>
        <w:pStyle w:val="EndnoteText"/>
        <w:spacing w:before="60"/>
        <w:ind w:left="547" w:hanging="547"/>
      </w:pPr>
      <w:r>
        <w:rPr>
          <w:rStyle w:val="EndnoteReference"/>
        </w:rPr>
        <w:endnoteRef/>
      </w:r>
      <w:r>
        <w:t xml:space="preserve"> </w:t>
      </w:r>
      <w:r>
        <w:tab/>
        <w:t>NDP on Brazil, versions dated October 31, 2019, and July 31, 2020.</w:t>
      </w:r>
    </w:p>
  </w:endnote>
  <w:endnote w:id="30">
    <w:p w14:paraId="2DA29525" w14:textId="0ABE8D62" w:rsidR="00E77E24" w:rsidRPr="00A12616" w:rsidRDefault="00E77E24" w:rsidP="00E77E24">
      <w:pPr>
        <w:pStyle w:val="EndnoteText"/>
        <w:spacing w:before="60"/>
        <w:ind w:left="547" w:hanging="547"/>
      </w:pPr>
      <w:r>
        <w:rPr>
          <w:rStyle w:val="EndnoteReference"/>
        </w:rPr>
        <w:endnoteRef/>
      </w:r>
      <w:r>
        <w:t xml:space="preserve"> </w:t>
      </w:r>
      <w:r>
        <w:tab/>
      </w:r>
      <w:r>
        <w:rPr>
          <w:i/>
          <w:iCs/>
        </w:rPr>
        <w:t>Supra</w:t>
      </w:r>
      <w:r>
        <w:t>, endnote 24, NDP on Haiti, versions dated September 30, 2019, and March 31, 2020, Tab 14:16.</w:t>
      </w:r>
    </w:p>
  </w:endnote>
  <w:endnote w:id="31">
    <w:p w14:paraId="51408502" w14:textId="77777777" w:rsidR="00E77E24" w:rsidRPr="00F21F52" w:rsidRDefault="00E77E24" w:rsidP="00E77E24">
      <w:pPr>
        <w:pStyle w:val="EndnoteText"/>
        <w:spacing w:before="60"/>
        <w:ind w:left="547" w:hanging="547"/>
        <w:rPr>
          <w:lang w:val="fr-CA"/>
        </w:rPr>
      </w:pPr>
      <w:r>
        <w:rPr>
          <w:rStyle w:val="EndnoteReference"/>
        </w:rPr>
        <w:endnoteRef/>
      </w:r>
      <w:r w:rsidRPr="00F21F52">
        <w:rPr>
          <w:lang w:val="fr-CA"/>
        </w:rPr>
        <w:t xml:space="preserve"> </w:t>
      </w:r>
      <w:r w:rsidRPr="00F21F52">
        <w:rPr>
          <w:lang w:val="fr-CA"/>
        </w:rPr>
        <w:tab/>
      </w:r>
      <w:bookmarkStart w:id="2" w:name="_Hlk34811723"/>
      <w:r w:rsidRPr="00F21F52">
        <w:rPr>
          <w:i/>
          <w:lang w:val="fr-CA"/>
        </w:rPr>
        <w:t>Supra</w:t>
      </w:r>
      <w:r w:rsidRPr="00F21F52">
        <w:rPr>
          <w:lang w:val="fr-CA"/>
        </w:rPr>
        <w:t>, endnote 7, Tab 14.11.</w:t>
      </w:r>
    </w:p>
    <w:bookmarkEnd w:id="2"/>
  </w:endnote>
  <w:endnote w:id="32">
    <w:p w14:paraId="333B6C07" w14:textId="77777777" w:rsidR="00E77E24" w:rsidRPr="00F21F52" w:rsidRDefault="00E77E24" w:rsidP="00E77E24">
      <w:pPr>
        <w:pStyle w:val="EndnoteText"/>
        <w:spacing w:before="60"/>
        <w:ind w:left="547" w:hanging="547"/>
        <w:rPr>
          <w:lang w:val="fr-CA"/>
        </w:rPr>
      </w:pPr>
      <w:r>
        <w:rPr>
          <w:rStyle w:val="EndnoteReference"/>
        </w:rPr>
        <w:endnoteRef/>
      </w:r>
      <w:r w:rsidRPr="00F21F52">
        <w:rPr>
          <w:lang w:val="fr-CA"/>
        </w:rPr>
        <w:t xml:space="preserve"> </w:t>
      </w:r>
      <w:r w:rsidRPr="00F21F52">
        <w:rPr>
          <w:lang w:val="fr-CA"/>
        </w:rPr>
        <w:tab/>
      </w:r>
      <w:r w:rsidRPr="00F21F52">
        <w:rPr>
          <w:i/>
          <w:lang w:val="fr-CA"/>
        </w:rPr>
        <w:t>Supra</w:t>
      </w:r>
      <w:r w:rsidRPr="00F21F52">
        <w:rPr>
          <w:lang w:val="fr-CA"/>
        </w:rPr>
        <w:t>, endnote 7, Tab 14.11.</w:t>
      </w:r>
    </w:p>
  </w:endnote>
  <w:endnote w:id="33">
    <w:p w14:paraId="09AC1B44" w14:textId="55A3FA5A" w:rsidR="003D0A89" w:rsidRDefault="003D0A89" w:rsidP="008B5BDA">
      <w:pPr>
        <w:pStyle w:val="EndnoteText"/>
        <w:spacing w:before="60"/>
        <w:ind w:left="547" w:hanging="547"/>
      </w:pPr>
      <w:r>
        <w:rPr>
          <w:rStyle w:val="EndnoteReference"/>
        </w:rPr>
        <w:endnoteRef/>
      </w:r>
      <w:r>
        <w:t xml:space="preserve"> </w:t>
      </w:r>
      <w:r>
        <w:tab/>
        <w:t>NDP on Brazil, July 31, 2020.</w:t>
      </w:r>
    </w:p>
  </w:endnote>
  <w:endnote w:id="34">
    <w:p w14:paraId="2A9EC790" w14:textId="77777777" w:rsidR="00E77E24" w:rsidRPr="007A594A" w:rsidRDefault="00E77E24" w:rsidP="00E77E24">
      <w:pPr>
        <w:pStyle w:val="EndnoteText"/>
        <w:spacing w:before="60"/>
        <w:ind w:left="547" w:hanging="547"/>
      </w:pPr>
      <w:r>
        <w:rPr>
          <w:rStyle w:val="EndnoteReference"/>
        </w:rPr>
        <w:endnoteRef/>
      </w:r>
      <w:r>
        <w:t xml:space="preserve"> </w:t>
      </w:r>
      <w:r>
        <w:tab/>
      </w:r>
      <w:r>
        <w:rPr>
          <w:i/>
        </w:rPr>
        <w:t>Supra</w:t>
      </w:r>
      <w:r>
        <w:t>, endnote 7, Tab 14.11.</w:t>
      </w:r>
    </w:p>
  </w:endnote>
  <w:endnote w:id="35">
    <w:p w14:paraId="285A9A35" w14:textId="0EC82265" w:rsidR="00E77E24" w:rsidRPr="00EC5AC7" w:rsidRDefault="00E77E24" w:rsidP="00E77E24">
      <w:pPr>
        <w:pStyle w:val="EndnoteText"/>
        <w:spacing w:before="60"/>
        <w:ind w:left="547" w:hanging="547"/>
      </w:pPr>
      <w:r>
        <w:rPr>
          <w:rStyle w:val="EndnoteReference"/>
        </w:rPr>
        <w:endnoteRef/>
      </w:r>
      <w:r>
        <w:t xml:space="preserve"> </w:t>
      </w:r>
      <w:r>
        <w:tab/>
      </w:r>
      <w:r>
        <w:rPr>
          <w:i/>
        </w:rPr>
        <w:t>Supra</w:t>
      </w:r>
      <w:r>
        <w:t xml:space="preserve">, endnote 28, Tab 13.2. </w:t>
      </w:r>
    </w:p>
  </w:endnote>
  <w:endnote w:id="36">
    <w:p w14:paraId="36DAB441" w14:textId="77777777" w:rsidR="0002718E" w:rsidRPr="00306D57" w:rsidRDefault="0002718E" w:rsidP="00667272">
      <w:pPr>
        <w:pStyle w:val="EndnoteText"/>
        <w:spacing w:before="60"/>
        <w:ind w:left="547" w:hanging="547"/>
      </w:pPr>
      <w:r>
        <w:rPr>
          <w:rStyle w:val="EndnoteReference"/>
        </w:rPr>
        <w:endnoteRef/>
      </w:r>
      <w:r>
        <w:t xml:space="preserve"> </w:t>
      </w:r>
      <w:r>
        <w:tab/>
        <w:t>Recording of the hearing, at approximately 00:09:00 and 00:42:30.</w:t>
      </w:r>
    </w:p>
  </w:endnote>
  <w:endnote w:id="37">
    <w:p w14:paraId="7F41E2A6" w14:textId="4B16D513" w:rsidR="0002718E" w:rsidRPr="00B55ED1" w:rsidRDefault="0002718E" w:rsidP="00667272">
      <w:pPr>
        <w:pStyle w:val="EndnoteText"/>
        <w:spacing w:before="60"/>
        <w:ind w:left="547" w:hanging="547"/>
      </w:pPr>
      <w:r>
        <w:rPr>
          <w:rStyle w:val="EndnoteReference"/>
        </w:rPr>
        <w:endnoteRef/>
      </w:r>
      <w:r>
        <w:t xml:space="preserve"> </w:t>
      </w:r>
      <w:r>
        <w:tab/>
        <w:t>NDP on Brazil, July 31, 2020, Tab </w:t>
      </w:r>
      <w:r>
        <w:rPr>
          <w:rFonts w:ascii="Times New Roman" w:hAnsi="Times New Roman"/>
        </w:rPr>
        <w:t xml:space="preserve">7.10: </w:t>
      </w:r>
      <w:r w:rsidRPr="007C3189">
        <w:rPr>
          <w:rFonts w:ascii="Times New Roman" w:hAnsi="Times New Roman"/>
        </w:rPr>
        <w:t>Brazil. 2020 Crime and Safety Report:</w:t>
      </w:r>
      <w:r w:rsidRPr="006C66A3">
        <w:rPr>
          <w:rFonts w:ascii="Times New Roman" w:hAnsi="Times New Roman"/>
        </w:rPr>
        <w:t xml:space="preserve"> Brasília</w:t>
      </w:r>
      <w:r>
        <w:rPr>
          <w:rFonts w:ascii="Times New Roman" w:hAnsi="Times New Roman"/>
        </w:rPr>
        <w:t>, United States. Overseas Security Advisory Council. May 13, 2020, p. 1.</w:t>
      </w:r>
    </w:p>
  </w:endnote>
  <w:endnote w:id="38">
    <w:p w14:paraId="1DA0ED9F" w14:textId="77777777" w:rsidR="007E165C" w:rsidRDefault="007E165C" w:rsidP="008B5BDA">
      <w:pPr>
        <w:pStyle w:val="EndnoteText"/>
        <w:spacing w:before="60"/>
        <w:ind w:left="547" w:hanging="547"/>
      </w:pPr>
      <w:r>
        <w:rPr>
          <w:rStyle w:val="EndnoteReference"/>
        </w:rPr>
        <w:endnoteRef/>
      </w:r>
      <w:r>
        <w:t xml:space="preserve"> </w:t>
      </w:r>
      <w:r>
        <w:tab/>
        <w:t>Recording of hearing, at approximately 00:08:00 and 00:40:45.</w:t>
      </w:r>
    </w:p>
  </w:endnote>
  <w:endnote w:id="39">
    <w:p w14:paraId="41C8B538" w14:textId="77777777" w:rsidR="0002718E" w:rsidRPr="00306D57" w:rsidRDefault="0002718E" w:rsidP="00667272">
      <w:pPr>
        <w:pStyle w:val="EndnoteText"/>
        <w:spacing w:before="60"/>
        <w:ind w:left="547" w:hanging="547"/>
      </w:pPr>
      <w:r>
        <w:rPr>
          <w:rStyle w:val="EndnoteReference"/>
        </w:rPr>
        <w:endnoteRef/>
      </w:r>
      <w:r>
        <w:t xml:space="preserve"> </w:t>
      </w:r>
      <w:r>
        <w:tab/>
        <w:t>Recording of hearing, at approximately 00:08:00.</w:t>
      </w:r>
    </w:p>
  </w:endnote>
  <w:endnote w:id="40">
    <w:p w14:paraId="4BDCF19F" w14:textId="77777777" w:rsidR="0002718E" w:rsidRPr="00306D57" w:rsidRDefault="0002718E" w:rsidP="00667272">
      <w:pPr>
        <w:pStyle w:val="EndnoteText"/>
        <w:spacing w:before="60"/>
        <w:ind w:left="547" w:hanging="547"/>
      </w:pPr>
      <w:r>
        <w:rPr>
          <w:rStyle w:val="EndnoteReference"/>
        </w:rPr>
        <w:endnoteRef/>
      </w:r>
      <w:r>
        <w:t xml:space="preserve"> </w:t>
      </w:r>
      <w:r>
        <w:tab/>
        <w:t>Recording of hearing, at approximately 00:10:15.</w:t>
      </w:r>
    </w:p>
  </w:endnote>
  <w:endnote w:id="41">
    <w:p w14:paraId="762E3727" w14:textId="77777777" w:rsidR="0002718E" w:rsidRPr="002E43EE" w:rsidRDefault="0002718E" w:rsidP="00667272">
      <w:pPr>
        <w:pStyle w:val="EndnoteText"/>
        <w:spacing w:before="60"/>
        <w:ind w:left="547" w:hanging="547"/>
      </w:pPr>
      <w:r>
        <w:rPr>
          <w:rStyle w:val="EndnoteReference"/>
        </w:rPr>
        <w:endnoteRef/>
      </w:r>
      <w:r>
        <w:t xml:space="preserve"> </w:t>
      </w:r>
      <w:r>
        <w:tab/>
        <w:t>Recording of hearing, between approximately 00:34:25 and 00:36:30.</w:t>
      </w:r>
    </w:p>
  </w:endnote>
  <w:endnote w:id="42">
    <w:p w14:paraId="6606BD90" w14:textId="77777777" w:rsidR="0002718E" w:rsidRPr="0059758A" w:rsidRDefault="0002718E" w:rsidP="00667272">
      <w:pPr>
        <w:pStyle w:val="EndnoteText"/>
        <w:spacing w:before="60"/>
        <w:ind w:left="547" w:hanging="547"/>
      </w:pPr>
      <w:r>
        <w:rPr>
          <w:rStyle w:val="EndnoteReference"/>
        </w:rPr>
        <w:endnoteRef/>
      </w:r>
      <w:r>
        <w:t xml:space="preserve"> </w:t>
      </w:r>
      <w:r>
        <w:tab/>
      </w:r>
      <w:r>
        <w:rPr>
          <w:i/>
        </w:rPr>
        <w:t>Supra</w:t>
      </w:r>
      <w:r>
        <w:t>, endnote 1, BOC Form, question 2(g), p. 27.</w:t>
      </w:r>
    </w:p>
  </w:endnote>
  <w:endnote w:id="43">
    <w:p w14:paraId="2BA33AD2" w14:textId="2FCAA983" w:rsidR="0002718E" w:rsidRPr="00A12616" w:rsidRDefault="0002718E" w:rsidP="00667272">
      <w:pPr>
        <w:pStyle w:val="EndnoteText"/>
        <w:spacing w:before="60"/>
        <w:ind w:left="547" w:hanging="547"/>
      </w:pPr>
      <w:r>
        <w:rPr>
          <w:rStyle w:val="EndnoteReference"/>
        </w:rPr>
        <w:endnoteRef/>
      </w:r>
      <w:r>
        <w:t xml:space="preserve"> </w:t>
      </w:r>
      <w:r>
        <w:tab/>
      </w:r>
      <w:r>
        <w:rPr>
          <w:i/>
        </w:rPr>
        <w:t>Supra</w:t>
      </w:r>
      <w:r>
        <w:t>, endnote 24, NDP on Haiti, March 31, 2020</w:t>
      </w:r>
      <w:r>
        <w:rPr>
          <w:i/>
        </w:rPr>
        <w:t xml:space="preserve">, </w:t>
      </w:r>
      <w:r>
        <w:t>Tab 14.</w:t>
      </w:r>
      <w:r>
        <w:rPr>
          <w:rFonts w:ascii="Times New Roman" w:hAnsi="Times New Roman"/>
        </w:rPr>
        <w:t>16.</w:t>
      </w:r>
    </w:p>
  </w:endnote>
  <w:endnote w:id="44">
    <w:p w14:paraId="30144748" w14:textId="50CD04A6" w:rsidR="0002718E" w:rsidRPr="00A12616" w:rsidRDefault="0002718E" w:rsidP="00667272">
      <w:pPr>
        <w:pStyle w:val="EndnoteText"/>
        <w:spacing w:before="60"/>
        <w:ind w:left="547" w:hanging="547"/>
      </w:pPr>
      <w:r>
        <w:rPr>
          <w:rStyle w:val="EndnoteReference"/>
        </w:rPr>
        <w:endnoteRef/>
      </w:r>
      <w:r>
        <w:t xml:space="preserve"> </w:t>
      </w:r>
      <w:r>
        <w:tab/>
        <w:t>SPR</w:t>
      </w:r>
      <w:r w:rsidR="00F21F52">
        <w:noBreakHyphen/>
      </w:r>
      <w:r>
        <w:t>1, RPD record, IMM5669, Schedule A – Background/Declaration, Question 8, p. 118.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1" w:type="pct"/>
      <w:jc w:val="center"/>
      <w:tblLayout w:type="fixed"/>
      <w:tblCellMar>
        <w:left w:w="0" w:type="dxa"/>
        <w:right w:w="0" w:type="dxa"/>
      </w:tblCellMar>
      <w:tblLook w:val="01E0" w:firstRow="1" w:lastRow="1" w:firstColumn="1" w:lastColumn="1" w:noHBand="0" w:noVBand="0"/>
    </w:tblPr>
    <w:tblGrid>
      <w:gridCol w:w="4027"/>
      <w:gridCol w:w="406"/>
      <w:gridCol w:w="4760"/>
    </w:tblGrid>
    <w:sdt>
      <w:sdtPr>
        <w:id w:val="-732855932"/>
        <w:docPartObj>
          <w:docPartGallery w:val="Page Numbers (Bottom of Page)"/>
          <w:docPartUnique/>
        </w:docPartObj>
      </w:sdtPr>
      <w:sdtEndPr>
        <w:rPr>
          <w:noProof/>
        </w:rPr>
      </w:sdtEndPr>
      <w:sdtContent>
        <w:tr w:rsidR="00E90368" w:rsidRPr="00471164" w14:paraId="29FB98FA" w14:textId="77777777" w:rsidTr="00EF6796">
          <w:trPr>
            <w:trHeight w:val="370"/>
            <w:jc w:val="center"/>
          </w:trPr>
          <w:tc>
            <w:tcPr>
              <w:tcW w:w="4027" w:type="dxa"/>
              <w:shd w:val="clear" w:color="auto" w:fill="auto"/>
              <w:noWrap/>
            </w:tcPr>
            <w:p w14:paraId="62BEAFBF" w14:textId="77777777" w:rsidR="00E90368" w:rsidRPr="00F21F52" w:rsidRDefault="00E90368" w:rsidP="00AD2BAC">
              <w:pPr>
                <w:spacing w:before="0" w:after="0"/>
                <w:rPr>
                  <w:noProof/>
                  <w:sz w:val="20"/>
                  <w:lang w:val="fr-CA"/>
                </w:rPr>
              </w:pPr>
              <w:r w:rsidRPr="00F21F52">
                <w:rPr>
                  <w:sz w:val="20"/>
                  <w:lang w:val="fr-CA"/>
                </w:rPr>
                <w:t>RAD.25.02 (January 2020)</w:t>
              </w:r>
            </w:p>
            <w:p w14:paraId="48691824" w14:textId="77777777" w:rsidR="00E90368" w:rsidRPr="00F21F52" w:rsidRDefault="00E90368" w:rsidP="00AD2BAC">
              <w:pPr>
                <w:spacing w:before="0" w:after="0"/>
                <w:rPr>
                  <w:lang w:val="fr-CA"/>
                </w:rPr>
              </w:pPr>
              <w:r w:rsidRPr="00F21F52">
                <w:rPr>
                  <w:i/>
                  <w:sz w:val="20"/>
                  <w:lang w:val="fr-CA"/>
                </w:rPr>
                <w:t>Disponible en français</w:t>
              </w:r>
              <w:r w:rsidRPr="00F21F52">
                <w:rPr>
                  <w:lang w:val="fr-CA"/>
                </w:rPr>
                <w:t xml:space="preserve"> </w:t>
              </w:r>
            </w:p>
          </w:tc>
          <w:tc>
            <w:tcPr>
              <w:tcW w:w="406" w:type="dxa"/>
            </w:tcPr>
            <w:p w14:paraId="02CFEA2F" w14:textId="41C23468" w:rsidR="00E90368" w:rsidRPr="00471164" w:rsidRDefault="00E90368" w:rsidP="00AD2BAC">
              <w:pPr>
                <w:tabs>
                  <w:tab w:val="left" w:pos="195"/>
                </w:tabs>
                <w:spacing w:before="0" w:after="0"/>
                <w:jc w:val="center"/>
                <w:rPr>
                  <w:noProof/>
                  <w:sz w:val="20"/>
                </w:rPr>
              </w:pPr>
              <w:r>
                <w:fldChar w:fldCharType="begin"/>
              </w:r>
              <w:r>
                <w:instrText xml:space="preserve"> PAGE   \* MERGEFORMAT </w:instrText>
              </w:r>
              <w:r>
                <w:fldChar w:fldCharType="separate"/>
              </w:r>
              <w:r w:rsidR="00255134">
                <w:rPr>
                  <w:noProof/>
                </w:rPr>
                <w:t>3</w:t>
              </w:r>
              <w:r>
                <w:fldChar w:fldCharType="end"/>
              </w:r>
            </w:p>
          </w:tc>
          <w:tc>
            <w:tcPr>
              <w:tcW w:w="4760" w:type="dxa"/>
              <w:shd w:val="clear" w:color="auto" w:fill="auto"/>
              <w:noWrap/>
            </w:tcPr>
            <w:p w14:paraId="7D57BD06" w14:textId="77777777" w:rsidR="00E90368" w:rsidRPr="00471164" w:rsidRDefault="00E90368" w:rsidP="00D54067">
              <w:pPr>
                <w:spacing w:before="0" w:after="0"/>
                <w:jc w:val="right"/>
                <w:rPr>
                  <w:noProof/>
                  <w:sz w:val="20"/>
                </w:rPr>
              </w:pPr>
              <w:r>
                <w:rPr>
                  <w:noProof/>
                  <w:sz w:val="20"/>
                  <w:lang w:val="fr-CA" w:eastAsia="fr-CA"/>
                </w:rPr>
                <w:drawing>
                  <wp:anchor distT="0" distB="0" distL="114300" distR="114300" simplePos="0" relativeHeight="251663360" behindDoc="1" locked="1" layoutInCell="1" allowOverlap="0" wp14:anchorId="3E5BDFE0" wp14:editId="65A869DE">
                    <wp:simplePos x="6130776" y="9272875"/>
                    <wp:positionH relativeFrom="margin">
                      <wp:align>right</wp:align>
                    </wp:positionH>
                    <wp:positionV relativeFrom="bottomMargin">
                      <wp:align>inside</wp:align>
                    </wp:positionV>
                    <wp:extent cx="813816" cy="237744"/>
                    <wp:effectExtent l="0" t="0" r="571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sdtContent>
    </w:sdt>
  </w:tbl>
  <w:p w14:paraId="34287AB9" w14:textId="77777777" w:rsidR="00E90368" w:rsidRPr="00EF6796" w:rsidRDefault="00E90368" w:rsidP="00120A49">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E90368" w:rsidRPr="00755312" w14:paraId="58A95940" w14:textId="77777777" w:rsidTr="00780EAD">
      <w:trPr>
        <w:jc w:val="center"/>
      </w:trPr>
      <w:tc>
        <w:tcPr>
          <w:tcW w:w="4323" w:type="dxa"/>
          <w:shd w:val="clear" w:color="auto" w:fill="auto"/>
          <w:noWrap/>
        </w:tcPr>
        <w:p w14:paraId="5A56040F" w14:textId="77777777" w:rsidR="00E90368" w:rsidRPr="00532AFB" w:rsidRDefault="00E90368" w:rsidP="00120A49">
          <w:pPr>
            <w:spacing w:before="0" w:after="0"/>
            <w:rPr>
              <w:noProof/>
              <w:sz w:val="20"/>
              <w:lang w:val="fr-CA"/>
            </w:rPr>
          </w:pPr>
          <w:r w:rsidRPr="00532AFB">
            <w:rPr>
              <w:sz w:val="20"/>
              <w:lang w:val="fr-CA"/>
            </w:rPr>
            <w:t>RAD.25.02 (January 2020)</w:t>
          </w:r>
        </w:p>
        <w:p w14:paraId="30E6A258" w14:textId="77777777" w:rsidR="00E90368" w:rsidRPr="00532AFB" w:rsidRDefault="00E90368" w:rsidP="00120A49">
          <w:pPr>
            <w:spacing w:before="0" w:after="0"/>
            <w:rPr>
              <w:i/>
              <w:noProof/>
              <w:sz w:val="20"/>
              <w:lang w:val="fr-CA"/>
            </w:rPr>
          </w:pPr>
          <w:r w:rsidRPr="00532AFB">
            <w:rPr>
              <w:i/>
              <w:sz w:val="20"/>
              <w:lang w:val="fr-CA"/>
            </w:rPr>
            <w:t>Disponible en français</w:t>
          </w:r>
        </w:p>
      </w:tc>
      <w:tc>
        <w:tcPr>
          <w:tcW w:w="5037" w:type="dxa"/>
          <w:shd w:val="clear" w:color="auto" w:fill="auto"/>
          <w:noWrap/>
        </w:tcPr>
        <w:p w14:paraId="1AEEDD37" w14:textId="77777777" w:rsidR="00E90368" w:rsidRPr="00532AFB" w:rsidRDefault="00E90368" w:rsidP="00120A49">
          <w:pPr>
            <w:spacing w:before="0" w:after="0"/>
            <w:jc w:val="right"/>
            <w:rPr>
              <w:noProof/>
              <w:sz w:val="20"/>
              <w:lang w:val="fr-CA"/>
            </w:rPr>
          </w:pPr>
          <w:r w:rsidRPr="00F21F52">
            <w:rPr>
              <w:noProof/>
              <w:sz w:val="20"/>
              <w:lang w:eastAsia="fr-CA"/>
            </w:rPr>
            <w:drawing>
              <wp:anchor distT="0" distB="0" distL="114300" distR="114300" simplePos="0" relativeHeight="251659264" behindDoc="1" locked="1" layoutInCell="1" allowOverlap="0" wp14:anchorId="149D2EEB" wp14:editId="6D1D9F32">
                <wp:simplePos x="6130776" y="9272875"/>
                <wp:positionH relativeFrom="margin">
                  <wp:align>right</wp:align>
                </wp:positionH>
                <wp:positionV relativeFrom="bottomMargin">
                  <wp:align>inside</wp:align>
                </wp:positionV>
                <wp:extent cx="813816" cy="237744"/>
                <wp:effectExtent l="0" t="0" r="571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3D1D705" w14:textId="77777777" w:rsidR="00E90368" w:rsidRPr="00F21F52" w:rsidRDefault="00E90368">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B9BF" w14:textId="77777777" w:rsidR="00C06E79" w:rsidRDefault="00C06E79" w:rsidP="00E619B7">
      <w:pPr>
        <w:spacing w:before="0" w:after="0"/>
      </w:pPr>
      <w:r>
        <w:separator/>
      </w:r>
    </w:p>
  </w:footnote>
  <w:footnote w:type="continuationSeparator" w:id="0">
    <w:p w14:paraId="67785FBA" w14:textId="77777777" w:rsidR="00C06E79" w:rsidRDefault="00C06E79" w:rsidP="00E619B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5814" w14:textId="5D90AD9B" w:rsidR="00E90368" w:rsidRPr="00F21F52" w:rsidRDefault="00E90368" w:rsidP="003F63F7">
    <w:pPr>
      <w:pStyle w:val="Header"/>
      <w:jc w:val="right"/>
      <w:rPr>
        <w:rFonts w:ascii="Times New Roman" w:hAnsi="Times New Roman"/>
        <w:b/>
        <w:sz w:val="22"/>
        <w:szCs w:val="22"/>
        <w:lang w:val="fr-CA"/>
      </w:rPr>
    </w:pPr>
    <w:r w:rsidRPr="00F21F52">
      <w:rPr>
        <w:rFonts w:ascii="Times New Roman" w:hAnsi="Times New Roman"/>
        <w:b/>
        <w:sz w:val="22"/>
        <w:lang w:val="es-419"/>
      </w:rPr>
      <w:t>RAD File No. / N</w:t>
    </w:r>
    <w:r w:rsidRPr="00F21F52">
      <w:rPr>
        <w:rFonts w:ascii="Times New Roman" w:hAnsi="Times New Roman"/>
        <w:b/>
        <w:sz w:val="22"/>
        <w:vertAlign w:val="superscript"/>
        <w:lang w:val="es-419"/>
      </w:rPr>
      <w:t>o</w:t>
    </w:r>
    <w:r w:rsidRPr="00F21F52">
      <w:rPr>
        <w:rFonts w:ascii="Times New Roman" w:hAnsi="Times New Roman"/>
        <w:b/>
        <w:sz w:val="22"/>
        <w:lang w:val="es-419"/>
      </w:rPr>
      <w:t xml:space="preserve"> de dossier de la SAR : MB9</w:t>
    </w:r>
    <w:r w:rsidR="00F21F52">
      <w:rPr>
        <w:rFonts w:ascii="Times New Roman" w:hAnsi="Times New Roman"/>
        <w:b/>
        <w:sz w:val="22"/>
        <w:lang w:val="fr-CA"/>
      </w:rPr>
      <w:noBreakHyphen/>
    </w:r>
    <w:r w:rsidRPr="00F21F52">
      <w:rPr>
        <w:rFonts w:ascii="Times New Roman" w:hAnsi="Times New Roman"/>
        <w:b/>
        <w:sz w:val="22"/>
        <w:lang w:val="es-419"/>
      </w:rPr>
      <w:t>07273</w:t>
    </w:r>
  </w:p>
  <w:p w14:paraId="37CACD95" w14:textId="3044E520" w:rsidR="00E90368" w:rsidRPr="00F21F52" w:rsidRDefault="00E90368" w:rsidP="003F63F7">
    <w:pPr>
      <w:pStyle w:val="Header"/>
      <w:jc w:val="right"/>
      <w:rPr>
        <w:rFonts w:ascii="Times New Roman" w:hAnsi="Times New Roman"/>
        <w:b/>
        <w:sz w:val="22"/>
        <w:szCs w:val="22"/>
      </w:rPr>
    </w:pPr>
    <w:r w:rsidRPr="00F21F52">
      <w:rPr>
        <w:rFonts w:ascii="Times New Roman" w:hAnsi="Times New Roman"/>
        <w:b/>
        <w:sz w:val="22"/>
      </w:rPr>
      <w:t>MB9</w:t>
    </w:r>
    <w:r w:rsidR="00F21F52">
      <w:rPr>
        <w:rFonts w:ascii="Times New Roman" w:hAnsi="Times New Roman"/>
        <w:b/>
        <w:sz w:val="22"/>
      </w:rPr>
      <w:noBreakHyphen/>
    </w:r>
    <w:r w:rsidRPr="00F21F52">
      <w:rPr>
        <w:rFonts w:ascii="Times New Roman" w:hAnsi="Times New Roman"/>
        <w:b/>
        <w:sz w:val="22"/>
      </w:rPr>
      <w:t>07274</w:t>
    </w:r>
  </w:p>
  <w:p w14:paraId="7A3DB08E" w14:textId="77777777" w:rsidR="00E90368" w:rsidRPr="00F21F52" w:rsidRDefault="00E90368" w:rsidP="00280082">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jc w:val="center"/>
      <w:tblLayout w:type="fixed"/>
      <w:tblCellMar>
        <w:left w:w="0" w:type="dxa"/>
        <w:right w:w="0" w:type="dxa"/>
      </w:tblCellMar>
      <w:tblLook w:val="04A0" w:firstRow="1" w:lastRow="0" w:firstColumn="1" w:lastColumn="0" w:noHBand="0" w:noVBand="1"/>
    </w:tblPr>
    <w:tblGrid>
      <w:gridCol w:w="3119"/>
      <w:gridCol w:w="3120"/>
      <w:gridCol w:w="3259"/>
    </w:tblGrid>
    <w:tr w:rsidR="00880C23" w:rsidRPr="00F21F52" w14:paraId="35195877" w14:textId="1925791E" w:rsidTr="00880C23">
      <w:trPr>
        <w:trHeight w:val="1134"/>
        <w:jc w:val="center"/>
      </w:trPr>
      <w:tc>
        <w:tcPr>
          <w:tcW w:w="3119" w:type="dxa"/>
          <w:shd w:val="clear" w:color="auto" w:fill="auto"/>
        </w:tcPr>
        <w:p w14:paraId="5E777A59" w14:textId="77777777" w:rsidR="00880C23" w:rsidRPr="00F21F52" w:rsidRDefault="00880C23" w:rsidP="00880C23">
          <w:pPr>
            <w:spacing w:after="0"/>
            <w:jc w:val="left"/>
            <w:rPr>
              <w:rFonts w:cs="Times New Roman"/>
              <w:sz w:val="22"/>
              <w:szCs w:val="22"/>
            </w:rPr>
          </w:pPr>
          <w:r w:rsidRPr="00F21F52">
            <w:rPr>
              <w:sz w:val="22"/>
              <w:lang w:eastAsia="en-CA"/>
            </w:rPr>
            <w:t>Immigration and Refugee</w:t>
          </w:r>
        </w:p>
        <w:p w14:paraId="289D9042" w14:textId="77777777" w:rsidR="00880C23" w:rsidRPr="00F21F52" w:rsidRDefault="00880C23" w:rsidP="00880C23">
          <w:pPr>
            <w:spacing w:before="0" w:after="240"/>
            <w:jc w:val="left"/>
            <w:rPr>
              <w:rFonts w:cs="Times New Roman"/>
              <w:sz w:val="22"/>
              <w:szCs w:val="22"/>
            </w:rPr>
          </w:pPr>
          <w:r w:rsidRPr="00F21F52">
            <w:rPr>
              <w:sz w:val="22"/>
              <w:lang w:eastAsia="en-CA"/>
            </w:rPr>
            <w:t>Board of Canada</w:t>
          </w:r>
        </w:p>
        <w:p w14:paraId="2F94A930" w14:textId="3FB40B58" w:rsidR="00880C23" w:rsidRPr="00F21F52" w:rsidRDefault="00880C23" w:rsidP="00880C23">
          <w:pPr>
            <w:spacing w:after="240"/>
            <w:jc w:val="left"/>
            <w:rPr>
              <w:rFonts w:cs="Times New Roman"/>
              <w:sz w:val="22"/>
              <w:szCs w:val="22"/>
            </w:rPr>
          </w:pPr>
          <w:r w:rsidRPr="00F21F52">
            <w:rPr>
              <w:b/>
              <w:sz w:val="22"/>
              <w:lang w:val="en-US" w:eastAsia="en-CA"/>
            </w:rPr>
            <w:t>Refugee Appeal Division</w:t>
          </w:r>
        </w:p>
      </w:tc>
      <w:tc>
        <w:tcPr>
          <w:tcW w:w="3120" w:type="dxa"/>
          <w:shd w:val="clear" w:color="auto" w:fill="auto"/>
        </w:tcPr>
        <w:p w14:paraId="752B6509" w14:textId="77777777" w:rsidR="00880C23" w:rsidRPr="00F21F52" w:rsidRDefault="00880C23" w:rsidP="00880C23">
          <w:pPr>
            <w:jc w:val="center"/>
            <w:rPr>
              <w:rFonts w:cs="Times New Roman"/>
              <w:sz w:val="22"/>
              <w:szCs w:val="22"/>
              <w:vertAlign w:val="subscript"/>
            </w:rPr>
          </w:pPr>
          <w:r w:rsidRPr="00F21F52">
            <w:rPr>
              <w:noProof/>
              <w:sz w:val="22"/>
              <w:lang w:val="fr-CA" w:eastAsia="fr-CA"/>
            </w:rPr>
            <w:drawing>
              <wp:anchor distT="0" distB="0" distL="114300" distR="114300" simplePos="0" relativeHeight="251675648" behindDoc="1" locked="0" layoutInCell="1" allowOverlap="1" wp14:anchorId="08F24D28" wp14:editId="5286B366">
                <wp:simplePos x="0" y="0"/>
                <wp:positionH relativeFrom="column">
                  <wp:align>center</wp:align>
                </wp:positionH>
                <wp:positionV relativeFrom="page">
                  <wp:align>top</wp:align>
                </wp:positionV>
                <wp:extent cx="603504" cy="740664"/>
                <wp:effectExtent l="0" t="0" r="6350" b="2540"/>
                <wp:wrapNone/>
                <wp:docPr id="4" name="Image 3"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59" w:type="dxa"/>
        </w:tcPr>
        <w:p w14:paraId="567628CA" w14:textId="77777777" w:rsidR="00880C23" w:rsidRPr="00F21F52" w:rsidRDefault="00880C23" w:rsidP="00880C23">
          <w:pPr>
            <w:spacing w:after="240"/>
            <w:jc w:val="right"/>
            <w:rPr>
              <w:rFonts w:cs="Times New Roman"/>
              <w:sz w:val="22"/>
              <w:szCs w:val="22"/>
              <w:lang w:val="fr-CA"/>
            </w:rPr>
          </w:pPr>
          <w:r w:rsidRPr="00F21F52">
            <w:rPr>
              <w:sz w:val="22"/>
              <w:lang w:val="fr-CA" w:eastAsia="en-CA"/>
            </w:rPr>
            <w:t>Commission de l’immigration</w:t>
          </w:r>
          <w:r w:rsidRPr="00F21F52">
            <w:rPr>
              <w:sz w:val="22"/>
              <w:lang w:val="fr-CA" w:eastAsia="en-CA"/>
            </w:rPr>
            <w:br/>
            <w:t>et du statut de réfugié du Canada</w:t>
          </w:r>
        </w:p>
        <w:p w14:paraId="133D4C4B" w14:textId="0E07B862" w:rsidR="00880C23" w:rsidRPr="00F21F52" w:rsidRDefault="00880C23" w:rsidP="00880C23">
          <w:pPr>
            <w:spacing w:after="0"/>
            <w:jc w:val="right"/>
            <w:rPr>
              <w:rFonts w:cs="Times New Roman"/>
              <w:sz w:val="22"/>
              <w:szCs w:val="22"/>
            </w:rPr>
          </w:pPr>
          <w:r w:rsidRPr="00F21F52">
            <w:rPr>
              <w:b/>
              <w:sz w:val="22"/>
              <w:lang w:val="fr-CA" w:eastAsia="en-CA"/>
            </w:rPr>
            <w:t>Section d’appel des réfugiés</w:t>
          </w:r>
        </w:p>
      </w:tc>
    </w:tr>
  </w:tbl>
  <w:p w14:paraId="28639696" w14:textId="77777777" w:rsidR="00E90368" w:rsidRPr="00F21F52" w:rsidRDefault="00E90368" w:rsidP="00E03B3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038"/>
    <w:multiLevelType w:val="hybridMultilevel"/>
    <w:tmpl w:val="578E6626"/>
    <w:lvl w:ilvl="0" w:tplc="C2A001D2">
      <w:start w:val="1"/>
      <w:numFmt w:val="decimal"/>
      <w:lvlText w:val="[%1]"/>
      <w:lvlJc w:val="left"/>
      <w:pPr>
        <w:ind w:left="775" w:hanging="360"/>
      </w:pPr>
      <w:rPr>
        <w:rFonts w:hint="default"/>
        <w:sz w:val="24"/>
        <w:szCs w:val="24"/>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31B75BE"/>
    <w:multiLevelType w:val="hybridMultilevel"/>
    <w:tmpl w:val="9A3A2472"/>
    <w:lvl w:ilvl="0" w:tplc="122EE1B8">
      <w:start w:val="1"/>
      <w:numFmt w:val="decimal"/>
      <w:lvlText w:val="[%1]"/>
      <w:lvlJc w:val="left"/>
      <w:pPr>
        <w:tabs>
          <w:tab w:val="num" w:pos="720"/>
        </w:tabs>
        <w:ind w:left="720" w:hanging="720"/>
      </w:pPr>
      <w:rPr>
        <w:rFonts w:hint="default"/>
        <w:b w:val="0"/>
        <w:sz w:val="24"/>
        <w:szCs w:val="24"/>
      </w:rPr>
    </w:lvl>
    <w:lvl w:ilvl="1" w:tplc="0C0C0001">
      <w:start w:val="1"/>
      <w:numFmt w:val="bullet"/>
      <w:lvlText w:val=""/>
      <w:lvlJc w:val="left"/>
      <w:pPr>
        <w:tabs>
          <w:tab w:val="num" w:pos="1440"/>
        </w:tabs>
        <w:ind w:left="1440" w:hanging="360"/>
      </w:pPr>
      <w:rPr>
        <w:rFonts w:ascii="Symbol" w:hAnsi="Symbol"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54A86"/>
    <w:multiLevelType w:val="hybridMultilevel"/>
    <w:tmpl w:val="EAB2772E"/>
    <w:lvl w:ilvl="0" w:tplc="73FE3554">
      <w:start w:val="1"/>
      <w:numFmt w:val="decimal"/>
      <w:lvlText w:val="[%1]"/>
      <w:lvlJc w:val="left"/>
      <w:pPr>
        <w:tabs>
          <w:tab w:val="num" w:pos="720"/>
        </w:tabs>
        <w:ind w:left="720" w:hanging="720"/>
      </w:pPr>
      <w:rPr>
        <w:rFonts w:hint="default"/>
        <w:b w:val="0"/>
        <w:i w:val="0"/>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6" w15:restartNumberingAfterBreak="0">
    <w:nsid w:val="7E5C6A12"/>
    <w:multiLevelType w:val="hybridMultilevel"/>
    <w:tmpl w:val="10FA900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 w:numId="6">
    <w:abstractNumId w:val="3"/>
  </w:num>
  <w:num w:numId="7">
    <w:abstractNumId w:val="2"/>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_description" w:val="Modèle de Motifs et décision"/>
    <w:docVar w:name="doc_lang" w:val="fr"/>
    <w:docVar w:name="doc_ref" w:val="Rad.25.02"/>
    <w:docVar w:name="file_no" w:val="MB9-07273"/>
    <w:docVar w:name="production_date" w:val="2020-02-25"/>
    <w:docVar w:name="template_name" w:val="Rad.25.02.fr.dotm"/>
    <w:docVar w:name="template_path" w:val="C:\Users\marie-lyne.thibault\AppData\Local\OfficeNOVA\Resources.PROD\Templates\RAD"/>
    <w:docVar w:name="user_id" w:val="Marie-Lyne.Thibault"/>
  </w:docVars>
  <w:rsids>
    <w:rsidRoot w:val="008141C7"/>
    <w:rsid w:val="0000276E"/>
    <w:rsid w:val="00002EFD"/>
    <w:rsid w:val="0002374D"/>
    <w:rsid w:val="0002439C"/>
    <w:rsid w:val="0002718E"/>
    <w:rsid w:val="00032CFD"/>
    <w:rsid w:val="00042948"/>
    <w:rsid w:val="000449EE"/>
    <w:rsid w:val="00052BFF"/>
    <w:rsid w:val="000545BA"/>
    <w:rsid w:val="00077E64"/>
    <w:rsid w:val="00080D83"/>
    <w:rsid w:val="00085079"/>
    <w:rsid w:val="00096345"/>
    <w:rsid w:val="000B333C"/>
    <w:rsid w:val="000B54D2"/>
    <w:rsid w:val="000C4934"/>
    <w:rsid w:val="000D15FD"/>
    <w:rsid w:val="000D1A48"/>
    <w:rsid w:val="000D1D22"/>
    <w:rsid w:val="000E00D3"/>
    <w:rsid w:val="000E415A"/>
    <w:rsid w:val="000F2F2C"/>
    <w:rsid w:val="000F7769"/>
    <w:rsid w:val="0010274B"/>
    <w:rsid w:val="001036BC"/>
    <w:rsid w:val="00110671"/>
    <w:rsid w:val="00117A5F"/>
    <w:rsid w:val="00120A49"/>
    <w:rsid w:val="00124CD2"/>
    <w:rsid w:val="001309E0"/>
    <w:rsid w:val="00131969"/>
    <w:rsid w:val="001319FF"/>
    <w:rsid w:val="00131F56"/>
    <w:rsid w:val="001421F8"/>
    <w:rsid w:val="001526C6"/>
    <w:rsid w:val="00152E2B"/>
    <w:rsid w:val="00164EFC"/>
    <w:rsid w:val="00165E58"/>
    <w:rsid w:val="0017131A"/>
    <w:rsid w:val="001728B7"/>
    <w:rsid w:val="00192FC8"/>
    <w:rsid w:val="001945BE"/>
    <w:rsid w:val="001A37F4"/>
    <w:rsid w:val="001B61F9"/>
    <w:rsid w:val="001C1559"/>
    <w:rsid w:val="001D4AFA"/>
    <w:rsid w:val="001E1728"/>
    <w:rsid w:val="001E1730"/>
    <w:rsid w:val="001E3145"/>
    <w:rsid w:val="001F532A"/>
    <w:rsid w:val="001F5CFB"/>
    <w:rsid w:val="00202F11"/>
    <w:rsid w:val="00216037"/>
    <w:rsid w:val="00223B1B"/>
    <w:rsid w:val="00232B73"/>
    <w:rsid w:val="0024398A"/>
    <w:rsid w:val="002522CA"/>
    <w:rsid w:val="00255134"/>
    <w:rsid w:val="002626F4"/>
    <w:rsid w:val="00280082"/>
    <w:rsid w:val="002B2393"/>
    <w:rsid w:val="002B4B7F"/>
    <w:rsid w:val="002C1A79"/>
    <w:rsid w:val="002C3207"/>
    <w:rsid w:val="002D046C"/>
    <w:rsid w:val="002E312E"/>
    <w:rsid w:val="002E35D2"/>
    <w:rsid w:val="002E43EE"/>
    <w:rsid w:val="002F354F"/>
    <w:rsid w:val="002F48DB"/>
    <w:rsid w:val="00306D57"/>
    <w:rsid w:val="003208D5"/>
    <w:rsid w:val="003254FB"/>
    <w:rsid w:val="00326059"/>
    <w:rsid w:val="00327C10"/>
    <w:rsid w:val="0033485B"/>
    <w:rsid w:val="00345AB6"/>
    <w:rsid w:val="00357E20"/>
    <w:rsid w:val="00357E59"/>
    <w:rsid w:val="00380DF3"/>
    <w:rsid w:val="00385CA1"/>
    <w:rsid w:val="003A2F9B"/>
    <w:rsid w:val="003A4F3D"/>
    <w:rsid w:val="003A78A7"/>
    <w:rsid w:val="003B4500"/>
    <w:rsid w:val="003B6507"/>
    <w:rsid w:val="003B74A3"/>
    <w:rsid w:val="003C36C1"/>
    <w:rsid w:val="003C69DE"/>
    <w:rsid w:val="003D0A89"/>
    <w:rsid w:val="003E0F5B"/>
    <w:rsid w:val="003E2541"/>
    <w:rsid w:val="003E3DD3"/>
    <w:rsid w:val="003E4B51"/>
    <w:rsid w:val="003F08CF"/>
    <w:rsid w:val="003F63F7"/>
    <w:rsid w:val="004015C7"/>
    <w:rsid w:val="00405B03"/>
    <w:rsid w:val="00410062"/>
    <w:rsid w:val="00423E37"/>
    <w:rsid w:val="00424569"/>
    <w:rsid w:val="004247C6"/>
    <w:rsid w:val="00427612"/>
    <w:rsid w:val="0043022D"/>
    <w:rsid w:val="004368A7"/>
    <w:rsid w:val="00445805"/>
    <w:rsid w:val="00445FE7"/>
    <w:rsid w:val="00447659"/>
    <w:rsid w:val="00454D65"/>
    <w:rsid w:val="0045604C"/>
    <w:rsid w:val="004661D3"/>
    <w:rsid w:val="00467848"/>
    <w:rsid w:val="00476D21"/>
    <w:rsid w:val="004B35CE"/>
    <w:rsid w:val="004B551E"/>
    <w:rsid w:val="004D2B8C"/>
    <w:rsid w:val="004D5093"/>
    <w:rsid w:val="004D5697"/>
    <w:rsid w:val="004E3523"/>
    <w:rsid w:val="004E493D"/>
    <w:rsid w:val="004E7AF2"/>
    <w:rsid w:val="004F7D79"/>
    <w:rsid w:val="00504007"/>
    <w:rsid w:val="00507F60"/>
    <w:rsid w:val="005138C7"/>
    <w:rsid w:val="005241ED"/>
    <w:rsid w:val="00531C73"/>
    <w:rsid w:val="00531CC3"/>
    <w:rsid w:val="00532AFB"/>
    <w:rsid w:val="00542207"/>
    <w:rsid w:val="00542640"/>
    <w:rsid w:val="005452A7"/>
    <w:rsid w:val="0055507F"/>
    <w:rsid w:val="00560A1A"/>
    <w:rsid w:val="00574BC9"/>
    <w:rsid w:val="00576800"/>
    <w:rsid w:val="00583903"/>
    <w:rsid w:val="005868D8"/>
    <w:rsid w:val="00587FCF"/>
    <w:rsid w:val="00592679"/>
    <w:rsid w:val="0059758A"/>
    <w:rsid w:val="005A5E0D"/>
    <w:rsid w:val="005A6DBD"/>
    <w:rsid w:val="005B4CC4"/>
    <w:rsid w:val="005C1E6D"/>
    <w:rsid w:val="005C29C9"/>
    <w:rsid w:val="005C3C8A"/>
    <w:rsid w:val="005C72B5"/>
    <w:rsid w:val="005E0902"/>
    <w:rsid w:val="005F10D2"/>
    <w:rsid w:val="005F13BF"/>
    <w:rsid w:val="00602947"/>
    <w:rsid w:val="00605D3A"/>
    <w:rsid w:val="00607C87"/>
    <w:rsid w:val="00610457"/>
    <w:rsid w:val="00630DE2"/>
    <w:rsid w:val="00631F2C"/>
    <w:rsid w:val="00632D06"/>
    <w:rsid w:val="00636911"/>
    <w:rsid w:val="0063699C"/>
    <w:rsid w:val="00637385"/>
    <w:rsid w:val="00641F0D"/>
    <w:rsid w:val="006420EB"/>
    <w:rsid w:val="006475E9"/>
    <w:rsid w:val="0065042E"/>
    <w:rsid w:val="00663745"/>
    <w:rsid w:val="00667272"/>
    <w:rsid w:val="00671846"/>
    <w:rsid w:val="00691DE2"/>
    <w:rsid w:val="006A27CB"/>
    <w:rsid w:val="006A2C5F"/>
    <w:rsid w:val="006A5310"/>
    <w:rsid w:val="006A69AA"/>
    <w:rsid w:val="006A7781"/>
    <w:rsid w:val="006B734F"/>
    <w:rsid w:val="006C481A"/>
    <w:rsid w:val="006C66A3"/>
    <w:rsid w:val="006D3094"/>
    <w:rsid w:val="006D5818"/>
    <w:rsid w:val="006E7C0C"/>
    <w:rsid w:val="006F4B3A"/>
    <w:rsid w:val="00716058"/>
    <w:rsid w:val="007219C4"/>
    <w:rsid w:val="007237F6"/>
    <w:rsid w:val="00726407"/>
    <w:rsid w:val="00732AB1"/>
    <w:rsid w:val="0073333B"/>
    <w:rsid w:val="00734D92"/>
    <w:rsid w:val="00740BAF"/>
    <w:rsid w:val="00743B41"/>
    <w:rsid w:val="00755312"/>
    <w:rsid w:val="0076450B"/>
    <w:rsid w:val="00765CCF"/>
    <w:rsid w:val="0076611E"/>
    <w:rsid w:val="007805DE"/>
    <w:rsid w:val="00780EAD"/>
    <w:rsid w:val="00782CAD"/>
    <w:rsid w:val="00783B76"/>
    <w:rsid w:val="0079417E"/>
    <w:rsid w:val="00794334"/>
    <w:rsid w:val="00796AFC"/>
    <w:rsid w:val="007A13F1"/>
    <w:rsid w:val="007A594A"/>
    <w:rsid w:val="007B1417"/>
    <w:rsid w:val="007B2DD0"/>
    <w:rsid w:val="007B631E"/>
    <w:rsid w:val="007C3189"/>
    <w:rsid w:val="007C33FC"/>
    <w:rsid w:val="007D0D35"/>
    <w:rsid w:val="007D2430"/>
    <w:rsid w:val="007E165C"/>
    <w:rsid w:val="007E372D"/>
    <w:rsid w:val="007F5CA4"/>
    <w:rsid w:val="0080557C"/>
    <w:rsid w:val="008141C7"/>
    <w:rsid w:val="00820B86"/>
    <w:rsid w:val="00836423"/>
    <w:rsid w:val="00841919"/>
    <w:rsid w:val="00876FC9"/>
    <w:rsid w:val="00880C23"/>
    <w:rsid w:val="00881AFB"/>
    <w:rsid w:val="008855D1"/>
    <w:rsid w:val="008946B0"/>
    <w:rsid w:val="00895CA2"/>
    <w:rsid w:val="008A3CDE"/>
    <w:rsid w:val="008B5BDA"/>
    <w:rsid w:val="008B5E77"/>
    <w:rsid w:val="008B71DC"/>
    <w:rsid w:val="008C1346"/>
    <w:rsid w:val="008C4B27"/>
    <w:rsid w:val="008C5B3C"/>
    <w:rsid w:val="008C6AD6"/>
    <w:rsid w:val="008D4819"/>
    <w:rsid w:val="008D505D"/>
    <w:rsid w:val="008D5859"/>
    <w:rsid w:val="008E7B6B"/>
    <w:rsid w:val="008F37A7"/>
    <w:rsid w:val="008F5425"/>
    <w:rsid w:val="008F7771"/>
    <w:rsid w:val="00900F57"/>
    <w:rsid w:val="009041E5"/>
    <w:rsid w:val="00933444"/>
    <w:rsid w:val="0093457C"/>
    <w:rsid w:val="00934B27"/>
    <w:rsid w:val="00935241"/>
    <w:rsid w:val="00947006"/>
    <w:rsid w:val="009510D2"/>
    <w:rsid w:val="00961261"/>
    <w:rsid w:val="00961F77"/>
    <w:rsid w:val="009829BC"/>
    <w:rsid w:val="00984833"/>
    <w:rsid w:val="009859CF"/>
    <w:rsid w:val="009947F3"/>
    <w:rsid w:val="00997829"/>
    <w:rsid w:val="009978DA"/>
    <w:rsid w:val="009A0937"/>
    <w:rsid w:val="009A1303"/>
    <w:rsid w:val="009A3F3F"/>
    <w:rsid w:val="009B6542"/>
    <w:rsid w:val="009B76C5"/>
    <w:rsid w:val="009C2A43"/>
    <w:rsid w:val="009C56B1"/>
    <w:rsid w:val="009C739B"/>
    <w:rsid w:val="009C76A4"/>
    <w:rsid w:val="009D02BB"/>
    <w:rsid w:val="009F6A4C"/>
    <w:rsid w:val="00A031D6"/>
    <w:rsid w:val="00A07403"/>
    <w:rsid w:val="00A15E46"/>
    <w:rsid w:val="00A170E6"/>
    <w:rsid w:val="00A17A75"/>
    <w:rsid w:val="00A22E16"/>
    <w:rsid w:val="00A24F2E"/>
    <w:rsid w:val="00A3585D"/>
    <w:rsid w:val="00A42EBB"/>
    <w:rsid w:val="00A671D7"/>
    <w:rsid w:val="00A76F75"/>
    <w:rsid w:val="00A90256"/>
    <w:rsid w:val="00A91576"/>
    <w:rsid w:val="00A93FE5"/>
    <w:rsid w:val="00AA4C38"/>
    <w:rsid w:val="00AA71F8"/>
    <w:rsid w:val="00AC0484"/>
    <w:rsid w:val="00AC3AEC"/>
    <w:rsid w:val="00AC5058"/>
    <w:rsid w:val="00AC5A14"/>
    <w:rsid w:val="00AD2BAC"/>
    <w:rsid w:val="00AD4A31"/>
    <w:rsid w:val="00AE36DC"/>
    <w:rsid w:val="00AF23B7"/>
    <w:rsid w:val="00AF7FEF"/>
    <w:rsid w:val="00B00137"/>
    <w:rsid w:val="00B0044D"/>
    <w:rsid w:val="00B11835"/>
    <w:rsid w:val="00B1437D"/>
    <w:rsid w:val="00B143D2"/>
    <w:rsid w:val="00B16043"/>
    <w:rsid w:val="00B1716D"/>
    <w:rsid w:val="00B1768D"/>
    <w:rsid w:val="00B2078A"/>
    <w:rsid w:val="00B32CE2"/>
    <w:rsid w:val="00B35C91"/>
    <w:rsid w:val="00B55ED1"/>
    <w:rsid w:val="00B568D7"/>
    <w:rsid w:val="00B646B0"/>
    <w:rsid w:val="00B659A7"/>
    <w:rsid w:val="00B665EE"/>
    <w:rsid w:val="00B67EE1"/>
    <w:rsid w:val="00B80F4F"/>
    <w:rsid w:val="00B8534B"/>
    <w:rsid w:val="00B964AA"/>
    <w:rsid w:val="00B96D0F"/>
    <w:rsid w:val="00B9732F"/>
    <w:rsid w:val="00BA0362"/>
    <w:rsid w:val="00BA0572"/>
    <w:rsid w:val="00BA084F"/>
    <w:rsid w:val="00BC17F8"/>
    <w:rsid w:val="00BC258E"/>
    <w:rsid w:val="00BC70C8"/>
    <w:rsid w:val="00BD2D46"/>
    <w:rsid w:val="00BD2DC4"/>
    <w:rsid w:val="00BD456F"/>
    <w:rsid w:val="00BD7B69"/>
    <w:rsid w:val="00BE749D"/>
    <w:rsid w:val="00BF3DF7"/>
    <w:rsid w:val="00BF498E"/>
    <w:rsid w:val="00C0441E"/>
    <w:rsid w:val="00C06E79"/>
    <w:rsid w:val="00C108F1"/>
    <w:rsid w:val="00C12388"/>
    <w:rsid w:val="00C222A4"/>
    <w:rsid w:val="00C24EBF"/>
    <w:rsid w:val="00C2576E"/>
    <w:rsid w:val="00C26E5C"/>
    <w:rsid w:val="00C36187"/>
    <w:rsid w:val="00C47077"/>
    <w:rsid w:val="00C64BDE"/>
    <w:rsid w:val="00C67D62"/>
    <w:rsid w:val="00C8187F"/>
    <w:rsid w:val="00C850F5"/>
    <w:rsid w:val="00C86DFB"/>
    <w:rsid w:val="00C87B10"/>
    <w:rsid w:val="00C96A6D"/>
    <w:rsid w:val="00CA7DAD"/>
    <w:rsid w:val="00CB413D"/>
    <w:rsid w:val="00CB526B"/>
    <w:rsid w:val="00CD39E9"/>
    <w:rsid w:val="00CF2BAF"/>
    <w:rsid w:val="00CF784A"/>
    <w:rsid w:val="00D008FC"/>
    <w:rsid w:val="00D05E00"/>
    <w:rsid w:val="00D12644"/>
    <w:rsid w:val="00D259ED"/>
    <w:rsid w:val="00D47798"/>
    <w:rsid w:val="00D50C41"/>
    <w:rsid w:val="00D524D6"/>
    <w:rsid w:val="00D54067"/>
    <w:rsid w:val="00D6187D"/>
    <w:rsid w:val="00D61CC8"/>
    <w:rsid w:val="00D66087"/>
    <w:rsid w:val="00D708DE"/>
    <w:rsid w:val="00D76624"/>
    <w:rsid w:val="00D80578"/>
    <w:rsid w:val="00D81C4A"/>
    <w:rsid w:val="00D8272D"/>
    <w:rsid w:val="00D87BF8"/>
    <w:rsid w:val="00D956CE"/>
    <w:rsid w:val="00D96F47"/>
    <w:rsid w:val="00DA451C"/>
    <w:rsid w:val="00DB3F6D"/>
    <w:rsid w:val="00DE4EE8"/>
    <w:rsid w:val="00DE71B2"/>
    <w:rsid w:val="00DF3F29"/>
    <w:rsid w:val="00DF57BA"/>
    <w:rsid w:val="00E03B37"/>
    <w:rsid w:val="00E04E18"/>
    <w:rsid w:val="00E107DA"/>
    <w:rsid w:val="00E16F32"/>
    <w:rsid w:val="00E20D0A"/>
    <w:rsid w:val="00E247C1"/>
    <w:rsid w:val="00E26377"/>
    <w:rsid w:val="00E42ECF"/>
    <w:rsid w:val="00E55C7F"/>
    <w:rsid w:val="00E57569"/>
    <w:rsid w:val="00E619B7"/>
    <w:rsid w:val="00E64673"/>
    <w:rsid w:val="00E71D2B"/>
    <w:rsid w:val="00E7596B"/>
    <w:rsid w:val="00E77E24"/>
    <w:rsid w:val="00E857AF"/>
    <w:rsid w:val="00E90368"/>
    <w:rsid w:val="00E90444"/>
    <w:rsid w:val="00E95B52"/>
    <w:rsid w:val="00E97350"/>
    <w:rsid w:val="00EA28B4"/>
    <w:rsid w:val="00EB1AD2"/>
    <w:rsid w:val="00ED0434"/>
    <w:rsid w:val="00ED352F"/>
    <w:rsid w:val="00EF1603"/>
    <w:rsid w:val="00EF1FA7"/>
    <w:rsid w:val="00EF28AB"/>
    <w:rsid w:val="00EF5B36"/>
    <w:rsid w:val="00EF6796"/>
    <w:rsid w:val="00F00557"/>
    <w:rsid w:val="00F01783"/>
    <w:rsid w:val="00F04334"/>
    <w:rsid w:val="00F06596"/>
    <w:rsid w:val="00F06900"/>
    <w:rsid w:val="00F118FD"/>
    <w:rsid w:val="00F15664"/>
    <w:rsid w:val="00F21F52"/>
    <w:rsid w:val="00F24774"/>
    <w:rsid w:val="00F269CC"/>
    <w:rsid w:val="00F31DEE"/>
    <w:rsid w:val="00F32E0F"/>
    <w:rsid w:val="00F44A72"/>
    <w:rsid w:val="00F57DE7"/>
    <w:rsid w:val="00F949C9"/>
    <w:rsid w:val="00F9541F"/>
    <w:rsid w:val="00FA02B3"/>
    <w:rsid w:val="00FA1AB9"/>
    <w:rsid w:val="00FA1ACC"/>
    <w:rsid w:val="00FA4966"/>
    <w:rsid w:val="00FB58F4"/>
    <w:rsid w:val="00FB6BD7"/>
    <w:rsid w:val="00FB722D"/>
    <w:rsid w:val="00FC4908"/>
    <w:rsid w:val="00FD723D"/>
    <w:rsid w:val="00FE4E19"/>
    <w:rsid w:val="00FE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B5A2E"/>
  <w15:chartTrackingRefBased/>
  <w15:docId w15:val="{7E16CE9D-E5C8-418C-BE68-A832B710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B0"/>
    <w:pPr>
      <w:tabs>
        <w:tab w:val="left" w:pos="576"/>
        <w:tab w:val="left" w:pos="1008"/>
        <w:tab w:val="left" w:pos="1440"/>
        <w:tab w:val="left" w:pos="1872"/>
        <w:tab w:val="left" w:pos="2304"/>
        <w:tab w:val="left" w:pos="2736"/>
      </w:tabs>
      <w:spacing w:before="120" w:after="120" w:line="240" w:lineRule="auto"/>
      <w:jc w:val="both"/>
    </w:pPr>
    <w:rPr>
      <w:rFonts w:ascii="Times New Roman" w:eastAsia="Times New Roman" w:hAnsi="Times New Roman" w:cs="Arial"/>
      <w:spacing w:val="-2"/>
      <w:sz w:val="24"/>
      <w:szCs w:val="20"/>
      <w:lang w:eastAsia="fr-FR"/>
    </w:rPr>
  </w:style>
  <w:style w:type="paragraph" w:styleId="Heading2">
    <w:name w:val="heading 2"/>
    <w:basedOn w:val="Normal"/>
    <w:next w:val="Normal"/>
    <w:link w:val="Heading2Char"/>
    <w:qFormat/>
    <w:rsid w:val="00B646B0"/>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B646B0"/>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46B0"/>
    <w:rPr>
      <w:rFonts w:ascii="Arial" w:eastAsia="Times New Roman" w:hAnsi="Arial" w:cs="Arial"/>
      <w:b/>
      <w:bCs/>
      <w:i/>
      <w:iCs/>
      <w:spacing w:val="-2"/>
      <w:sz w:val="28"/>
      <w:szCs w:val="28"/>
      <w:lang w:val="en-CA" w:eastAsia="fr-FR"/>
    </w:rPr>
  </w:style>
  <w:style w:type="character" w:customStyle="1" w:styleId="Heading3Char">
    <w:name w:val="Heading 3 Char"/>
    <w:basedOn w:val="DefaultParagraphFont"/>
    <w:link w:val="Heading3"/>
    <w:rsid w:val="00B646B0"/>
    <w:rPr>
      <w:rFonts w:ascii="Arial" w:eastAsia="Times New Roman" w:hAnsi="Arial" w:cs="Arial"/>
      <w:spacing w:val="-2"/>
      <w:sz w:val="24"/>
      <w:szCs w:val="20"/>
      <w:lang w:val="en-CA" w:eastAsia="fr-FR"/>
    </w:rPr>
  </w:style>
  <w:style w:type="paragraph" w:styleId="Header">
    <w:name w:val="header"/>
    <w:link w:val="HeaderChar"/>
    <w:rsid w:val="00B646B0"/>
    <w:pPr>
      <w:tabs>
        <w:tab w:val="center" w:pos="4320"/>
        <w:tab w:val="right" w:pos="8640"/>
      </w:tabs>
      <w:spacing w:after="0" w:line="240" w:lineRule="auto"/>
    </w:pPr>
    <w:rPr>
      <w:rFonts w:ascii="Arial" w:eastAsia="Times New Roman" w:hAnsi="Arial" w:cs="Times New Roman"/>
      <w:noProof/>
      <w:sz w:val="20"/>
      <w:szCs w:val="20"/>
      <w:lang w:eastAsia="fr-FR"/>
    </w:rPr>
  </w:style>
  <w:style w:type="character" w:customStyle="1" w:styleId="HeaderChar">
    <w:name w:val="Header Char"/>
    <w:basedOn w:val="DefaultParagraphFont"/>
    <w:link w:val="Header"/>
    <w:rsid w:val="00B646B0"/>
    <w:rPr>
      <w:rFonts w:ascii="Arial" w:eastAsia="Times New Roman" w:hAnsi="Arial" w:cs="Times New Roman"/>
      <w:noProof/>
      <w:sz w:val="20"/>
      <w:szCs w:val="20"/>
      <w:lang w:val="en-CA" w:eastAsia="fr-FR"/>
    </w:rPr>
  </w:style>
  <w:style w:type="character" w:styleId="PageNumber">
    <w:name w:val="page number"/>
    <w:basedOn w:val="DefaultParagraphFont"/>
    <w:rsid w:val="00B646B0"/>
  </w:style>
  <w:style w:type="paragraph" w:styleId="Footer">
    <w:name w:val="footer"/>
    <w:basedOn w:val="Normal"/>
    <w:link w:val="FooterChar"/>
    <w:uiPriority w:val="99"/>
    <w:rsid w:val="00B646B0"/>
    <w:pPr>
      <w:tabs>
        <w:tab w:val="center" w:pos="4320"/>
        <w:tab w:val="right" w:pos="8640"/>
      </w:tabs>
    </w:pPr>
    <w:rPr>
      <w:sz w:val="20"/>
    </w:rPr>
  </w:style>
  <w:style w:type="character" w:customStyle="1" w:styleId="FooterChar">
    <w:name w:val="Footer Char"/>
    <w:basedOn w:val="DefaultParagraphFont"/>
    <w:link w:val="Footer"/>
    <w:uiPriority w:val="99"/>
    <w:rsid w:val="00B646B0"/>
    <w:rPr>
      <w:rFonts w:ascii="Times New Roman" w:eastAsia="Times New Roman" w:hAnsi="Times New Roman" w:cs="Arial"/>
      <w:spacing w:val="-2"/>
      <w:sz w:val="20"/>
      <w:szCs w:val="20"/>
      <w:lang w:val="en-CA" w:eastAsia="fr-FR"/>
    </w:rPr>
  </w:style>
  <w:style w:type="table" w:styleId="TableGrid">
    <w:name w:val="Table Grid"/>
    <w:basedOn w:val="TableNormal"/>
    <w:rsid w:val="00B646B0"/>
    <w:pPr>
      <w:spacing w:after="0" w:line="240" w:lineRule="auto"/>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4D5697"/>
    <w:rPr>
      <w:sz w:val="24"/>
      <w:szCs w:val="24"/>
      <w:lang w:val="en-CA" w:eastAsia="en-CA"/>
    </w:rPr>
  </w:style>
  <w:style w:type="paragraph" w:customStyle="1" w:styleId="CGBody">
    <w:name w:val="CG Body"/>
    <w:basedOn w:val="Normal"/>
    <w:link w:val="CGBodyChar"/>
    <w:qFormat/>
    <w:rsid w:val="004D5697"/>
    <w:pPr>
      <w:numPr>
        <w:numId w:val="2"/>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asciiTheme="minorHAnsi" w:eastAsiaTheme="minorHAnsi" w:hAnsiTheme="minorHAnsi" w:cstheme="minorBidi"/>
      <w:spacing w:val="0"/>
      <w:szCs w:val="24"/>
      <w:lang w:eastAsia="en-CA"/>
    </w:rPr>
  </w:style>
  <w:style w:type="paragraph" w:customStyle="1" w:styleId="CGLvl2header">
    <w:name w:val="CG Lvl 2 header"/>
    <w:basedOn w:val="Normal"/>
    <w:next w:val="CGBody"/>
    <w:link w:val="CGLvl2headerChar"/>
    <w:qFormat/>
    <w:rsid w:val="004D5697"/>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eastAsia="en-CA"/>
    </w:rPr>
  </w:style>
  <w:style w:type="character" w:customStyle="1" w:styleId="CGLvl2headerChar">
    <w:name w:val="CG Lvl 2 header Char"/>
    <w:basedOn w:val="DefaultParagraphFont"/>
    <w:link w:val="CGLvl2header"/>
    <w:rsid w:val="004D5697"/>
    <w:rPr>
      <w:rFonts w:ascii="Times New Roman Bold" w:eastAsia="Times New Roman" w:hAnsi="Times New Roman Bold" w:cs="Times New Roman"/>
      <w:b/>
      <w:sz w:val="24"/>
      <w:szCs w:val="24"/>
      <w:lang w:val="en-CA" w:eastAsia="en-CA"/>
    </w:rPr>
  </w:style>
  <w:style w:type="paragraph" w:styleId="ListParagraph">
    <w:name w:val="List Paragraph"/>
    <w:basedOn w:val="Normal"/>
    <w:uiPriority w:val="34"/>
    <w:qFormat/>
    <w:rsid w:val="004D5697"/>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eastAsia="en-US"/>
    </w:rPr>
  </w:style>
  <w:style w:type="paragraph" w:customStyle="1" w:styleId="NormalParagNum">
    <w:name w:val="Normal_ParagNum"/>
    <w:basedOn w:val="Normal"/>
    <w:rsid w:val="004D5697"/>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eastAsia="en-US"/>
    </w:rPr>
  </w:style>
  <w:style w:type="character" w:styleId="EndnoteReference">
    <w:name w:val="endnote reference"/>
    <w:basedOn w:val="DefaultParagraphFont"/>
    <w:uiPriority w:val="99"/>
    <w:rsid w:val="001728B7"/>
    <w:rPr>
      <w:vertAlign w:val="superscript"/>
    </w:rPr>
  </w:style>
  <w:style w:type="paragraph" w:styleId="EndnoteText">
    <w:name w:val="endnote text"/>
    <w:basedOn w:val="Normal"/>
    <w:link w:val="EndnoteTextChar"/>
    <w:uiPriority w:val="99"/>
    <w:rsid w:val="001728B7"/>
    <w:pPr>
      <w:tabs>
        <w:tab w:val="clear" w:pos="576"/>
        <w:tab w:val="clear" w:pos="1008"/>
        <w:tab w:val="clear" w:pos="1440"/>
        <w:tab w:val="clear" w:pos="1872"/>
        <w:tab w:val="clear" w:pos="2304"/>
        <w:tab w:val="clear" w:pos="2736"/>
      </w:tabs>
      <w:spacing w:before="0" w:after="0"/>
      <w:jc w:val="left"/>
    </w:pPr>
    <w:rPr>
      <w:rFonts w:ascii="Times New (W1)" w:hAnsi="Times New (W1)" w:cs="Times New Roman"/>
      <w:noProof/>
      <w:spacing w:val="0"/>
      <w:sz w:val="20"/>
    </w:rPr>
  </w:style>
  <w:style w:type="character" w:customStyle="1" w:styleId="EndnoteTextChar">
    <w:name w:val="Endnote Text Char"/>
    <w:basedOn w:val="DefaultParagraphFont"/>
    <w:link w:val="EndnoteText"/>
    <w:uiPriority w:val="99"/>
    <w:rsid w:val="001728B7"/>
    <w:rPr>
      <w:rFonts w:ascii="Times New (W1)" w:eastAsia="Times New Roman" w:hAnsi="Times New (W1)" w:cs="Times New Roman"/>
      <w:noProof/>
      <w:sz w:val="20"/>
      <w:szCs w:val="20"/>
      <w:lang w:val="en-CA" w:eastAsia="fr-FR"/>
    </w:rPr>
  </w:style>
  <w:style w:type="character" w:styleId="Hyperlink">
    <w:name w:val="Hyperlink"/>
    <w:basedOn w:val="DefaultParagraphFont"/>
    <w:uiPriority w:val="99"/>
    <w:semiHidden/>
    <w:unhideWhenUsed/>
    <w:rsid w:val="00454D65"/>
    <w:rPr>
      <w:strike w:val="0"/>
      <w:dstrike w:val="0"/>
      <w:color w:val="996600"/>
      <w:u w:val="none"/>
      <w:effect w:val="none"/>
    </w:rPr>
  </w:style>
  <w:style w:type="paragraph" w:styleId="FootnoteText">
    <w:name w:val="footnote text"/>
    <w:basedOn w:val="Normal"/>
    <w:link w:val="FootnoteTextChar"/>
    <w:uiPriority w:val="99"/>
    <w:semiHidden/>
    <w:unhideWhenUsed/>
    <w:rsid w:val="00D524D6"/>
    <w:pPr>
      <w:spacing w:before="0" w:after="0"/>
    </w:pPr>
    <w:rPr>
      <w:sz w:val="20"/>
    </w:rPr>
  </w:style>
  <w:style w:type="character" w:customStyle="1" w:styleId="FootnoteTextChar">
    <w:name w:val="Footnote Text Char"/>
    <w:basedOn w:val="DefaultParagraphFont"/>
    <w:link w:val="FootnoteText"/>
    <w:uiPriority w:val="99"/>
    <w:semiHidden/>
    <w:rsid w:val="00D524D6"/>
    <w:rPr>
      <w:rFonts w:ascii="Times New Roman" w:eastAsia="Times New Roman" w:hAnsi="Times New Roman" w:cs="Arial"/>
      <w:spacing w:val="-2"/>
      <w:sz w:val="20"/>
      <w:szCs w:val="20"/>
      <w:lang w:val="en-CA" w:eastAsia="fr-FR"/>
    </w:rPr>
  </w:style>
  <w:style w:type="character" w:styleId="FootnoteReference">
    <w:name w:val="footnote reference"/>
    <w:basedOn w:val="DefaultParagraphFont"/>
    <w:uiPriority w:val="99"/>
    <w:semiHidden/>
    <w:unhideWhenUsed/>
    <w:rsid w:val="00D524D6"/>
    <w:rPr>
      <w:vertAlign w:val="superscript"/>
    </w:rPr>
  </w:style>
  <w:style w:type="paragraph" w:styleId="BalloonText">
    <w:name w:val="Balloon Text"/>
    <w:basedOn w:val="Normal"/>
    <w:link w:val="BalloonTextChar"/>
    <w:uiPriority w:val="99"/>
    <w:semiHidden/>
    <w:unhideWhenUsed/>
    <w:rsid w:val="00B2078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78A"/>
    <w:rPr>
      <w:rFonts w:ascii="Segoe UI" w:eastAsia="Times New Roman" w:hAnsi="Segoe UI" w:cs="Segoe UI"/>
      <w:spacing w:val="-2"/>
      <w:sz w:val="18"/>
      <w:szCs w:val="18"/>
      <w:lang w:val="en-CA" w:eastAsia="fr-FR"/>
    </w:rPr>
  </w:style>
  <w:style w:type="character" w:customStyle="1" w:styleId="reflex3-block">
    <w:name w:val="reflex3-block"/>
    <w:basedOn w:val="DefaultParagraphFont"/>
    <w:rsid w:val="00E90444"/>
  </w:style>
  <w:style w:type="character" w:customStyle="1" w:styleId="reflex3-alt">
    <w:name w:val="reflex3-alt"/>
    <w:basedOn w:val="DefaultParagraphFont"/>
    <w:rsid w:val="00E90444"/>
  </w:style>
  <w:style w:type="character" w:customStyle="1" w:styleId="solexhl">
    <w:name w:val="solexhl"/>
    <w:basedOn w:val="DefaultParagraphFont"/>
    <w:rsid w:val="00E90444"/>
  </w:style>
  <w:style w:type="paragraph" w:styleId="CommentText">
    <w:name w:val="annotation text"/>
    <w:basedOn w:val="Normal"/>
    <w:link w:val="CommentTextChar"/>
    <w:uiPriority w:val="99"/>
    <w:unhideWhenUsed/>
    <w:rsid w:val="00667272"/>
    <w:rPr>
      <w:sz w:val="20"/>
    </w:rPr>
  </w:style>
  <w:style w:type="character" w:customStyle="1" w:styleId="CommentTextChar">
    <w:name w:val="Comment Text Char"/>
    <w:basedOn w:val="DefaultParagraphFont"/>
    <w:link w:val="CommentText"/>
    <w:uiPriority w:val="99"/>
    <w:rsid w:val="00667272"/>
    <w:rPr>
      <w:rFonts w:ascii="Times New Roman" w:eastAsia="Times New Roman" w:hAnsi="Times New Roman" w:cs="Arial"/>
      <w:spacing w:val="-2"/>
      <w:sz w:val="20"/>
      <w:szCs w:val="20"/>
      <w:lang w:val="en-CA" w:eastAsia="fr-FR"/>
    </w:rPr>
  </w:style>
  <w:style w:type="paragraph" w:styleId="Revision">
    <w:name w:val="Revision"/>
    <w:hidden/>
    <w:uiPriority w:val="99"/>
    <w:semiHidden/>
    <w:rsid w:val="009978DA"/>
    <w:pPr>
      <w:spacing w:after="0" w:line="240" w:lineRule="auto"/>
    </w:pPr>
    <w:rPr>
      <w:rFonts w:ascii="Times New Roman" w:eastAsia="Times New Roman" w:hAnsi="Times New Roman" w:cs="Arial"/>
      <w:spacing w:val="-2"/>
      <w:sz w:val="24"/>
      <w:szCs w:val="20"/>
      <w:lang w:eastAsia="fr-FR"/>
    </w:rPr>
  </w:style>
  <w:style w:type="character" w:styleId="CommentReference">
    <w:name w:val="annotation reference"/>
    <w:basedOn w:val="DefaultParagraphFont"/>
    <w:uiPriority w:val="99"/>
    <w:semiHidden/>
    <w:unhideWhenUsed/>
    <w:rsid w:val="00532AFB"/>
    <w:rPr>
      <w:sz w:val="16"/>
      <w:szCs w:val="16"/>
    </w:rPr>
  </w:style>
  <w:style w:type="paragraph" w:styleId="CommentSubject">
    <w:name w:val="annotation subject"/>
    <w:basedOn w:val="CommentText"/>
    <w:next w:val="CommentText"/>
    <w:link w:val="CommentSubjectChar"/>
    <w:uiPriority w:val="99"/>
    <w:semiHidden/>
    <w:unhideWhenUsed/>
    <w:rsid w:val="00532AFB"/>
    <w:rPr>
      <w:b/>
      <w:bCs/>
    </w:rPr>
  </w:style>
  <w:style w:type="character" w:customStyle="1" w:styleId="CommentSubjectChar">
    <w:name w:val="Comment Subject Char"/>
    <w:basedOn w:val="CommentTextChar"/>
    <w:link w:val="CommentSubject"/>
    <w:uiPriority w:val="99"/>
    <w:semiHidden/>
    <w:rsid w:val="00532AFB"/>
    <w:rPr>
      <w:rFonts w:ascii="Times New Roman" w:eastAsia="Times New Roman" w:hAnsi="Times New Roman" w:cs="Arial"/>
      <w:b/>
      <w:bCs/>
      <w:spacing w:val="-2"/>
      <w:sz w:val="20"/>
      <w:szCs w:val="20"/>
      <w:lang w:val="en-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00">
      <w:bodyDiv w:val="1"/>
      <w:marLeft w:val="0"/>
      <w:marRight w:val="0"/>
      <w:marTop w:val="0"/>
      <w:marBottom w:val="0"/>
      <w:divBdr>
        <w:top w:val="none" w:sz="0" w:space="0" w:color="auto"/>
        <w:left w:val="none" w:sz="0" w:space="0" w:color="auto"/>
        <w:bottom w:val="none" w:sz="0" w:space="0" w:color="auto"/>
        <w:right w:val="none" w:sz="0" w:space="0" w:color="auto"/>
      </w:divBdr>
    </w:div>
    <w:div w:id="92359223">
      <w:bodyDiv w:val="1"/>
      <w:marLeft w:val="0"/>
      <w:marRight w:val="0"/>
      <w:marTop w:val="0"/>
      <w:marBottom w:val="0"/>
      <w:divBdr>
        <w:top w:val="none" w:sz="0" w:space="0" w:color="auto"/>
        <w:left w:val="none" w:sz="0" w:space="0" w:color="auto"/>
        <w:bottom w:val="none" w:sz="0" w:space="0" w:color="auto"/>
        <w:right w:val="none" w:sz="0" w:space="0" w:color="auto"/>
      </w:divBdr>
    </w:div>
    <w:div w:id="329985645">
      <w:bodyDiv w:val="1"/>
      <w:marLeft w:val="0"/>
      <w:marRight w:val="0"/>
      <w:marTop w:val="0"/>
      <w:marBottom w:val="0"/>
      <w:divBdr>
        <w:top w:val="none" w:sz="0" w:space="0" w:color="auto"/>
        <w:left w:val="none" w:sz="0" w:space="0" w:color="auto"/>
        <w:bottom w:val="none" w:sz="0" w:space="0" w:color="auto"/>
        <w:right w:val="none" w:sz="0" w:space="0" w:color="auto"/>
      </w:divBdr>
    </w:div>
    <w:div w:id="463696553">
      <w:bodyDiv w:val="1"/>
      <w:marLeft w:val="0"/>
      <w:marRight w:val="0"/>
      <w:marTop w:val="0"/>
      <w:marBottom w:val="0"/>
      <w:divBdr>
        <w:top w:val="none" w:sz="0" w:space="0" w:color="auto"/>
        <w:left w:val="none" w:sz="0" w:space="0" w:color="auto"/>
        <w:bottom w:val="none" w:sz="0" w:space="0" w:color="auto"/>
        <w:right w:val="none" w:sz="0" w:space="0" w:color="auto"/>
      </w:divBdr>
    </w:div>
    <w:div w:id="558517625">
      <w:bodyDiv w:val="1"/>
      <w:marLeft w:val="0"/>
      <w:marRight w:val="0"/>
      <w:marTop w:val="0"/>
      <w:marBottom w:val="0"/>
      <w:divBdr>
        <w:top w:val="none" w:sz="0" w:space="0" w:color="auto"/>
        <w:left w:val="none" w:sz="0" w:space="0" w:color="auto"/>
        <w:bottom w:val="none" w:sz="0" w:space="0" w:color="auto"/>
        <w:right w:val="none" w:sz="0" w:space="0" w:color="auto"/>
      </w:divBdr>
    </w:div>
    <w:div w:id="701127220">
      <w:bodyDiv w:val="1"/>
      <w:marLeft w:val="0"/>
      <w:marRight w:val="0"/>
      <w:marTop w:val="0"/>
      <w:marBottom w:val="0"/>
      <w:divBdr>
        <w:top w:val="none" w:sz="0" w:space="0" w:color="auto"/>
        <w:left w:val="none" w:sz="0" w:space="0" w:color="auto"/>
        <w:bottom w:val="none" w:sz="0" w:space="0" w:color="auto"/>
        <w:right w:val="none" w:sz="0" w:space="0" w:color="auto"/>
      </w:divBdr>
    </w:div>
    <w:div w:id="1385983921">
      <w:bodyDiv w:val="1"/>
      <w:marLeft w:val="0"/>
      <w:marRight w:val="0"/>
      <w:marTop w:val="0"/>
      <w:marBottom w:val="0"/>
      <w:divBdr>
        <w:top w:val="none" w:sz="0" w:space="0" w:color="auto"/>
        <w:left w:val="none" w:sz="0" w:space="0" w:color="auto"/>
        <w:bottom w:val="none" w:sz="0" w:space="0" w:color="auto"/>
        <w:right w:val="none" w:sz="0" w:space="0" w:color="auto"/>
      </w:divBdr>
    </w:div>
    <w:div w:id="1420445276">
      <w:bodyDiv w:val="1"/>
      <w:marLeft w:val="0"/>
      <w:marRight w:val="0"/>
      <w:marTop w:val="0"/>
      <w:marBottom w:val="0"/>
      <w:divBdr>
        <w:top w:val="none" w:sz="0" w:space="0" w:color="auto"/>
        <w:left w:val="none" w:sz="0" w:space="0" w:color="auto"/>
        <w:bottom w:val="none" w:sz="0" w:space="0" w:color="auto"/>
        <w:right w:val="none" w:sz="0" w:space="0" w:color="auto"/>
      </w:divBdr>
      <w:divsChild>
        <w:div w:id="899053432">
          <w:marLeft w:val="0"/>
          <w:marRight w:val="0"/>
          <w:marTop w:val="0"/>
          <w:marBottom w:val="0"/>
          <w:divBdr>
            <w:top w:val="none" w:sz="0" w:space="0" w:color="auto"/>
            <w:left w:val="none" w:sz="0" w:space="0" w:color="auto"/>
            <w:bottom w:val="none" w:sz="0" w:space="0" w:color="auto"/>
            <w:right w:val="none" w:sz="0" w:space="0" w:color="auto"/>
          </w:divBdr>
          <w:divsChild>
            <w:div w:id="1922107107">
              <w:marLeft w:val="0"/>
              <w:marRight w:val="0"/>
              <w:marTop w:val="0"/>
              <w:marBottom w:val="0"/>
              <w:divBdr>
                <w:top w:val="none" w:sz="0" w:space="0" w:color="auto"/>
                <w:left w:val="none" w:sz="0" w:space="0" w:color="auto"/>
                <w:bottom w:val="none" w:sz="0" w:space="0" w:color="auto"/>
                <w:right w:val="none" w:sz="0" w:space="0" w:color="auto"/>
              </w:divBdr>
              <w:divsChild>
                <w:div w:id="1368414991">
                  <w:marLeft w:val="0"/>
                  <w:marRight w:val="0"/>
                  <w:marTop w:val="0"/>
                  <w:marBottom w:val="0"/>
                  <w:divBdr>
                    <w:top w:val="none" w:sz="0" w:space="0" w:color="auto"/>
                    <w:left w:val="none" w:sz="0" w:space="0" w:color="auto"/>
                    <w:bottom w:val="none" w:sz="0" w:space="0" w:color="auto"/>
                    <w:right w:val="none" w:sz="0" w:space="0" w:color="auto"/>
                  </w:divBdr>
                  <w:divsChild>
                    <w:div w:id="1540968499">
                      <w:marLeft w:val="2325"/>
                      <w:marRight w:val="0"/>
                      <w:marTop w:val="0"/>
                      <w:marBottom w:val="0"/>
                      <w:divBdr>
                        <w:top w:val="none" w:sz="0" w:space="0" w:color="auto"/>
                        <w:left w:val="none" w:sz="0" w:space="0" w:color="auto"/>
                        <w:bottom w:val="none" w:sz="0" w:space="0" w:color="auto"/>
                        <w:right w:val="none" w:sz="0" w:space="0" w:color="auto"/>
                      </w:divBdr>
                      <w:divsChild>
                        <w:div w:id="1855607803">
                          <w:marLeft w:val="0"/>
                          <w:marRight w:val="0"/>
                          <w:marTop w:val="0"/>
                          <w:marBottom w:val="0"/>
                          <w:divBdr>
                            <w:top w:val="none" w:sz="0" w:space="0" w:color="auto"/>
                            <w:left w:val="none" w:sz="0" w:space="0" w:color="auto"/>
                            <w:bottom w:val="none" w:sz="0" w:space="0" w:color="auto"/>
                            <w:right w:val="none" w:sz="0" w:space="0" w:color="auto"/>
                          </w:divBdr>
                          <w:divsChild>
                            <w:div w:id="1943754337">
                              <w:marLeft w:val="0"/>
                              <w:marRight w:val="0"/>
                              <w:marTop w:val="0"/>
                              <w:marBottom w:val="0"/>
                              <w:divBdr>
                                <w:top w:val="none" w:sz="0" w:space="0" w:color="auto"/>
                                <w:left w:val="none" w:sz="0" w:space="0" w:color="auto"/>
                                <w:bottom w:val="none" w:sz="0" w:space="0" w:color="auto"/>
                                <w:right w:val="none" w:sz="0" w:space="0" w:color="auto"/>
                              </w:divBdr>
                              <w:divsChild>
                                <w:div w:id="1520461507">
                                  <w:marLeft w:val="0"/>
                                  <w:marRight w:val="0"/>
                                  <w:marTop w:val="0"/>
                                  <w:marBottom w:val="0"/>
                                  <w:divBdr>
                                    <w:top w:val="none" w:sz="0" w:space="0" w:color="auto"/>
                                    <w:left w:val="none" w:sz="0" w:space="0" w:color="auto"/>
                                    <w:bottom w:val="none" w:sz="0" w:space="0" w:color="auto"/>
                                    <w:right w:val="none" w:sz="0" w:space="0" w:color="auto"/>
                                  </w:divBdr>
                                  <w:divsChild>
                                    <w:div w:id="1826582248">
                                      <w:marLeft w:val="0"/>
                                      <w:marRight w:val="0"/>
                                      <w:marTop w:val="0"/>
                                      <w:marBottom w:val="0"/>
                                      <w:divBdr>
                                        <w:top w:val="none" w:sz="0" w:space="0" w:color="auto"/>
                                        <w:left w:val="none" w:sz="0" w:space="0" w:color="auto"/>
                                        <w:bottom w:val="none" w:sz="0" w:space="0" w:color="auto"/>
                                        <w:right w:val="none" w:sz="0" w:space="0" w:color="auto"/>
                                      </w:divBdr>
                                      <w:divsChild>
                                        <w:div w:id="2128616132">
                                          <w:marLeft w:val="0"/>
                                          <w:marRight w:val="0"/>
                                          <w:marTop w:val="75"/>
                                          <w:marBottom w:val="0"/>
                                          <w:divBdr>
                                            <w:top w:val="none" w:sz="0" w:space="0" w:color="auto"/>
                                            <w:left w:val="none" w:sz="0" w:space="0" w:color="auto"/>
                                            <w:bottom w:val="none" w:sz="0" w:space="0" w:color="auto"/>
                                            <w:right w:val="none" w:sz="0" w:space="0" w:color="auto"/>
                                          </w:divBdr>
                                          <w:divsChild>
                                            <w:div w:id="23868163">
                                              <w:marLeft w:val="0"/>
                                              <w:marRight w:val="0"/>
                                              <w:marTop w:val="0"/>
                                              <w:marBottom w:val="0"/>
                                              <w:divBdr>
                                                <w:top w:val="none" w:sz="0" w:space="0" w:color="auto"/>
                                                <w:left w:val="none" w:sz="0" w:space="0" w:color="auto"/>
                                                <w:bottom w:val="none" w:sz="0" w:space="0" w:color="auto"/>
                                                <w:right w:val="none" w:sz="0" w:space="0" w:color="auto"/>
                                              </w:divBdr>
                                              <w:divsChild>
                                                <w:div w:id="90978208">
                                                  <w:marLeft w:val="0"/>
                                                  <w:marRight w:val="0"/>
                                                  <w:marTop w:val="0"/>
                                                  <w:marBottom w:val="0"/>
                                                  <w:divBdr>
                                                    <w:top w:val="none" w:sz="0" w:space="0" w:color="auto"/>
                                                    <w:left w:val="none" w:sz="0" w:space="0" w:color="auto"/>
                                                    <w:bottom w:val="none" w:sz="0" w:space="0" w:color="auto"/>
                                                    <w:right w:val="none" w:sz="0" w:space="0" w:color="auto"/>
                                                  </w:divBdr>
                                                  <w:divsChild>
                                                    <w:div w:id="1208757808">
                                                      <w:marLeft w:val="0"/>
                                                      <w:marRight w:val="0"/>
                                                      <w:marTop w:val="0"/>
                                                      <w:marBottom w:val="0"/>
                                                      <w:divBdr>
                                                        <w:top w:val="none" w:sz="0" w:space="0" w:color="auto"/>
                                                        <w:left w:val="none" w:sz="0" w:space="0" w:color="auto"/>
                                                        <w:bottom w:val="none" w:sz="0" w:space="0" w:color="auto"/>
                                                        <w:right w:val="none" w:sz="0" w:space="0" w:color="auto"/>
                                                      </w:divBdr>
                                                      <w:divsChild>
                                                        <w:div w:id="491020368">
                                                          <w:marLeft w:val="0"/>
                                                          <w:marRight w:val="0"/>
                                                          <w:marTop w:val="0"/>
                                                          <w:marBottom w:val="0"/>
                                                          <w:divBdr>
                                                            <w:top w:val="none" w:sz="0" w:space="0" w:color="auto"/>
                                                            <w:left w:val="none" w:sz="0" w:space="0" w:color="auto"/>
                                                            <w:bottom w:val="none" w:sz="0" w:space="0" w:color="auto"/>
                                                            <w:right w:val="none" w:sz="0" w:space="0" w:color="auto"/>
                                                          </w:divBdr>
                                                          <w:divsChild>
                                                            <w:div w:id="547376451">
                                                              <w:marLeft w:val="0"/>
                                                              <w:marRight w:val="0"/>
                                                              <w:marTop w:val="0"/>
                                                              <w:marBottom w:val="0"/>
                                                              <w:divBdr>
                                                                <w:top w:val="none" w:sz="0" w:space="0" w:color="auto"/>
                                                                <w:left w:val="none" w:sz="0" w:space="0" w:color="auto"/>
                                                                <w:bottom w:val="none" w:sz="0" w:space="0" w:color="auto"/>
                                                                <w:right w:val="none" w:sz="0" w:space="0" w:color="auto"/>
                                                              </w:divBdr>
                                                              <w:divsChild>
                                                                <w:div w:id="2049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7800941">
      <w:bodyDiv w:val="1"/>
      <w:marLeft w:val="0"/>
      <w:marRight w:val="0"/>
      <w:marTop w:val="0"/>
      <w:marBottom w:val="0"/>
      <w:divBdr>
        <w:top w:val="none" w:sz="0" w:space="0" w:color="auto"/>
        <w:left w:val="none" w:sz="0" w:space="0" w:color="auto"/>
        <w:bottom w:val="none" w:sz="0" w:space="0" w:color="auto"/>
        <w:right w:val="none" w:sz="0" w:space="0" w:color="auto"/>
      </w:divBdr>
    </w:div>
    <w:div w:id="1526165160">
      <w:bodyDiv w:val="1"/>
      <w:marLeft w:val="0"/>
      <w:marRight w:val="0"/>
      <w:marTop w:val="0"/>
      <w:marBottom w:val="0"/>
      <w:divBdr>
        <w:top w:val="none" w:sz="0" w:space="0" w:color="auto"/>
        <w:left w:val="none" w:sz="0" w:space="0" w:color="auto"/>
        <w:bottom w:val="none" w:sz="0" w:space="0" w:color="auto"/>
        <w:right w:val="none" w:sz="0" w:space="0" w:color="auto"/>
      </w:divBdr>
    </w:div>
    <w:div w:id="1659918669">
      <w:bodyDiv w:val="1"/>
      <w:marLeft w:val="0"/>
      <w:marRight w:val="0"/>
      <w:marTop w:val="0"/>
      <w:marBottom w:val="0"/>
      <w:divBdr>
        <w:top w:val="none" w:sz="0" w:space="0" w:color="auto"/>
        <w:left w:val="none" w:sz="0" w:space="0" w:color="auto"/>
        <w:bottom w:val="none" w:sz="0" w:space="0" w:color="auto"/>
        <w:right w:val="none" w:sz="0" w:space="0" w:color="auto"/>
      </w:divBdr>
    </w:div>
    <w:div w:id="1752848151">
      <w:bodyDiv w:val="1"/>
      <w:marLeft w:val="0"/>
      <w:marRight w:val="0"/>
      <w:marTop w:val="0"/>
      <w:marBottom w:val="0"/>
      <w:divBdr>
        <w:top w:val="none" w:sz="0" w:space="0" w:color="auto"/>
        <w:left w:val="none" w:sz="0" w:space="0" w:color="auto"/>
        <w:bottom w:val="none" w:sz="0" w:space="0" w:color="auto"/>
        <w:right w:val="none" w:sz="0" w:space="0" w:color="auto"/>
      </w:divBdr>
    </w:div>
    <w:div w:id="1820532542">
      <w:bodyDiv w:val="1"/>
      <w:marLeft w:val="0"/>
      <w:marRight w:val="0"/>
      <w:marTop w:val="0"/>
      <w:marBottom w:val="0"/>
      <w:divBdr>
        <w:top w:val="none" w:sz="0" w:space="0" w:color="auto"/>
        <w:left w:val="none" w:sz="0" w:space="0" w:color="auto"/>
        <w:bottom w:val="none" w:sz="0" w:space="0" w:color="auto"/>
        <w:right w:val="none" w:sz="0" w:space="0" w:color="auto"/>
      </w:divBdr>
    </w:div>
    <w:div w:id="189931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lyne.thibault\AppData\Local\OfficeNOVA\Resources.PROD\Templates\RAD\Rad.25.02.f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
    <Synchronization>Asynchronous</Synchronization>
    <Type>10001</Type>
    <SequenceNumber>10000</SequenceNumber>
    <Url/>
    <Assembly>IRB-CISR.CRO, Version=1.0.0.0, Culture=neutral, PublicKeyToken=810b7affcb230a6c</Assembly>
    <Class>IRB_CISR.CRO.AgoraFileEventReceiver</Class>
    <Data/>
    <Filter/>
  </Receiver>
  <Receiver>
    <Name/>
    <Synchronization>Asynchronous</Synchronization>
    <Type>10002</Type>
    <SequenceNumber>10000</SequenceNumber>
    <Url/>
    <Assembly>IRB-CISR.CRO, Version=1.0.0.0, Culture=neutral, PublicKeyToken=810b7affcb230a6c</Assembly>
    <Class>IRB_CISR.CRO.AgoraFileEventReceiver</Class>
    <Data/>
    <Filter/>
  </Receiver>
  <Receiver>
    <Name/>
    <Synchronization>Synchronous</Synchronization>
    <Type>1</Type>
    <SequenceNumber>10000</SequenceNumber>
    <Url/>
    <Assembly>IRB-CISR.CRO, Version=1.0.0.0, Culture=neutral, PublicKeyToken=810b7affcb230a6c</Assembly>
    <Class>IRB_CISR.CRO.AgoraFileEventReceiver</Class>
    <Data/>
    <Filter/>
  </Receiver>
</spe:Receivers>
</file>

<file path=customXml/item2.xml><?xml version="1.0" encoding="utf-8"?>
<ct:contentTypeSchema xmlns:ct="http://schemas.microsoft.com/office/2006/metadata/contentType" xmlns:ma="http://schemas.microsoft.com/office/2006/metadata/properties/metaAttributes" ct:_="" ma:_="" ma:contentTypeName="Agora File" ma:contentTypeID="0x01010036E39144D4F901409407AEDE92B62800000C706DD7559A134F8653FCDB1E9719C6" ma:contentTypeVersion="41" ma:contentTypeDescription="Create a new document." ma:contentTypeScope="" ma:versionID="720fa169aad975f53585bdf4315c53e9">
  <xsd:schema xmlns:xsd="http://www.w3.org/2001/XMLSchema" xmlns:xs="http://www.w3.org/2001/XMLSchema" xmlns:p="http://schemas.microsoft.com/office/2006/metadata/properties" xmlns:ns1="http://schemas.microsoft.com/sharepoint/v3" xmlns:ns2="0f9e17f3-614e-4312-9ab8-fe67f4af0412" xmlns:ns3="1b37d4f7-d9a3-47ea-acb3-58b7310d2bb5" xmlns:ns4="http://schemas.microsoft.com/sharepoint/v3/fields" targetNamespace="http://schemas.microsoft.com/office/2006/metadata/properties" ma:root="true" ma:fieldsID="ed50dc34b5e853c87dcbce8f024071b9" ns1:_="" ns2:_="" ns3:_="" ns4:_="">
    <xsd:import namespace="http://schemas.microsoft.com/sharepoint/v3"/>
    <xsd:import namespace="0f9e17f3-614e-4312-9ab8-fe67f4af0412"/>
    <xsd:import namespace="1b37d4f7-d9a3-47ea-acb3-58b7310d2bb5"/>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cro_alternatetitle" minOccurs="0"/>
                <xsd:element ref="ns3:cro_description" minOccurs="0"/>
                <xsd:element ref="ns3:cro_caseid" minOccurs="0"/>
                <xsd:element ref="ns3:cro_opendate" minOccurs="0"/>
                <xsd:element ref="ns3:cro_closeddate" minOccurs="0"/>
                <xsd:element ref="ns1:RelatedItems" minOccurs="0"/>
                <xsd:element ref="ns3:irbxmlproperties" minOccurs="0"/>
                <xsd:element ref="ns3:a5baae700ac34b3e8f4d7fa977b90f00" minOccurs="0"/>
                <xsd:element ref="ns3:k018f6f1962f4d40a6cb3096c3735057" minOccurs="0"/>
                <xsd:element ref="ns3:o116a510182543959cc6b4f0c20fc6db" minOccurs="0"/>
                <xsd:element ref="ns3:e3a868c74b794922a60fdf66a8ff4b65" minOccurs="0"/>
                <xsd:element ref="ns3:if96f2d77cdd4b0d96c39a7b6bbeb5c7" minOccurs="0"/>
                <xsd:element ref="ns1:URL" minOccurs="0"/>
                <xsd:element ref="ns3:m07fee477a6c4ac1a95ff5fcbb20bb4a" minOccurs="0"/>
                <xsd:element ref="ns2:TaxCatchAll" minOccurs="0"/>
                <xsd:element ref="ns2:TaxCatchAllLabel" minOccurs="0"/>
                <xsd:element ref="ns4:cro_division" minOccurs="0"/>
                <xsd:element ref="ns3:m0c2dcf1cea74c7ab7adfccd440c62ee" minOccurs="0"/>
                <xsd:element ref="ns3:off1a9046d8b4d0799baa464c5df4d06" minOccurs="0"/>
                <xsd:element ref="ns3:Request_x0020_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23" nillable="true" ma:displayName="Related Documents" ma:internalName="RelatedItems" ma:readOnly="false">
      <xsd:simpleType>
        <xsd:restriction base="dms:Note"/>
      </xsd:simpleType>
    </xsd:element>
    <xsd:element name="URL" ma:index="32"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f9e17f3-614e-4312-9ab8-fe67f4af04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34" nillable="true" ma:displayName="Taxonomy Catch All Column" ma:description="" ma:hidden="true" ma:list="{583665cf-e854-4e02-be31-262158322c1c}" ma:internalName="TaxCatchAll" ma:showField="CatchAllData" ma:web="0f9e17f3-614e-4312-9ab8-fe67f4af0412">
      <xsd:complexType>
        <xsd:complexContent>
          <xsd:extension base="dms:MultiChoiceLookup">
            <xsd:sequence>
              <xsd:element name="Value" type="dms:Lookup" maxOccurs="unbounded" minOccurs="0" nillable="true"/>
            </xsd:sequence>
          </xsd:extension>
        </xsd:complexContent>
      </xsd:complexType>
    </xsd:element>
    <xsd:element name="TaxCatchAllLabel" ma:index="35" nillable="true" ma:displayName="Taxonomy Catch All Column1" ma:hidden="true" ma:list="{583665cf-e854-4e02-be31-262158322c1c}" ma:internalName="TaxCatchAllLabel" ma:readOnly="true" ma:showField="CatchAllDataLabel" ma:web="0f9e17f3-614e-4312-9ab8-fe67f4af04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b37d4f7-d9a3-47ea-acb3-58b7310d2bb5" elementFormDefault="qualified">
    <xsd:import namespace="http://schemas.microsoft.com/office/2006/documentManagement/types"/>
    <xsd:import namespace="http://schemas.microsoft.com/office/infopath/2007/PartnerControls"/>
    <xsd:element name="cro_alternatetitle" ma:index="11" nillable="true" ma:displayName="Alternate Title" ma:internalName="cro_alternatetitle">
      <xsd:simpleType>
        <xsd:restriction base="dms:Text"/>
      </xsd:simpleType>
    </xsd:element>
    <xsd:element name="cro_description" ma:index="16" nillable="true" ma:displayName="Description" ma:description="" ma:internalName="cro_description">
      <xsd:simpleType>
        <xsd:restriction base="dms:Note">
          <xsd:maxLength value="255"/>
        </xsd:restriction>
      </xsd:simpleType>
    </xsd:element>
    <xsd:element name="cro_caseid" ma:index="19" nillable="true" ma:displayName="Case ID" ma:internalName="cro_caseid" ma:readOnly="false">
      <xsd:simpleType>
        <xsd:restriction base="dms:Text"/>
      </xsd:simpleType>
    </xsd:element>
    <xsd:element name="cro_opendate" ma:index="21" nillable="true" ma:displayName="Open Date" ma:default="" ma:format="DateOnly" ma:internalName="cro_opendate">
      <xsd:simpleType>
        <xsd:restriction base="dms:DateTime"/>
      </xsd:simpleType>
    </xsd:element>
    <xsd:element name="cro_closeddate" ma:index="22" nillable="true" ma:displayName="Closed Date" ma:default="" ma:format="DateOnly" ma:internalName="cro_closeddate">
      <xsd:simpleType>
        <xsd:restriction base="dms:DateTime"/>
      </xsd:simpleType>
    </xsd:element>
    <xsd:element name="irbxmlproperties" ma:index="26" nillable="true" ma:displayName="irbxmlproperties" ma:hidden="true" ma:internalName="irbxmlproperties">
      <xsd:simpleType>
        <xsd:restriction base="dms:Note"/>
      </xsd:simpleType>
    </xsd:element>
    <xsd:element name="a5baae700ac34b3e8f4d7fa977b90f00" ma:index="27" ma:taxonomy="true" ma:internalName="a5baae700ac34b3e8f4d7fa977b90f00" ma:taxonomyFieldName="cro_language" ma:displayName="Language" ma:readOnly="false" ma:default="" ma:fieldId="{a5baae70-0ac3-4b3e-8f4d-7fa977b90f00}"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k018f6f1962f4d40a6cb3096c3735057" ma:index="28" ma:taxonomy="true" ma:internalName="k018f6f1962f4d40a6cb3096c3735057" ma:taxonomyFieldName="cro_security" ma:displayName="Security" ma:default="" ma:fieldId="{4018f6f1-962f-4d40-a6cb-3096c3735057}"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o116a510182543959cc6b4f0c20fc6db" ma:index="29" nillable="true" ma:taxonomy="true" ma:internalName="o116a510182543959cc6b4f0c20fc6db" ma:taxonomyFieldName="cro_year" ma:displayName="Year" ma:default="" ma:fieldId="{8116a510-1825-4395-9cc6-b4f0c20fc6db}" ma:sspId="77c6bdd6-02a2-4c5d-ab62-b2d128ea9edb" ma:termSetId="40c460ad-82c5-4b9d-ac74-bb3137bd58be" ma:anchorId="00000000-0000-0000-0000-000000000000" ma:open="false" ma:isKeyword="false">
      <xsd:complexType>
        <xsd:sequence>
          <xsd:element ref="pc:Terms" minOccurs="0" maxOccurs="1"/>
        </xsd:sequence>
      </xsd:complexType>
    </xsd:element>
    <xsd:element name="e3a868c74b794922a60fdf66a8ff4b65" ma:index="30" nillable="true" ma:taxonomy="true" ma:internalName="e3a868c74b794922a60fdf66a8ff4b65" ma:taxonomyFieldName="cro_region" ma:displayName="Region" ma:default="" ma:fieldId="{e3a868c7-4b79-4922-a60f-df66a8ff4b65}" ma:sspId="77c6bdd6-02a2-4c5d-ab62-b2d128ea9edb" ma:termSetId="ce633cc3-b2a4-4dbe-99ee-308ade9eb919" ma:anchorId="00000000-0000-0000-0000-000000000000" ma:open="false" ma:isKeyword="false">
      <xsd:complexType>
        <xsd:sequence>
          <xsd:element ref="pc:Terms" minOccurs="0" maxOccurs="1"/>
        </xsd:sequence>
      </xsd:complexType>
    </xsd:element>
    <xsd:element name="if96f2d77cdd4b0d96c39a7b6bbeb5c7" ma:index="31" nillable="true" ma:taxonomy="true" ma:internalName="if96f2d77cdd4b0d96c39a7b6bbeb5c7" ma:taxonomyFieldName="cro_status" ma:displayName="Status" ma:default="" ma:fieldId="{2f96f2d7-7cdd-4b0d-96c3-9a7b6bbeb5c7}" ma:sspId="77c6bdd6-02a2-4c5d-ab62-b2d128ea9edb" ma:termSetId="aa091ceb-319f-4954-9bb7-12370435d361" ma:anchorId="00000000-0000-0000-0000-000000000000" ma:open="false" ma:isKeyword="false">
      <xsd:complexType>
        <xsd:sequence>
          <xsd:element ref="pc:Terms" minOccurs="0" maxOccurs="1"/>
        </xsd:sequence>
      </xsd:complexType>
    </xsd:element>
    <xsd:element name="m07fee477a6c4ac1a95ff5fcbb20bb4a" ma:index="33" nillable="true" ma:taxonomy="true" ma:internalName="m07fee477a6c4ac1a95ff5fcbb20bb4a" ma:taxonomyFieldName="Translation_x0020_Memory" ma:displayName="Translation Memory" ma:default="" ma:fieldId="{607fee47-7a6c-4ac1-a95f-f5fcbb20bb4a}" ma:sspId="77c6bdd6-02a2-4c5d-ab62-b2d128ea9edb" ma:termSetId="cedf8b00-5077-4e85-94ab-763201b3b1f0" ma:anchorId="00000000-0000-0000-0000-000000000000" ma:open="false" ma:isKeyword="false">
      <xsd:complexType>
        <xsd:sequence>
          <xsd:element ref="pc:Terms" minOccurs="0" maxOccurs="1"/>
        </xsd:sequence>
      </xsd:complexType>
    </xsd:element>
    <xsd:element name="m0c2dcf1cea74c7ab7adfccd440c62ee" ma:index="38" nillable="true" ma:taxonomy="true" ma:internalName="m0c2dcf1cea74c7ab7adfccd440c62ee" ma:taxonomyFieldName="SO_x0020_Document" ma:displayName="SO Document" ma:default="" ma:fieldId="{60c2dcf1-cea7-4c7a-b7ad-fccd440c62ee}" ma:sspId="77c6bdd6-02a2-4c5d-ab62-b2d128ea9edb" ma:termSetId="6feef068-acd0-419b-9e8d-aff69a7a5503" ma:anchorId="00000000-0000-0000-0000-000000000000" ma:open="false" ma:isKeyword="false">
      <xsd:complexType>
        <xsd:sequence>
          <xsd:element ref="pc:Terms" minOccurs="0" maxOccurs="1"/>
        </xsd:sequence>
      </xsd:complexType>
    </xsd:element>
    <xsd:element name="off1a9046d8b4d0799baa464c5df4d06" ma:index="40" nillable="true" ma:taxonomy="true" ma:internalName="off1a9046d8b4d0799baa464c5df4d06" ma:taxonomyFieldName="Feedback_x0020_to_x0020_providers" ma:displayName="Feedback to providers" ma:default="" ma:fieldId="{8ff1a904-6d8b-4d07-99ba-a464c5df4d06}" ma:sspId="77c6bdd6-02a2-4c5d-ab62-b2d128ea9edb" ma:termSetId="7a80e2fb-4f81-4d47-b359-a22740c8c63c" ma:anchorId="00000000-0000-0000-0000-000000000000" ma:open="false" ma:isKeyword="false">
      <xsd:complexType>
        <xsd:sequence>
          <xsd:element ref="pc:Terms" minOccurs="0" maxOccurs="1"/>
        </xsd:sequence>
      </xsd:complexType>
    </xsd:element>
    <xsd:element name="Request_x0020_Number" ma:index="42" nillable="true" ma:displayName="Request Number" ma:internalName="Request_x0020_Numb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cro_division" ma:index="37" nillable="true" ma:displayName="Division" ma:description="" ma:format="Dropdown" ma:internalName="Division">
      <xsd:simpleType>
        <xsd:restriction base="dms:Choice">
          <xsd:enumeration value="SAR-RAD"/>
          <xsd:enumeration value="SPR-RPD"/>
          <xsd:enumeration value="SAI-IAD"/>
          <xsd:enumeration value="SI-I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ro_opendate xmlns="1b37d4f7-d9a3-47ea-acb3-58b7310d2bb5" xsi:nil="true"/>
    <if96f2d77cdd4b0d96c39a7b6bbeb5c7 xmlns="1b37d4f7-d9a3-47ea-acb3-58b7310d2bb5">
      <Terms xmlns="http://schemas.microsoft.com/office/infopath/2007/PartnerControls"/>
    </if96f2d77cdd4b0d96c39a7b6bbeb5c7>
    <cro_division xmlns="http://schemas.microsoft.com/sharepoint/v3/fields">SPR-RPD</cro_division>
    <a5baae700ac34b3e8f4d7fa977b90f00 xmlns="1b37d4f7-d9a3-47ea-acb3-58b7310d2bb5">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a5baae700ac34b3e8f4d7fa977b90f00>
    <o116a510182543959cc6b4f0c20fc6db xmlns="1b37d4f7-d9a3-47ea-acb3-58b7310d2bb5">
      <Terms xmlns="http://schemas.microsoft.com/office/infopath/2007/PartnerControls"/>
    </o116a510182543959cc6b4f0c20fc6db>
    <cro_caseid xmlns="1b37d4f7-d9a3-47ea-acb3-58b7310d2bb5">RAD-220124-003</cro_caseid>
    <m07fee477a6c4ac1a95ff5fcbb20bb4a xmlns="1b37d4f7-d9a3-47ea-acb3-58b7310d2bb5">
      <Terms xmlns="http://schemas.microsoft.com/office/infopath/2007/PartnerControls"/>
    </m07fee477a6c4ac1a95ff5fcbb20bb4a>
    <cro_description xmlns="1b37d4f7-d9a3-47ea-acb3-58b7310d2bb5" xsi:nil="true"/>
    <URL xmlns="http://schemas.microsoft.com/sharepoint/v3">
      <Url xsi:nil="true"/>
      <Description xsi:nil="true"/>
    </URL>
    <off1a9046d8b4d0799baa464c5df4d06 xmlns="1b37d4f7-d9a3-47ea-acb3-58b7310d2bb5">
      <Terms xmlns="http://schemas.microsoft.com/office/infopath/2007/PartnerControls"/>
    </off1a9046d8b4d0799baa464c5df4d06>
    <Request_x0020_Number xmlns="1b37d4f7-d9a3-47ea-acb3-58b7310d2bb5">RAD-220124-003</Request_x0020_Number>
    <e3a868c74b794922a60fdf66a8ff4b65 xmlns="1b37d4f7-d9a3-47ea-acb3-58b7310d2bb5">
      <Terms xmlns="http://schemas.microsoft.com/office/infopath/2007/PartnerControls"/>
    </e3a868c74b794922a60fdf66a8ff4b65>
    <cro_closeddate xmlns="1b37d4f7-d9a3-47ea-acb3-58b7310d2bb5" xsi:nil="true"/>
    <TaxCatchAll xmlns="0f9e17f3-614e-4312-9ab8-fe67f4af0412">
      <Value>130</Value>
      <Value>3</Value>
    </TaxCatchAll>
    <cro_alternatetitle xmlns="1b37d4f7-d9a3-47ea-acb3-58b7310d2bb5" xsi:nil="true"/>
    <irbxmlproperties xmlns="1b37d4f7-d9a3-47ea-acb3-58b7310d2bb5" xsi:nil="true"/>
    <k018f6f1962f4d40a6cb3096c3735057 xmlns="1b37d4f7-d9a3-47ea-acb3-58b7310d2bb5">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k018f6f1962f4d40a6cb3096c3735057>
    <RelatedItems xmlns="http://schemas.microsoft.com/sharepoint/v3" xsi:nil="true"/>
    <m0c2dcf1cea74c7ab7adfccd440c62ee xmlns="1b37d4f7-d9a3-47ea-acb3-58b7310d2bb5">
      <Terms xmlns="http://schemas.microsoft.com/office/infopath/2007/PartnerControls"/>
    </m0c2dcf1cea74c7ab7adfccd440c62ee>
    <_dlc_DocId xmlns="0f9e17f3-614e-4312-9ab8-fe67f4af0412">IRBCISR-1464244392-87009</_dlc_DocId>
    <_dlc_DocIdUrl xmlns="0f9e17f3-614e-4312-9ab8-fe67f4af0412">
      <Url>https://agora/sites/tsst/lssl/_layouts/15/DocIdRedir.aspx?ID=IRBCISR-1464244392-87009</Url>
      <Description>IRBCISR-1464244392-87009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9E77C-8027-427E-A47C-580FCB2722EF}">
  <ds:schemaRefs>
    <ds:schemaRef ds:uri="http://schemas.microsoft.com/sharepoint/events"/>
  </ds:schemaRefs>
</ds:datastoreItem>
</file>

<file path=customXml/itemProps2.xml><?xml version="1.0" encoding="utf-8"?>
<ds:datastoreItem xmlns:ds="http://schemas.openxmlformats.org/officeDocument/2006/customXml" ds:itemID="{AE6ABB8B-E62F-430A-A6DA-3AB9445F8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9e17f3-614e-4312-9ab8-fe67f4af0412"/>
    <ds:schemaRef ds:uri="1b37d4f7-d9a3-47ea-acb3-58b7310d2bb5"/>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CF494-DC7A-455B-9BFA-D1B76FBB8399}">
  <ds:schemaRefs>
    <ds:schemaRef ds:uri="http://schemas.microsoft.com/office/2006/metadata/properties"/>
    <ds:schemaRef ds:uri="http://schemas.microsoft.com/office/infopath/2007/PartnerControls"/>
    <ds:schemaRef ds:uri="1b37d4f7-d9a3-47ea-acb3-58b7310d2bb5"/>
    <ds:schemaRef ds:uri="http://schemas.microsoft.com/sharepoint/v3/fields"/>
    <ds:schemaRef ds:uri="http://schemas.microsoft.com/sharepoint/v3"/>
    <ds:schemaRef ds:uri="0f9e17f3-614e-4312-9ab8-fe67f4af0412"/>
  </ds:schemaRefs>
</ds:datastoreItem>
</file>

<file path=customXml/itemProps4.xml><?xml version="1.0" encoding="utf-8"?>
<ds:datastoreItem xmlns:ds="http://schemas.openxmlformats.org/officeDocument/2006/customXml" ds:itemID="{9753D46B-48EF-4290-9A9D-633C4C15992D}">
  <ds:schemaRefs>
    <ds:schemaRef ds:uri="http://schemas.microsoft.com/sharepoint/v3/contenttype/forms"/>
  </ds:schemaRefs>
</ds:datastoreItem>
</file>

<file path=customXml/itemProps5.xml><?xml version="1.0" encoding="utf-8"?>
<ds:datastoreItem xmlns:ds="http://schemas.openxmlformats.org/officeDocument/2006/customXml" ds:itemID="{FC6A0714-7A24-4F1E-AB66-6A8DDDCB8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Rad.25.02.fr.dotm</Template>
  <TotalTime>10</TotalTime>
  <Pages>16</Pages>
  <Words>3961</Words>
  <Characters>22578</Characters>
  <Application>Microsoft Office Word</Application>
  <DocSecurity>0</DocSecurity>
  <Lines>188</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RAD-220124-003</vt:lpstr>
      <vt:lpstr/>
    </vt:vector>
  </TitlesOfParts>
  <Company>IRB-CISR</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RAD-220124-003</dc:title>
  <dc:subject/>
  <dc:creator>Raissa</dc:creator>
  <cp:keywords/>
  <dc:description/>
  <cp:lastModifiedBy>Younes, Daniel</cp:lastModifiedBy>
  <cp:revision>6</cp:revision>
  <cp:lastPrinted>2020-03-12T13:47:00Z</cp:lastPrinted>
  <dcterms:created xsi:type="dcterms:W3CDTF">2022-03-14T13:36:00Z</dcterms:created>
  <dcterms:modified xsi:type="dcterms:W3CDTF">2022-03-17T12:52:00Z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0x01010036E39144D4F901409407AEDE92B62800000C706DD7559A134F8653FCDB1E9719C6</vt:lpwstr>
  </property>
  <property fmtid="{D5CDD505-2E9C-101B-9397-08002B2CF9AE}" pid="3" name="_dlc_DocIdItemGuid">
    <vt:lpwstr>1be544fd-3ef4-417a-aeb1-ec197144f5fc</vt:lpwstr>
  </property>
  <property fmtid="{D5CDD505-2E9C-101B-9397-08002B2CF9AE}" pid="4" name="SO Document">
    <vt:lpwstr/>
  </property>
  <property fmtid="{D5CDD505-2E9C-101B-9397-08002B2CF9AE}" pid="5" name="cro_year">
    <vt:lpwstr/>
  </property>
  <property fmtid="{D5CDD505-2E9C-101B-9397-08002B2CF9AE}" pid="6" name="Feedback to providers">
    <vt:lpwstr/>
  </property>
  <property fmtid="{D5CDD505-2E9C-101B-9397-08002B2CF9AE}" pid="7" name="cro_security">
    <vt:lpwstr>130;#Protected B|7478b0e9-a19e-4108-a3df-63b0abde93f7</vt:lpwstr>
  </property>
  <property fmtid="{D5CDD505-2E9C-101B-9397-08002B2CF9AE}" pid="8" name="cro_language">
    <vt:lpwstr>3;#English|1f505e73-209a-44b1-be62-0cd6c896feb3</vt:lpwstr>
  </property>
  <property fmtid="{D5CDD505-2E9C-101B-9397-08002B2CF9AE}" pid="9" name="cro_region">
    <vt:lpwstr/>
  </property>
  <property fmtid="{D5CDD505-2E9C-101B-9397-08002B2CF9AE}" pid="10" name="Translation Memory">
    <vt:lpwstr/>
  </property>
  <property fmtid="{D5CDD505-2E9C-101B-9397-08002B2CF9AE}" pid="11" name="cro_status">
    <vt:lpwstr/>
  </property>
</Properties>
</file>