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 No. / N</w:t>
      </w:r>
      <w:r>
        <w:rPr>
          <w:b w:val="1"/>
          <w:bCs w:val="1"/>
          <w:sz w:val="22"/>
          <w:szCs w:val="22"/>
          <w:vertAlign w:val="superscript"/>
          <w:rtl w:val="0"/>
          <w:lang w:val="fr-FR"/>
        </w:rPr>
        <w:t>o</w:t>
      </w:r>
      <w:r>
        <w:rPr>
          <w:b w:val="1"/>
          <w:bCs w:val="1"/>
          <w:sz w:val="22"/>
          <w:szCs w:val="22"/>
          <w:rtl w:val="0"/>
          <w:lang w:val="fr-FR"/>
        </w:rPr>
        <w:t xml:space="preserve"> de dossier de la SAR : MC002058</w:t>
      </w:r>
    </w:p>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i w:val="1"/>
          <w:iCs w:val="1"/>
          <w:sz w:val="22"/>
          <w:szCs w:val="22"/>
        </w:rPr>
      </w:pPr>
      <w:r>
        <w:rPr>
          <w:b w:val="1"/>
          <w:bCs w:val="1"/>
          <w:i w:val="1"/>
          <w:iCs w:val="1"/>
          <w:sz w:val="22"/>
          <w:szCs w:val="22"/>
          <w:rtl w:val="0"/>
          <w:lang w:val="nl-NL"/>
        </w:rPr>
        <w:t>Private Proceeding / Huis clos</w:t>
      </w:r>
    </w:p>
    <w:p>
      <w:pPr>
        <w:pStyle w:val="Body"/>
        <w:tabs>
          <w:tab w:val="clear" w:pos="576"/>
          <w:tab w:val="clear" w:pos="1008"/>
          <w:tab w:val="clear" w:pos="1440"/>
          <w:tab w:val="clear" w:pos="1872"/>
          <w:tab w:val="clear" w:pos="2304"/>
          <w:tab w:val="clear" w:pos="2736"/>
        </w:tabs>
        <w:spacing w:before="0" w:after="0"/>
        <w:jc w:val="left"/>
        <w:rPr>
          <w:rStyle w:val="reflex3-block"/>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Times New Roman" w:hAnsi="Times New Roman" w:hint="default"/>
          <w:i w:val="0"/>
          <w:iCs w:val="0"/>
          <w:sz w:val="32"/>
          <w:szCs w:val="32"/>
          <w:rtl w:val="0"/>
          <w:lang w:val="en-US"/>
        </w:rPr>
        <w:t xml:space="preserve">– </w:t>
      </w:r>
      <w:r>
        <w:rPr>
          <w:rFonts w:ascii="Times New Roman" w:hAnsi="Times New Roman"/>
          <w:i w:val="0"/>
          <w:iCs w:val="0"/>
          <w:sz w:val="32"/>
          <w:szCs w:val="32"/>
          <w:rtl w:val="0"/>
          <w:lang w:val="fr-FR"/>
        </w:rPr>
        <w:t>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w:spacing w:before="0" w:after="0"/>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52"/>
        <w:gridCol w:w="4426"/>
        <w:gridCol w:w="2414"/>
      </w:tblGrid>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 who is the subject of the appeal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rFonts w:ascii="Times New Roman" w:hAnsi="Times New Roman"/>
                <w:b w:val="1"/>
                <w:bCs w:val="1"/>
                <w:rtl w:val="0"/>
              </w:rPr>
              <w:t>V</w:t>
            </w:r>
            <w:r>
              <w:rPr>
                <w:rFonts w:ascii="Times New Roman" w:hAnsi="Times New Roman" w:hint="default"/>
                <w:b w:val="1"/>
                <w:bCs w:val="1"/>
                <w:rtl w:val="0"/>
              </w:rPr>
              <w:t>í</w:t>
            </w:r>
            <w:r>
              <w:rPr>
                <w:rFonts w:ascii="Times New Roman" w:hAnsi="Times New Roman"/>
                <w:b w:val="1"/>
                <w:bCs w:val="1"/>
                <w:rtl w:val="0"/>
              </w:rPr>
              <w:t>ctor Aguirre Mendoza Vel</w:t>
            </w:r>
            <w:r>
              <w:rPr>
                <w:rFonts w:ascii="Times New Roman" w:hAnsi="Times New Roman" w:hint="default"/>
                <w:b w:val="1"/>
                <w:bCs w:val="1"/>
                <w:rtl w:val="0"/>
              </w:rPr>
              <w:t>á</w:t>
            </w:r>
            <w:r>
              <w:rPr>
                <w:rFonts w:ascii="Times New Roman" w:hAnsi="Times New Roman"/>
                <w:b w:val="1"/>
                <w:bCs w:val="1"/>
                <w:rtl w:val="0"/>
              </w:rPr>
              <w:t>zquez</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 en cause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Appeal considered / heard at</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rPr>
              <w:t>Montr</w:t>
            </w:r>
            <w:r>
              <w:rPr>
                <w:rFonts w:ascii="Times New Roman" w:hAnsi="Times New Roman" w:hint="default"/>
                <w:sz w:val="24"/>
                <w:szCs w:val="24"/>
                <w:shd w:val="nil" w:color="auto" w:fill="auto"/>
                <w:rtl w:val="0"/>
                <w:lang w:val="fr-FR"/>
              </w:rPr>
              <w:t>é</w:t>
            </w:r>
            <w:r>
              <w:rPr>
                <w:rFonts w:ascii="Times New Roman" w:hAnsi="Times New Roman"/>
                <w:sz w:val="24"/>
                <w:szCs w:val="24"/>
                <w:shd w:val="nil" w:color="auto" w:fill="auto"/>
                <w:rtl w:val="0"/>
              </w:rPr>
              <w:t>al,</w:t>
            </w:r>
            <w:r>
              <w:rPr>
                <w:rFonts w:ascii="Times New Roman" w:hAnsi="Times New Roman" w:hint="default"/>
                <w:sz w:val="24"/>
                <w:szCs w:val="24"/>
                <w:shd w:val="nil" w:color="auto" w:fill="auto"/>
                <w:rtl w:val="0"/>
              </w:rPr>
              <w:t> </w:t>
            </w:r>
            <w:r>
              <w:rPr>
                <w:rFonts w:ascii="Times New Roman" w:hAnsi="Times New Roman"/>
                <w:sz w:val="24"/>
                <w:szCs w:val="24"/>
                <w:shd w:val="nil" w:color="auto" w:fill="auto"/>
                <w:rtl w:val="0"/>
                <w:lang w:val="es-ES_tradnl"/>
              </w:rPr>
              <w:t>Quebec</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 entendu </w:t>
            </w:r>
            <w:r>
              <w:rPr>
                <w:b w:val="1"/>
                <w:bCs w:val="1"/>
                <w:spacing w:val="-1"/>
                <w:sz w:val="20"/>
                <w:szCs w:val="20"/>
                <w:shd w:val="nil" w:color="auto" w:fill="auto"/>
                <w:rtl w:val="0"/>
                <w:lang w:val="fr-FR"/>
              </w:rPr>
              <w:t xml:space="preserve">à </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Date of decision</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March</w:t>
            </w:r>
            <w:r>
              <w:rPr>
                <w:shd w:val="nil" w:color="auto" w:fill="auto"/>
                <w:rtl w:val="0"/>
                <w:lang w:val="en-US"/>
              </w:rPr>
              <w:t> </w:t>
            </w:r>
            <w:r>
              <w:rPr>
                <w:shd w:val="nil" w:color="auto" w:fill="auto"/>
                <w:rtl w:val="0"/>
                <w:lang w:val="en-US"/>
              </w:rPr>
              <w:t>19, 2021</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Date de la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 xml:space="preserve">cision </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Panel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vertAlign w:val="superscript"/>
                <w:rtl w:val="0"/>
                <w:lang w:val="en-US"/>
              </w:rPr>
              <w:t> </w:t>
            </w:r>
            <w:r>
              <w:rPr>
                <w:shd w:val="nil" w:color="auto" w:fill="auto"/>
                <w:rtl w:val="0"/>
                <w:lang w:val="en-US"/>
              </w:rPr>
              <w:t>Kristine</w:t>
            </w:r>
            <w:r>
              <w:rPr>
                <w:shd w:val="nil" w:color="auto" w:fill="auto"/>
                <w:rtl w:val="0"/>
                <w:lang w:val="en-US"/>
              </w:rPr>
              <w:t> </w:t>
            </w:r>
            <w:r>
              <w:rPr>
                <w:shd w:val="nil" w:color="auto" w:fill="auto"/>
                <w:rtl w:val="0"/>
                <w:lang w:val="en-US"/>
              </w:rPr>
              <w:t>Plouffe-Malette</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Tribunal</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 who is the subject of the appeal</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Marco-Pierre</w:t>
            </w:r>
            <w:r>
              <w:rPr>
                <w:shd w:val="nil" w:color="auto" w:fill="auto"/>
                <w:rtl w:val="0"/>
                <w:lang w:val="en-US"/>
              </w:rPr>
              <w:t> </w:t>
            </w:r>
            <w:r>
              <w:rPr>
                <w:shd w:val="nil" w:color="auto" w:fill="auto"/>
                <w:rtl w:val="0"/>
                <w:lang w:val="en-US"/>
              </w:rPr>
              <w:t xml:space="preserve">Caza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 la personne en cause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Repr</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sentant(e) d</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sign</w:t>
            </w:r>
            <w:r>
              <w:rPr>
                <w:b w:val="1"/>
                <w:bCs w:val="1"/>
                <w:spacing w:val="-1"/>
                <w:sz w:val="20"/>
                <w:szCs w:val="20"/>
                <w:shd w:val="nil" w:color="auto" w:fill="auto"/>
                <w:rtl w:val="0"/>
                <w:lang w:val="fr-FR"/>
              </w:rPr>
              <w:t>é</w:t>
            </w:r>
            <w:r>
              <w:rPr>
                <w:b w:val="1"/>
                <w:bCs w:val="1"/>
                <w:spacing w:val="-1"/>
                <w:sz w:val="20"/>
                <w:szCs w:val="20"/>
                <w:shd w:val="nil" w:color="auto" w:fill="auto"/>
                <w:rtl w:val="0"/>
                <w:lang w:val="fr-FR"/>
              </w:rPr>
              <w:t>(e)</w:t>
            </w: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426"/>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520"/>
            <w:gridSpan w:val="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Minister</w:t>
            </w:r>
          </w:p>
        </w:tc>
        <w:tc>
          <w:tcPr>
            <w:tcW w:type="dxa" w:w="4426"/>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Conseil du ministre</w:t>
            </w:r>
          </w:p>
        </w:tc>
      </w:tr>
      <w:tr>
        <w:tblPrEx>
          <w:shd w:val="clear" w:color="auto" w:fill="d0ddef"/>
        </w:tblPrEx>
        <w:trPr>
          <w:trHeight w:val="4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tc>
        <w:tc>
          <w:tcPr>
            <w:tcW w:type="dxa" w:w="4678"/>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before="0" w:after="0"/>
        <w:jc w:val="center"/>
      </w:pPr>
    </w:p>
    <w:p>
      <w:pPr>
        <w:pStyle w:val="Body"/>
        <w:tabs>
          <w:tab w:val="clear" w:pos="576"/>
          <w:tab w:val="clear" w:pos="1008"/>
          <w:tab w:val="clear" w:pos="1440"/>
          <w:tab w:val="clear" w:pos="1872"/>
          <w:tab w:val="clear" w:pos="2304"/>
          <w:tab w:val="clear" w:pos="2736"/>
        </w:tabs>
        <w:spacing w:before="0" w:after="160" w:line="259" w:lineRule="auto"/>
        <w:jc w:val="left"/>
      </w:pPr>
      <w:r>
        <w:rPr>
          <w:rStyle w:val="reflex3-block"/>
          <w:rFonts w:ascii="Arial Unicode MS" w:cs="Arial Unicode MS" w:hAnsi="Arial Unicode MS" w:eastAsia="Arial Unicode MS"/>
          <w:b w:val="0"/>
          <w:bCs w:val="0"/>
          <w:i w:val="0"/>
          <w:iCs w:val="0"/>
        </w:rPr>
        <w:br w:type="page"/>
      </w:r>
    </w:p>
    <w:p>
      <w:pPr>
        <w:pStyle w:val="Body"/>
        <w:spacing w:before="0" w:after="0"/>
      </w:pPr>
    </w:p>
    <w:p>
      <w:pPr>
        <w:pStyle w:val="Body"/>
        <w:spacing w:before="0" w:after="0"/>
      </w:pP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w:tabs>
          <w:tab w:val="left" w:pos="5040"/>
          <w:tab w:val="clear" w:pos="576"/>
          <w:tab w:val="clear" w:pos="1008"/>
        </w:tabs>
        <w:spacing w:before="480" w:after="24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w:t>
      </w:r>
      <w:r>
        <w:rPr>
          <w:rFonts w:ascii="Times New Roman" w:hAnsi="Times New Roman"/>
          <w:b w:val="1"/>
          <w:bCs w:val="1"/>
          <w:sz w:val="24"/>
          <w:szCs w:val="24"/>
          <w:rtl w:val="0"/>
          <w:lang w:val="en-US"/>
        </w:rPr>
        <w:t>V</w:t>
      </w:r>
      <w:r>
        <w:rPr>
          <w:rFonts w:ascii="Times New Roman" w:hAnsi="Times New Roman" w:hint="default"/>
          <w:b w:val="1"/>
          <w:bCs w:val="1"/>
          <w:sz w:val="24"/>
          <w:szCs w:val="24"/>
          <w:rtl w:val="0"/>
          <w:lang w:val="en-US"/>
        </w:rPr>
        <w:t>í</w:t>
      </w:r>
      <w:r>
        <w:rPr>
          <w:rFonts w:ascii="Times New Roman" w:hAnsi="Times New Roman"/>
          <w:b w:val="1"/>
          <w:bCs w:val="1"/>
          <w:sz w:val="24"/>
          <w:szCs w:val="24"/>
          <w:rtl w:val="0"/>
          <w:lang w:val="en-US"/>
        </w:rPr>
        <w:t xml:space="preserve">ctor </w:t>
      </w:r>
      <w:r>
        <w:rPr>
          <w:rFonts w:ascii="Times New Roman" w:hAnsi="Times New Roman"/>
          <w:b w:val="1"/>
          <w:bCs w:val="1"/>
          <w:sz w:val="24"/>
          <w:szCs w:val="24"/>
          <w:rtl w:val="0"/>
          <w:lang w:val="en-US"/>
        </w:rPr>
        <w:t>Aguirre</w:t>
      </w:r>
      <w:r>
        <w:rPr>
          <w:rFonts w:ascii="Times New Roman" w:hAnsi="Times New Roman"/>
          <w:b w:val="1"/>
          <w:bCs w:val="1"/>
          <w:sz w:val="24"/>
          <w:szCs w:val="24"/>
          <w:rtl w:val="0"/>
          <w:lang w:val="en-US"/>
        </w:rPr>
        <w:t xml:space="preserve"> Mendoza</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Vel</w:t>
      </w:r>
      <w:r>
        <w:rPr>
          <w:rFonts w:ascii="Times New Roman" w:hAnsi="Times New Roman" w:hint="default"/>
          <w:b w:val="1"/>
          <w:bCs w:val="1"/>
          <w:sz w:val="24"/>
          <w:szCs w:val="24"/>
          <w:rtl w:val="0"/>
          <w:lang w:val="en-US"/>
        </w:rPr>
        <w:t>á</w:t>
      </w:r>
      <w:r>
        <w:rPr>
          <w:rFonts w:ascii="Times New Roman" w:hAnsi="Times New Roman"/>
          <w:b w:val="1"/>
          <w:bCs w:val="1"/>
          <w:sz w:val="24"/>
          <w:szCs w:val="24"/>
          <w:rtl w:val="0"/>
          <w:lang w:val="en-US"/>
        </w:rPr>
        <w:t>zquez</w:t>
      </w:r>
      <w:r>
        <w:rPr>
          <w:rStyle w:val="reflex3-block"/>
          <w:rFonts w:ascii="Times New Roman" w:hAnsi="Times New Roman"/>
          <w:sz w:val="24"/>
          <w:szCs w:val="24"/>
          <w:rtl w:val="0"/>
          <w:lang w:val="en-US"/>
        </w:rPr>
        <w:t>, a Mexican citizen, fears for his life because of death threats and the extortion he was subjected to by members of the Cartel Jalisco Nueva Generacion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(CJNG) between </w:t>
      </w:r>
      <w:r>
        <w:rPr>
          <w:rStyle w:val="reflex3-block"/>
          <w:rFonts w:ascii="Times New Roman" w:hAnsi="Times New Roman"/>
          <w:sz w:val="24"/>
          <w:szCs w:val="24"/>
          <w:rtl w:val="0"/>
          <w:lang w:val="en-US"/>
        </w:rPr>
        <w:t>February</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December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2018.</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He is appealing the decicision rendered on January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14, 2020, by the Refugee Protection Division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(RPD), which found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testimony to be generally credible, but concluded that he had an internal flight alternative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(IFA) available to him in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rida,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 xml:space="preserve">n, and Durango, in the state of the same name.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appellant is challenging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conclusion with respect to the IFA. He filed six</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new</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pieces of evidence, one of which is admitted on appeal. However, the request for an oral hearing is denied, as the document admitted does not meet the criteria set out in subsection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110(6) of the </w:t>
      </w:r>
      <w:r>
        <w:rPr>
          <w:rStyle w:val="Emphasis A"/>
          <w:rFonts w:ascii="Times New Roman" w:hAnsi="Times New Roman"/>
          <w:i w:val="1"/>
          <w:iCs w:val="1"/>
          <w:sz w:val="24"/>
          <w:szCs w:val="24"/>
          <w:rtl w:val="0"/>
          <w:lang w:val="en-US"/>
        </w:rPr>
        <w:t>Immigration and Refugee Protection Act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(IRPA).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For the reasons set out below, the Refugee Appeal Division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(RAD) allows the appeal, sets aside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determination and determines that the appellant is a person in need of protection, as he does not have a safe IFA in Mexico.  </w:t>
      </w:r>
    </w:p>
    <w:p>
      <w:pPr>
        <w:pStyle w:val="List Paragraph"/>
        <w:tabs>
          <w:tab w:val="left" w:pos="709"/>
          <w:tab w:val="left" w:pos="862"/>
        </w:tabs>
        <w:spacing w:before="48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BACKGROUND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who is a </w:t>
      </w:r>
      <w:r>
        <w:rPr>
          <w:rStyle w:val="reflex3-block"/>
          <w:rFonts w:ascii="Times New Roman" w:hAnsi="Times New Roman"/>
          <w:sz w:val="24"/>
          <w:szCs w:val="24"/>
          <w:rtl w:val="0"/>
          <w:lang w:val="en-US"/>
        </w:rPr>
        <w:t>ceramic</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artist</w:t>
      </w:r>
      <w:r>
        <w:rPr>
          <w:rStyle w:val="reflex3-block"/>
          <w:rFonts w:ascii="Times New Roman" w:hAnsi="Times New Roman"/>
          <w:sz w:val="24"/>
          <w:szCs w:val="24"/>
          <w:rtl w:val="0"/>
          <w:lang w:val="en-US"/>
        </w:rPr>
        <w:t xml:space="preserve"> by trade and a co-owner of a </w:t>
      </w:r>
      <w:r>
        <w:rPr>
          <w:rStyle w:val="reflex3-block"/>
          <w:rFonts w:ascii="Times New Roman" w:hAnsi="Times New Roman"/>
          <w:sz w:val="24"/>
          <w:szCs w:val="24"/>
          <w:rtl w:val="0"/>
          <w:lang w:val="en-US"/>
        </w:rPr>
        <w:t>ceramic workshop</w:t>
      </w:r>
      <w:r>
        <w:rPr>
          <w:rStyle w:val="reflex3-block"/>
          <w:rFonts w:ascii="Times New Roman" w:hAnsi="Times New Roman"/>
          <w:sz w:val="24"/>
          <w:szCs w:val="24"/>
          <w:rtl w:val="0"/>
          <w:lang w:val="en-US"/>
        </w:rPr>
        <w:t xml:space="preserve"> in Tlaquepaque, states that he fears for his life because he has been threatened with death, assaulted, beaten and subjected to extortion by CJNG members.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story is not limited to his own situation and includes numerous members of his family.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February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8</w:t>
      </w:r>
      <w:r>
        <w:rPr>
          <w:rStyle w:val="reflex3-block"/>
          <w:rFonts w:ascii="Times New Roman" w:hAnsi="Times New Roman"/>
          <w:sz w:val="24"/>
          <w:szCs w:val="24"/>
          <w:rtl w:val="0"/>
          <w:lang w:val="en-US"/>
        </w:rPr>
        <w:t>, 2018, some CJNG members visited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 who operated a business in the same building, for extortion purposes. A surveillance camera system was reportedly installed subsequently.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February 21</w:t>
      </w:r>
      <w:r>
        <w:rPr>
          <w:rStyle w:val="reflex3-block"/>
          <w:rFonts w:ascii="Times New Roman" w:hAnsi="Times New Roman"/>
          <w:sz w:val="24"/>
          <w:szCs w:val="24"/>
          <w:rtl w:val="0"/>
          <w:lang w:val="en-US"/>
        </w:rPr>
        <w:t xml:space="preserve">, 2018, the appellant and his brother-in-law, co-owners of the </w:t>
      </w:r>
      <w:r>
        <w:rPr>
          <w:rStyle w:val="reflex3-block"/>
          <w:rFonts w:ascii="Times New Roman" w:hAnsi="Times New Roman"/>
          <w:sz w:val="24"/>
          <w:szCs w:val="24"/>
          <w:rtl w:val="0"/>
          <w:lang w:val="en-US"/>
        </w:rPr>
        <w:t>ceramic workshop</w:t>
      </w:r>
      <w:r>
        <w:rPr>
          <w:rStyle w:val="reflex3-block"/>
          <w:rFonts w:ascii="Times New Roman" w:hAnsi="Times New Roman"/>
          <w:sz w:val="24"/>
          <w:szCs w:val="24"/>
          <w:rtl w:val="0"/>
          <w:lang w:val="en-US"/>
        </w:rPr>
        <w:t>, were visited by three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CJNG</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members. They were forcibly confined and threatened with death if they did not pay </w:t>
      </w:r>
      <w:r>
        <w:rPr>
          <w:rStyle w:val="reflex3-block"/>
          <w:rFonts w:ascii="Times New Roman" w:hAnsi="Times New Roman"/>
          <w:sz w:val="24"/>
          <w:szCs w:val="24"/>
          <w:rtl w:val="0"/>
          <w:lang w:val="en-US"/>
        </w:rPr>
        <w:t>twenty-four thousand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pesos.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Tuesday,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March</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6</w:t>
      </w:r>
      <w:r>
        <w:rPr>
          <w:rStyle w:val="reflex3-block"/>
          <w:rFonts w:ascii="Times New Roman" w:hAnsi="Times New Roman"/>
          <w:sz w:val="24"/>
          <w:szCs w:val="24"/>
          <w:rtl w:val="0"/>
          <w:lang w:val="en-US"/>
        </w:rPr>
        <w:t xml:space="preserve"> 2018, the same individuals went to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They physically assaulted the appellant because he could not pay the amount demanded.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Saturday,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March</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20</w:t>
      </w:r>
      <w:r>
        <w:rPr>
          <w:rStyle w:val="reflex3-block"/>
          <w:rFonts w:ascii="Times New Roman" w:hAnsi="Times New Roman"/>
          <w:sz w:val="24"/>
          <w:szCs w:val="24"/>
          <w:rtl w:val="0"/>
          <w:lang w:val="en-US"/>
        </w:rPr>
        <w:t xml:space="preserve"> 2018, the appellant received a call demanding again that he pay, which he did on </w:t>
      </w:r>
      <w:r>
        <w:rPr>
          <w:rStyle w:val="reflex3-block"/>
          <w:rFonts w:ascii="Times New Roman" w:hAnsi="Times New Roman"/>
          <w:sz w:val="24"/>
          <w:szCs w:val="24"/>
          <w:rtl w:val="0"/>
          <w:lang w:val="en-US"/>
        </w:rPr>
        <w:t>Monday,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March 22.</w:t>
      </w:r>
      <w:r>
        <w:rPr>
          <w:rStyle w:val="reflex3-block"/>
          <w:rFonts w:ascii="Times New Roman" w:hAnsi="Times New Roman"/>
          <w:sz w:val="24"/>
          <w:szCs w:val="24"/>
          <w:rtl w:val="0"/>
          <w:lang w:val="en-US"/>
        </w:rPr>
        <w:t xml:space="preserve"> That same day, he received a message threatening his mother and his spouse, both of whom were employees and were present at the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when the money was handed over.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Thursday, April 27</w:t>
      </w:r>
      <w:r>
        <w:rPr>
          <w:rStyle w:val="reflex3-block"/>
          <w:rFonts w:ascii="Times New Roman" w:hAnsi="Times New Roman"/>
          <w:sz w:val="24"/>
          <w:szCs w:val="24"/>
          <w:rtl w:val="0"/>
          <w:lang w:val="en-US"/>
        </w:rPr>
        <w:t xml:space="preserve"> 2018, a kidnapping attempt was made against the daughter of another of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sisters as she was leaving school.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mid-</w:t>
      </w:r>
      <w:r>
        <w:rPr>
          <w:rStyle w:val="reflex3-block"/>
          <w:rFonts w:ascii="Times New Roman" w:hAnsi="Times New Roman"/>
          <w:sz w:val="24"/>
          <w:szCs w:val="24"/>
          <w:rtl w:val="0"/>
          <w:lang w:val="en-US"/>
        </w:rPr>
        <w:t>May</w:t>
      </w:r>
      <w:r>
        <w:rPr>
          <w:rStyle w:val="reflex3-block"/>
          <w:rFonts w:ascii="Times New Roman" w:hAnsi="Times New Roman"/>
          <w:sz w:val="24"/>
          <w:szCs w:val="24"/>
          <w:rtl w:val="0"/>
          <w:lang w:val="en-US"/>
        </w:rPr>
        <w: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sister and brother-in-law informed him that they were leaving for Puerto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Vallarta.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Sunday,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May 17</w:t>
      </w:r>
      <w:r>
        <w:rPr>
          <w:rStyle w:val="reflex3-block"/>
          <w:rFonts w:ascii="Times New Roman" w:hAnsi="Times New Roman"/>
          <w:sz w:val="24"/>
          <w:szCs w:val="24"/>
          <w:rtl w:val="0"/>
          <w:lang w:val="en-US"/>
        </w:rPr>
        <w:t xml:space="preserve"> 2018, while he was parking his car near his spouse</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home, he was informed by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men that they were monitoring his movements and knew the schedules of his spouse, his mother and his nephew, who lived with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That evening, the appellant and his spouse took refuge with friends.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May 23</w:t>
      </w:r>
      <w:r>
        <w:rPr>
          <w:rStyle w:val="reflex3-block"/>
          <w:rFonts w:ascii="Times New Roman" w:hAnsi="Times New Roman"/>
          <w:sz w:val="24"/>
          <w:szCs w:val="24"/>
          <w:rtl w:val="0"/>
          <w:lang w:val="en-US"/>
        </w:rPr>
        <w:t>, 2018,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individuals went to the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to collect a payment. That same day, when he received a call to congratulate him for co-operating, the appellant indicated that he could not pay anymore as he had given them all of his savings.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June</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w:t>
      </w:r>
      <w:r>
        <w:rPr>
          <w:rStyle w:val="reflex3-block"/>
          <w:rFonts w:ascii="Times New Roman" w:hAnsi="Times New Roman"/>
          <w:sz w:val="24"/>
          <w:szCs w:val="24"/>
          <w:rtl w:val="0"/>
          <w:lang w:val="en-US"/>
        </w:rPr>
        <w:t xml:space="preserve">, 2018, the appellant received a call informing him that the money would be collected the following day. On </w:t>
      </w:r>
      <w:r>
        <w:rPr>
          <w:rStyle w:val="reflex3-block"/>
          <w:rFonts w:ascii="Times New Roman" w:hAnsi="Times New Roman"/>
          <w:sz w:val="24"/>
          <w:szCs w:val="24"/>
          <w:rtl w:val="0"/>
          <w:lang w:val="en-US"/>
        </w:rPr>
        <w:t>Wednesday, June</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2</w:t>
      </w:r>
      <w:r>
        <w:rPr>
          <w:rStyle w:val="reflex3-block"/>
          <w:rFonts w:ascii="Times New Roman" w:hAnsi="Times New Roman"/>
          <w:sz w:val="24"/>
          <w:szCs w:val="24"/>
          <w:rtl w:val="0"/>
          <w:lang w:val="en-US"/>
        </w:rPr>
        <w:t xml:space="preserve"> 2018, the appellant did not pay the amount demanded, as he had no more money. A few hours later, he received a call from his spouse, who was with cartel members who were at her home and threatening her. When the appellant got there, the men had left the home.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Friday,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June</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15</w:t>
      </w:r>
      <w:r>
        <w:rPr>
          <w:rStyle w:val="reflex3-block"/>
          <w:rFonts w:ascii="Times New Roman" w:hAnsi="Times New Roman"/>
          <w:sz w:val="24"/>
          <w:szCs w:val="24"/>
          <w:rtl w:val="0"/>
          <w:lang w:val="en-US"/>
        </w:rPr>
        <w:t xml:space="preserve"> 2018, the men from the cartel came to the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with suitcases for the appellant to help traffic the drugs they contained. When the appellant refused, they assaulted his spouse and pointed a gun at her head, terrorizing his mother.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June</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18</w:t>
      </w:r>
      <w:r>
        <w:rPr>
          <w:rStyle w:val="reflex3-block"/>
          <w:rFonts w:ascii="Times New Roman" w:hAnsi="Times New Roman"/>
          <w:sz w:val="24"/>
          <w:szCs w:val="24"/>
          <w:rtl w:val="0"/>
          <w:lang w:val="en-US"/>
        </w:rPr>
        <w:t xml:space="preserve"> 2018, an initial exchange of merchandise took place at the </w:t>
      </w:r>
      <w:r>
        <w:rPr>
          <w:rStyle w:val="reflex3-block"/>
          <w:rFonts w:ascii="Times New Roman" w:hAnsi="Times New Roman"/>
          <w:sz w:val="24"/>
          <w:szCs w:val="24"/>
          <w:rtl w:val="0"/>
          <w:lang w:val="en-US"/>
        </w:rPr>
        <w:t>ceramic</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The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appellant had to accept a suitcase that he was then supposed to give to someone else.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July 5</w:t>
      </w:r>
      <w:r>
        <w:rPr>
          <w:rStyle w:val="reflex3-block"/>
          <w:rFonts w:ascii="Times New Roman" w:hAnsi="Times New Roman"/>
          <w:sz w:val="24"/>
          <w:szCs w:val="24"/>
          <w:rtl w:val="0"/>
          <w:lang w:val="en-US"/>
        </w:rPr>
        <w:t>, 2018, the appellant and his spouse, brother-in-law and sister, as well as his best friend, were out at a restaurant. At the end of the evening, cartel members appeared on a motorcycle and fired shots at them.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friend was killed. He received a call confirming that this was indeed a warning and that his mother would be next.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Payments were made and drugs were trafficked again in </w:t>
      </w:r>
      <w:r>
        <w:rPr>
          <w:rStyle w:val="reflex3-block"/>
          <w:rFonts w:ascii="Times New Roman" w:hAnsi="Times New Roman"/>
          <w:sz w:val="24"/>
          <w:szCs w:val="24"/>
          <w:rtl w:val="0"/>
          <w:lang w:val="en-US"/>
        </w:rPr>
        <w:t>July</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August</w:t>
      </w:r>
      <w:r>
        <w:rPr>
          <w:rStyle w:val="reflex3-block"/>
          <w:rFonts w:ascii="Times New Roman" w:hAnsi="Times New Roman"/>
          <w:sz w:val="24"/>
          <w:szCs w:val="24"/>
          <w:rtl w:val="0"/>
          <w:lang w:val="en-US"/>
        </w:rPr>
        <w:t xml:space="preserve">. In </w:t>
      </w:r>
      <w:r>
        <w:rPr>
          <w:rStyle w:val="reflex3-block"/>
          <w:rFonts w:ascii="Times New Roman" w:hAnsi="Times New Roman"/>
          <w:sz w:val="24"/>
          <w:szCs w:val="24"/>
          <w:rtl w:val="0"/>
          <w:lang w:val="en-US"/>
        </w:rPr>
        <w:t>September</w:t>
      </w:r>
      <w:r>
        <w:rPr>
          <w:rStyle w:val="reflex3-block"/>
          <w:rFonts w:ascii="Times New Roman" w:hAnsi="Times New Roman"/>
          <w:sz w:val="24"/>
          <w:szCs w:val="24"/>
          <w:rtl w:val="0"/>
          <w:lang w:val="en-US"/>
        </w:rPr>
        <w:t>, no merchandise was trafficked, but the appellant made a payment. Individuals began asking him about his brother-in-law</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whereabouts. In the absence of a response, death threats were made against both of them.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October</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18</w:t>
      </w:r>
      <w:r>
        <w:rPr>
          <w:rStyle w:val="reflex3-block"/>
          <w:rFonts w:ascii="Times New Roman" w:hAnsi="Times New Roman"/>
          <w:sz w:val="24"/>
          <w:szCs w:val="24"/>
          <w:rtl w:val="0"/>
          <w:lang w:val="en-US"/>
        </w:rPr>
        <w:t>, 2018,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brother-in-law called him to inform him that his sister had been the victim of a kidnapping attempt. From that point on, the appellant, his mother and his spouse stopped going to the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The appellant went into hiding, and his mother and nephew moved.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w:t>
      </w:r>
      <w:r>
        <w:rPr>
          <w:rStyle w:val="reflex3-block"/>
          <w:rFonts w:ascii="Times New Roman" w:hAnsi="Times New Roman"/>
          <w:sz w:val="24"/>
          <w:szCs w:val="24"/>
          <w:rtl w:val="0"/>
          <w:lang w:val="en-US"/>
        </w:rPr>
        <w:t>October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2018, the appellant went to </w:t>
      </w:r>
      <w:r>
        <w:rPr>
          <w:rFonts w:ascii="Times New Roman" w:hAnsi="Times New Roman"/>
          <w:sz w:val="24"/>
          <w:szCs w:val="24"/>
          <w:rtl w:val="0"/>
          <w:lang w:val="en-US"/>
        </w:rPr>
        <w:t>Guadalajara</w:t>
      </w:r>
      <w:r>
        <w:rPr>
          <w:rStyle w:val="reflex3-block"/>
          <w:rFonts w:ascii="Times New Roman" w:hAnsi="Times New Roman"/>
          <w:sz w:val="24"/>
          <w:szCs w:val="24"/>
          <w:rtl w:val="0"/>
          <w:lang w:val="en-US"/>
        </w:rPr>
        <w:t xml:space="preserve"> to work. On </w:t>
      </w:r>
      <w:r>
        <w:rPr>
          <w:rStyle w:val="reflex3-block"/>
          <w:rFonts w:ascii="Times New Roman" w:hAnsi="Times New Roman"/>
          <w:sz w:val="24"/>
          <w:szCs w:val="24"/>
          <w:rtl w:val="0"/>
          <w:lang w:val="en-US"/>
        </w:rPr>
        <w:t>Sunday October</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16</w:t>
      </w:r>
      <w:r>
        <w:rPr>
          <w:rStyle w:val="reflex3-block"/>
          <w:rFonts w:ascii="Times New Roman" w:hAnsi="Times New Roman"/>
          <w:sz w:val="24"/>
          <w:szCs w:val="24"/>
          <w:rtl w:val="0"/>
          <w:lang w:val="en-US"/>
        </w:rPr>
        <w:t xml:space="preserve"> 2018, his mother called him to inform him that her home had been ransacked and that his nephew had been assaulted leaving school. The appellant went to see his mother. When he arrived, he received a call telling him that he still owed money to the cartel. All</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three of them left and went to Hidalgo, in the state of Michoac</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to stay with an aunt, who provided them with shelter at a religious establishment.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spouse took refuge at her parents</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 xml:space="preserve">home in the same state.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returned to </w:t>
      </w:r>
      <w:r>
        <w:rPr>
          <w:rStyle w:val="reflex3-block"/>
          <w:rFonts w:ascii="Times New Roman" w:hAnsi="Times New Roman"/>
          <w:sz w:val="24"/>
          <w:szCs w:val="24"/>
          <w:rtl w:val="0"/>
          <w:lang w:val="en-US"/>
        </w:rPr>
        <w:t>Guadalajara</w:t>
      </w:r>
      <w:r>
        <w:rPr>
          <w:rStyle w:val="reflex3-block"/>
          <w:rFonts w:ascii="Times New Roman" w:hAnsi="Times New Roman"/>
          <w:sz w:val="24"/>
          <w:szCs w:val="24"/>
          <w:rtl w:val="0"/>
          <w:lang w:val="en-US"/>
        </w:rPr>
        <w:t xml:space="preserve"> to work in order to save up the money needed to flee the country. He left Mexico for Canada on </w:t>
      </w:r>
      <w:r>
        <w:rPr>
          <w:rStyle w:val="reflex3-block"/>
          <w:rFonts w:ascii="Times New Roman" w:hAnsi="Times New Roman"/>
          <w:sz w:val="24"/>
          <w:szCs w:val="24"/>
          <w:rtl w:val="0"/>
          <w:lang w:val="en-US"/>
        </w:rPr>
        <w:t>January 30</w:t>
      </w:r>
      <w:r>
        <w:rPr>
          <w:rStyle w:val="reflex3-block"/>
          <w:rFonts w:ascii="Times New Roman" w:hAnsi="Times New Roman"/>
          <w:sz w:val="24"/>
          <w:szCs w:val="24"/>
          <w:rtl w:val="0"/>
          <w:lang w:val="en-US"/>
        </w:rPr>
        <w:t xml:space="preserve">, 2019.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Monday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February</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11</w:t>
      </w:r>
      <w:r>
        <w:rPr>
          <w:rStyle w:val="reflex3-block"/>
          <w:rFonts w:ascii="Times New Roman" w:hAnsi="Times New Roman"/>
          <w:sz w:val="24"/>
          <w:szCs w:val="24"/>
          <w:rtl w:val="0"/>
          <w:lang w:val="en-US"/>
        </w:rPr>
        <w:t xml:space="preserve"> 2019,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mother and nephew were assaulted and threatened in the middle of the street, in the city of L</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on, by cartel members, who informed them that they were still looking for the appellant.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On </w:t>
      </w:r>
      <w:r>
        <w:rPr>
          <w:rStyle w:val="reflex3-block"/>
          <w:rFonts w:ascii="Times New Roman" w:hAnsi="Times New Roman"/>
          <w:sz w:val="24"/>
          <w:szCs w:val="24"/>
          <w:rtl w:val="0"/>
          <w:lang w:val="en-US"/>
        </w:rPr>
        <w:t>March 1</w:t>
      </w:r>
      <w:r>
        <w:rPr>
          <w:rStyle w:val="reflex3-block"/>
          <w:rFonts w:ascii="Times New Roman" w:hAnsi="Times New Roman"/>
          <w:sz w:val="24"/>
          <w:szCs w:val="24"/>
          <w:rtl w:val="0"/>
          <w:lang w:val="en-US"/>
        </w:rPr>
        <w:t xml:space="preserve">, 2019, a friend of the appellant who had witnessed the assault on </w:t>
      </w:r>
      <w:r>
        <w:rPr>
          <w:rFonts w:ascii="Times New Roman" w:hAnsi="Times New Roman"/>
          <w:sz w:val="24"/>
          <w:szCs w:val="24"/>
          <w:rtl w:val="0"/>
          <w:lang w:val="en-US"/>
        </w:rPr>
        <w:t>Sunday October</w:t>
      </w:r>
      <w:r>
        <w:rPr>
          <w:rFonts w:ascii="Times New Roman" w:hAnsi="Times New Roman"/>
          <w:sz w:val="24"/>
          <w:szCs w:val="24"/>
          <w:rtl w:val="0"/>
          <w:lang w:val="en-US"/>
        </w:rPr>
        <w:t xml:space="preserve"> </w:t>
      </w:r>
      <w:r>
        <w:rPr>
          <w:rFonts w:ascii="Times New Roman" w:hAnsi="Times New Roman"/>
          <w:sz w:val="24"/>
          <w:szCs w:val="24"/>
          <w:rtl w:val="0"/>
          <w:lang w:val="en-US"/>
        </w:rPr>
        <w:t>16</w:t>
      </w:r>
      <w:r>
        <w:rPr>
          <w:rStyle w:val="reflex3-block"/>
          <w:rFonts w:ascii="Times New Roman" w:hAnsi="Times New Roman"/>
          <w:sz w:val="24"/>
          <w:szCs w:val="24"/>
          <w:rtl w:val="0"/>
          <w:lang w:val="en-US"/>
        </w:rPr>
        <w:t xml:space="preserve"> 2018, contacted him asking for help because he was now being targeted by the cartel, which was looking for the appellant. </w:t>
      </w:r>
    </w:p>
    <w:p>
      <w:pPr>
        <w:pStyle w:val="List Paragraph"/>
        <w:widowControl w:val="0"/>
        <w:tabs>
          <w:tab w:val="left" w:pos="709"/>
        </w:tabs>
        <w:spacing w:before="240" w:after="240"/>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PARTIAL ADMISSION OF NEW EVIDENCE AND DENIAL OF THE REQUEST FOR AN ORAL HEARING </w:t>
      </w:r>
    </w:p>
    <w:p>
      <w:pPr>
        <w:pStyle w:val="Normal_ParagNum"/>
        <w:numPr>
          <w:ilvl w:val="0"/>
          <w:numId w:val="2"/>
        </w:numPr>
        <w:spacing w:before="240" w:after="240"/>
        <w:rPr>
          <w:lang w:val="en-US"/>
        </w:rPr>
      </w:pPr>
      <w:r>
        <w:rPr>
          <w:outline w:val="0"/>
          <w:color w:val="000000"/>
          <w:u w:color="000000"/>
          <w:rtl w:val="0"/>
          <w:lang w:val="en-US"/>
          <w14:textFill>
            <w14:solidFill>
              <w14:srgbClr w14:val="000000"/>
            </w14:solidFill>
          </w14:textFill>
        </w:rPr>
        <w:t>To be admissible before the RAD, the new evidence must first meet the criteria set out in subsection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110(4) of the IRPA and then those in </w:t>
      </w:r>
      <w:bookmarkStart w:name="_Hlk64358119" w:id="0"/>
      <w:r>
        <w:rPr>
          <w:i w:val="1"/>
          <w:iCs w:val="1"/>
          <w:outline w:val="0"/>
          <w:color w:val="000000"/>
          <w:u w:color="000000"/>
          <w:rtl w:val="0"/>
          <w:lang w:val="en-US"/>
          <w14:textFill>
            <w14:solidFill>
              <w14:srgbClr w14:val="000000"/>
            </w14:solidFill>
          </w14:textFill>
        </w:rPr>
        <w:t>Singh</w:t>
      </w:r>
      <w:r>
        <w:rPr>
          <w:outline w:val="0"/>
          <w:color w:val="000000"/>
          <w:u w:color="000000"/>
          <w:rtl w:val="0"/>
          <w:lang w:val="en-US"/>
          <w14:textFill>
            <w14:solidFill>
              <w14:srgbClr w14:val="000000"/>
            </w14:solidFill>
          </w14:textFill>
        </w:rPr>
        <w:t>,</w:t>
      </w:r>
      <w:r>
        <w:rPr>
          <w:outline w:val="0"/>
          <w:color w:val="000000"/>
          <w:u w:color="000000"/>
          <w:vertAlign w:val="superscript"/>
          <w14:textFill>
            <w14:solidFill>
              <w14:srgbClr w14:val="000000"/>
            </w14:solidFill>
          </w14:textFill>
        </w:rPr>
        <w:endnoteReference w:id="1"/>
      </w:r>
      <w:r>
        <w:rPr>
          <w:outline w:val="0"/>
          <w:color w:val="000000"/>
          <w:u w:color="000000"/>
          <w:rtl w:val="0"/>
          <w:lang w:val="en-US"/>
          <w14:textFill>
            <w14:solidFill>
              <w14:srgbClr w14:val="000000"/>
            </w14:solidFill>
          </w14:textFill>
        </w:rPr>
        <w:t xml:space="preserve"> adapted from </w:t>
      </w:r>
      <w:r>
        <w:rPr>
          <w:i w:val="1"/>
          <w:iCs w:val="1"/>
          <w:outline w:val="0"/>
          <w:color w:val="000000"/>
          <w:u w:color="000000"/>
          <w:rtl w:val="0"/>
          <w:lang w:val="en-US"/>
          <w14:textFill>
            <w14:solidFill>
              <w14:srgbClr w14:val="000000"/>
            </w14:solidFill>
          </w14:textFill>
        </w:rPr>
        <w:t>Raza</w:t>
      </w:r>
      <w:r>
        <w:rPr>
          <w:outline w:val="0"/>
          <w:color w:val="000000"/>
          <w:u w:color="000000"/>
          <w:rtl w:val="0"/>
          <w:lang w:val="en-US"/>
          <w14:textFill>
            <w14:solidFill>
              <w14:srgbClr w14:val="000000"/>
            </w14:solidFill>
          </w14:textFill>
        </w:rPr>
        <w:t>,</w:t>
      </w:r>
      <w:r>
        <w:rPr>
          <w:outline w:val="0"/>
          <w:color w:val="000000"/>
          <w:u w:color="000000"/>
          <w:vertAlign w:val="superscript"/>
          <w14:textFill>
            <w14:solidFill>
              <w14:srgbClr w14:val="000000"/>
            </w14:solidFill>
          </w14:textFill>
        </w:rPr>
        <w:endnoteReference w:id="2"/>
      </w:r>
      <w:r>
        <w:rPr>
          <w:outline w:val="0"/>
          <w:color w:val="000000"/>
          <w:u w:color="000000"/>
          <w:rtl w:val="0"/>
          <w:lang w:val="en-US"/>
          <w14:textFill>
            <w14:solidFill>
              <w14:srgbClr w14:val="000000"/>
            </w14:solidFill>
          </w14:textFill>
        </w:rPr>
        <w:t xml:space="preserve"> </w:t>
      </w:r>
      <w:bookmarkEnd w:id="0"/>
      <w:r>
        <w:rPr>
          <w:outline w:val="0"/>
          <w:color w:val="000000"/>
          <w:u w:color="000000"/>
          <w:rtl w:val="0"/>
          <w:lang w:val="en-US"/>
          <w14:textFill>
            <w14:solidFill>
              <w14:srgbClr w14:val="000000"/>
            </w14:solidFill>
          </w14:textFill>
        </w:rPr>
        <w:t>both Federal Court of Appeal decisions. Subsection</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110(4) of the IRPA provides that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the person who is the subject of the appeal may present only evidence that arose after the rejection of their claim or that was not reasonably available, or that the person could not reasonably have been expected in the circumstances to have presented, at the time of the rejection.</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The Court has held that the three</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admissibility conditions in </w:t>
      </w:r>
      <w:r>
        <w:rPr>
          <w:i w:val="1"/>
          <w:iCs w:val="1"/>
          <w:outline w:val="0"/>
          <w:color w:val="000000"/>
          <w:u w:color="000000"/>
          <w:rtl w:val="0"/>
          <w:lang w:val="en-US"/>
          <w14:textFill>
            <w14:solidFill>
              <w14:srgbClr w14:val="000000"/>
            </w14:solidFill>
          </w14:textFill>
        </w:rPr>
        <w:t>Raza</w:t>
      </w:r>
      <w:r>
        <w:rPr>
          <w:outline w:val="0"/>
          <w:color w:val="000000"/>
          <w:u w:color="000000"/>
          <w:rtl w:val="0"/>
          <w:lang w:val="en-US"/>
          <w14:textFill>
            <w14:solidFill>
              <w14:srgbClr w14:val="000000"/>
            </w14:solidFill>
          </w14:textFill>
        </w:rPr>
        <w:t>, namely, credibility, relevance and newness, also apply to any application for admission of new evidence before the RAD.</w:t>
      </w:r>
    </w:p>
    <w:p>
      <w:pPr>
        <w:pStyle w:val="Normal_ParagNum"/>
        <w:numPr>
          <w:ilvl w:val="0"/>
          <w:numId w:val="2"/>
        </w:numPr>
        <w:spacing w:before="240" w:after="240"/>
        <w:rPr>
          <w:lang w:val="en-US"/>
        </w:rPr>
      </w:pPr>
      <w:r>
        <w:rPr>
          <w:outline w:val="0"/>
          <w:color w:val="000000"/>
          <w:u w:color="000000"/>
          <w:rtl w:val="0"/>
          <w:lang w:val="en-US"/>
          <w14:textFill>
            <w14:solidFill>
              <w14:srgbClr w14:val="000000"/>
            </w14:solidFill>
          </w14:textFill>
        </w:rPr>
        <w:t>The appellant submitted six</w:t>
      </w:r>
      <w:r>
        <w:rPr>
          <w:outline w:val="0"/>
          <w:color w:val="000000"/>
          <w:u w:color="000000"/>
          <w:rtl w:val="0"/>
          <w:lang w:val="en-US"/>
          <w14:textFill>
            <w14:solidFill>
              <w14:srgbClr w14:val="000000"/>
            </w14:solidFill>
          </w14:textFill>
        </w:rPr>
        <w:t> </w:t>
      </w:r>
      <w:r>
        <w:rPr>
          <w:outline w:val="0"/>
          <w:color w:val="000000"/>
          <w:u w:color="000000"/>
          <w:rtl w:val="0"/>
          <w:lang w:val="en-US"/>
          <w14:textFill>
            <w14:solidFill>
              <w14:srgbClr w14:val="000000"/>
            </w14:solidFill>
          </w14:textFill>
        </w:rPr>
        <w:t xml:space="preserve">new documents in support of his appeal: </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CJNG: Une expansion in</w:t>
      </w:r>
      <w:r>
        <w:rPr>
          <w:rStyle w:val="reflex3-block"/>
          <w:rtl w:val="0"/>
          <w:lang w:val="en-US"/>
        </w:rPr>
        <w:t>é</w:t>
      </w:r>
      <w:r>
        <w:rPr>
          <w:rStyle w:val="reflex3-block"/>
          <w:rtl w:val="0"/>
          <w:lang w:val="en-US"/>
        </w:rPr>
        <w:t>vitable vers les Cara</w:t>
      </w:r>
      <w:r>
        <w:rPr>
          <w:rStyle w:val="reflex3-block"/>
          <w:rtl w:val="0"/>
          <w:lang w:val="en-US"/>
        </w:rPr>
        <w:t>ï</w:t>
      </w:r>
      <w:r>
        <w:rPr>
          <w:rStyle w:val="reflex3-block"/>
          <w:rtl w:val="0"/>
          <w:lang w:val="en-US"/>
        </w:rPr>
        <w:t>bes</w:t>
      </w:r>
      <w:r>
        <w:rPr>
          <w:rStyle w:val="reflex3-block"/>
          <w:rtl w:val="0"/>
          <w:lang w:val="en-US"/>
        </w:rPr>
        <w:t xml:space="preserve">” </w:t>
      </w:r>
      <w:r>
        <w:rPr>
          <w:rStyle w:val="reflex3-block"/>
          <w:rtl w:val="0"/>
          <w:lang w:val="en-US"/>
        </w:rPr>
        <w:t>[CJNG: expansion to the Caribbean inevitable], published on August</w:t>
      </w:r>
      <w:r>
        <w:rPr>
          <w:rStyle w:val="reflex3-block"/>
          <w:rtl w:val="0"/>
          <w:lang w:val="en-US"/>
        </w:rPr>
        <w:t> </w:t>
      </w:r>
      <w:r>
        <w:rPr>
          <w:rStyle w:val="reflex3-block"/>
          <w:rtl w:val="0"/>
          <w:lang w:val="en-US"/>
        </w:rPr>
        <w:t>16, 2019;</w:t>
      </w:r>
    </w:p>
    <w:p>
      <w:pPr>
        <w:pStyle w:val="Normal_ParagNum"/>
        <w:keepNext w:val="1"/>
        <w:numPr>
          <w:ilvl w:val="0"/>
          <w:numId w:val="4"/>
        </w:numPr>
        <w:spacing w:before="120" w:after="120" w:line="240" w:lineRule="auto"/>
        <w:rPr>
          <w:lang w:val="en-US"/>
        </w:rPr>
      </w:pPr>
      <w:r>
        <w:rPr>
          <w:rStyle w:val="reflex3-block"/>
          <w:rtl w:val="0"/>
          <w:lang w:val="en-US"/>
        </w:rPr>
        <w:t>The Wikipedia page on Genra</w:t>
      </w:r>
      <w:r>
        <w:rPr>
          <w:rStyle w:val="reflex3-block"/>
          <w:rtl w:val="0"/>
          <w:lang w:val="en-US"/>
        </w:rPr>
        <w:t> </w:t>
      </w:r>
      <w:r>
        <w:rPr>
          <w:rStyle w:val="reflex3-block"/>
          <w:rtl w:val="0"/>
          <w:lang w:val="en-US"/>
        </w:rPr>
        <w:t>Garcia</w:t>
      </w:r>
      <w:r>
        <w:rPr>
          <w:rStyle w:val="reflex3-block"/>
          <w:rtl w:val="0"/>
          <w:lang w:val="en-US"/>
        </w:rPr>
        <w:t> </w:t>
      </w:r>
      <w:r>
        <w:rPr>
          <w:rStyle w:val="reflex3-block"/>
          <w:rtl w:val="0"/>
          <w:lang w:val="en-US"/>
        </w:rPr>
        <w:t>Luna, a Mexican politician arrested in the United</w:t>
      </w:r>
      <w:r>
        <w:rPr>
          <w:rStyle w:val="reflex3-block"/>
          <w:rtl w:val="0"/>
          <w:lang w:val="en-US"/>
        </w:rPr>
        <w:t> </w:t>
      </w:r>
      <w:r>
        <w:rPr>
          <w:rStyle w:val="reflex3-block"/>
          <w:rtl w:val="0"/>
          <w:lang w:val="en-US"/>
        </w:rPr>
        <w:t>States in 2019 for colluding with the Sinaloa cartel, last amended on January</w:t>
      </w:r>
      <w:r>
        <w:rPr>
          <w:rStyle w:val="reflex3-block"/>
          <w:rtl w:val="0"/>
          <w:lang w:val="en-US"/>
        </w:rPr>
        <w:t> </w:t>
      </w:r>
      <w:r>
        <w:rPr>
          <w:rStyle w:val="reflex3-block"/>
          <w:rtl w:val="0"/>
          <w:lang w:val="en-US"/>
        </w:rPr>
        <w:t>5, 2020;</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Durango, paradis du crime organis</w:t>
      </w:r>
      <w:r>
        <w:rPr>
          <w:rStyle w:val="reflex3-block"/>
          <w:rtl w:val="0"/>
          <w:lang w:val="en-US"/>
        </w:rPr>
        <w:t>é</w:t>
      </w:r>
      <w:r>
        <w:rPr>
          <w:rStyle w:val="reflex3-block"/>
          <w:rtl w:val="0"/>
          <w:lang w:val="en-US"/>
        </w:rPr>
        <w:t>; les dirigeants marchent librement</w:t>
      </w:r>
      <w:r>
        <w:rPr>
          <w:rStyle w:val="reflex3-block"/>
          <w:rtl w:val="0"/>
          <w:lang w:val="en-US"/>
        </w:rPr>
        <w:t xml:space="preserve">” </w:t>
      </w:r>
      <w:r>
        <w:rPr>
          <w:rStyle w:val="reflex3-block"/>
          <w:rtl w:val="0"/>
          <w:lang w:val="en-US"/>
        </w:rPr>
        <w:t>[Durango, organized crime paradise: leaders walk free], published on July</w:t>
      </w:r>
      <w:r>
        <w:rPr>
          <w:rStyle w:val="reflex3-block"/>
          <w:rtl w:val="0"/>
          <w:lang w:val="en-US"/>
        </w:rPr>
        <w:t> </w:t>
      </w:r>
      <w:r>
        <w:rPr>
          <w:rStyle w:val="reflex3-block"/>
          <w:rtl w:val="0"/>
          <w:lang w:val="en-US"/>
        </w:rPr>
        <w:t>13, 2019;</w:t>
      </w:r>
    </w:p>
    <w:p>
      <w:pPr>
        <w:pStyle w:val="Normal_ParagNum"/>
        <w:keepNext w:val="1"/>
        <w:numPr>
          <w:ilvl w:val="0"/>
          <w:numId w:val="4"/>
        </w:numPr>
        <w:spacing w:before="120" w:after="120" w:line="240" w:lineRule="auto"/>
        <w:rPr>
          <w:lang w:val="en-US"/>
        </w:rPr>
      </w:pPr>
      <w:r>
        <w:rPr>
          <w:rStyle w:val="reflex3-block"/>
          <w:rtl w:val="0"/>
          <w:lang w:val="en-US"/>
        </w:rPr>
        <w:t xml:space="preserve">A newspaper article entitled, </w:t>
      </w:r>
      <w:r>
        <w:rPr>
          <w:rStyle w:val="reflex3-block"/>
          <w:rtl w:val="0"/>
          <w:lang w:val="en-US"/>
        </w:rPr>
        <w:t>“</w:t>
      </w:r>
      <w:r>
        <w:rPr>
          <w:rStyle w:val="reflex3-block"/>
          <w:rtl w:val="0"/>
          <w:lang w:val="en-US"/>
        </w:rPr>
        <w:t>Nearly 32,000</w:t>
      </w:r>
      <w:r>
        <w:rPr>
          <w:rStyle w:val="reflex3-block"/>
          <w:rtl w:val="0"/>
          <w:lang w:val="en-US"/>
        </w:rPr>
        <w:t> </w:t>
      </w:r>
      <w:r>
        <w:rPr>
          <w:rStyle w:val="reflex3-block"/>
          <w:rtl w:val="0"/>
          <w:lang w:val="en-US"/>
        </w:rPr>
        <w:t>homicide victims recorded in Mexico in 2019,</w:t>
      </w:r>
      <w:r>
        <w:rPr>
          <w:rStyle w:val="reflex3-block"/>
          <w:rtl w:val="0"/>
          <w:lang w:val="en-US"/>
        </w:rPr>
        <w:t xml:space="preserve">” </w:t>
      </w:r>
      <w:r>
        <w:rPr>
          <w:rStyle w:val="reflex3-block"/>
          <w:rtl w:val="0"/>
          <w:lang w:val="en-US"/>
        </w:rPr>
        <w:t>published on December</w:t>
      </w:r>
      <w:r>
        <w:rPr>
          <w:rStyle w:val="reflex3-block"/>
          <w:rtl w:val="0"/>
          <w:lang w:val="en-US"/>
        </w:rPr>
        <w:t> </w:t>
      </w:r>
      <w:r>
        <w:rPr>
          <w:rStyle w:val="reflex3-block"/>
          <w:rtl w:val="0"/>
          <w:lang w:val="en-US"/>
        </w:rPr>
        <w:t>23, 2019;</w:t>
      </w:r>
    </w:p>
    <w:p>
      <w:pPr>
        <w:pStyle w:val="Normal_ParagNum"/>
        <w:keepNext w:val="1"/>
        <w:numPr>
          <w:ilvl w:val="0"/>
          <w:numId w:val="4"/>
        </w:numPr>
        <w:spacing w:before="120" w:after="120" w:line="240" w:lineRule="auto"/>
        <w:rPr>
          <w:lang w:val="en-US"/>
        </w:rPr>
      </w:pPr>
      <w:r>
        <w:rPr>
          <w:rStyle w:val="reflex3-block"/>
          <w:rtl w:val="0"/>
          <w:lang w:val="en-US"/>
        </w:rPr>
        <w:t>A sworn statement from the appellant, signed on February</w:t>
      </w:r>
      <w:r>
        <w:rPr>
          <w:rStyle w:val="reflex3-block"/>
          <w:rtl w:val="0"/>
          <w:lang w:val="en-US"/>
        </w:rPr>
        <w:t> </w:t>
      </w:r>
      <w:r>
        <w:rPr>
          <w:rStyle w:val="reflex3-block"/>
          <w:rtl w:val="0"/>
          <w:lang w:val="en-US"/>
        </w:rPr>
        <w:t>3, 2020;</w:t>
      </w:r>
    </w:p>
    <w:p>
      <w:pPr>
        <w:pStyle w:val="Normal_ParagNum"/>
        <w:keepNext w:val="1"/>
        <w:numPr>
          <w:ilvl w:val="0"/>
          <w:numId w:val="4"/>
        </w:numPr>
        <w:spacing w:before="120" w:after="120" w:line="240" w:lineRule="auto"/>
        <w:rPr>
          <w:lang w:val="en-US"/>
        </w:rPr>
      </w:pPr>
      <w:r>
        <w:rPr>
          <w:rStyle w:val="reflex3-block"/>
          <w:rtl w:val="0"/>
          <w:lang w:val="en-US"/>
        </w:rPr>
        <w:t xml:space="preserve">A sworn statement from </w:t>
      </w:r>
      <w:r>
        <w:rPr>
          <w:rtl w:val="0"/>
          <w:lang w:val="en-US"/>
        </w:rPr>
        <w:t>Gustavo Manuel Luis Ram</w:t>
      </w:r>
      <w:r>
        <w:rPr>
          <w:rtl w:val="0"/>
          <w:lang w:val="en-US"/>
        </w:rPr>
        <w:t>í</w:t>
      </w:r>
      <w:r>
        <w:rPr>
          <w:rtl w:val="0"/>
          <w:lang w:val="en-US"/>
        </w:rPr>
        <w:t>rez</w:t>
      </w:r>
      <w:r>
        <w:rPr>
          <w:rStyle w:val="reflex3-block"/>
          <w:rtl w:val="0"/>
          <w:lang w:val="en-US"/>
        </w:rPr>
        <w:t>, the appellant</w:t>
      </w:r>
      <w:r>
        <w:rPr>
          <w:rStyle w:val="reflex3-block"/>
          <w:rtl w:val="0"/>
          <w:lang w:val="en-US"/>
        </w:rPr>
        <w:t>’</w:t>
      </w:r>
      <w:r>
        <w:rPr>
          <w:rStyle w:val="reflex3-block"/>
          <w:rtl w:val="0"/>
          <w:lang w:val="en-US"/>
        </w:rPr>
        <w:t xml:space="preserve">s brother-in-law, signed on </w:t>
      </w:r>
      <w:r>
        <w:rPr>
          <w:rStyle w:val="reflex3-block"/>
          <w:rtl w:val="0"/>
          <w:lang w:val="en-US"/>
        </w:rPr>
        <w:t>January 3</w:t>
      </w:r>
      <w:r>
        <w:rPr>
          <w:rStyle w:val="reflex3-block"/>
          <w:rtl w:val="0"/>
          <w:lang w:val="en-US"/>
        </w:rPr>
        <w:t>, 2020; and</w:t>
      </w:r>
    </w:p>
    <w:p>
      <w:pPr>
        <w:pStyle w:val="Normal_ParagNum"/>
        <w:keepNext w:val="1"/>
        <w:numPr>
          <w:ilvl w:val="0"/>
          <w:numId w:val="4"/>
        </w:numPr>
        <w:spacing w:before="120" w:after="120" w:line="240" w:lineRule="auto"/>
        <w:rPr>
          <w:lang w:val="en-US"/>
        </w:rPr>
      </w:pPr>
      <w:r>
        <w:rPr>
          <w:rStyle w:val="reflex3-block"/>
          <w:rtl w:val="0"/>
          <w:lang w:val="en-US"/>
        </w:rPr>
        <w:t xml:space="preserve">The decision rendered by </w:t>
      </w:r>
      <w:r>
        <w:rPr>
          <w:rStyle w:val="reflex3-block"/>
          <w:rtl w:val="0"/>
          <w:lang w:val="en-US"/>
        </w:rPr>
        <w:t>Marie-Lynne</w:t>
      </w:r>
      <w:r>
        <w:rPr>
          <w:rStyle w:val="reflex3-block"/>
          <w:rtl w:val="0"/>
          <w:lang w:val="en-US"/>
        </w:rPr>
        <w:t xml:space="preserve"> </w:t>
      </w:r>
      <w:r>
        <w:rPr>
          <w:rStyle w:val="reflex3-block"/>
          <w:rtl w:val="0"/>
          <w:lang w:val="en-US"/>
        </w:rPr>
        <w:t xml:space="preserve">Bowyer Kagan </w:t>
      </w:r>
      <w:r>
        <w:rPr>
          <w:rStyle w:val="reflex3-block"/>
          <w:rtl w:val="0"/>
          <w:lang w:val="en-US"/>
        </w:rPr>
        <w:t xml:space="preserve">of the RAD on </w:t>
      </w:r>
      <w:r>
        <w:rPr>
          <w:rStyle w:val="reflex3-block"/>
          <w:rtl w:val="0"/>
          <w:lang w:val="en-US"/>
        </w:rPr>
        <w:t>March 17</w:t>
      </w:r>
      <w:r>
        <w:rPr>
          <w:rStyle w:val="reflex3-block"/>
          <w:rtl w:val="0"/>
          <w:lang w:val="en-US"/>
        </w:rPr>
        <w:t>, 2019, granting protected person status to the appellant</w:t>
      </w:r>
      <w:r>
        <w:rPr>
          <w:rStyle w:val="reflex3-block"/>
          <w:rtl w:val="0"/>
          <w:lang w:val="en-US"/>
        </w:rPr>
        <w:t>’</w:t>
      </w:r>
      <w:r>
        <w:rPr>
          <w:rStyle w:val="reflex3-block"/>
          <w:rtl w:val="0"/>
          <w:lang w:val="en-US"/>
        </w:rPr>
        <w:t>s brother-in-law and sister.</w:t>
      </w:r>
    </w:p>
    <w:p>
      <w:pPr>
        <w:pStyle w:val="Normal_ParagNum"/>
        <w:numPr>
          <w:ilvl w:val="0"/>
          <w:numId w:val="5"/>
        </w:numPr>
        <w:spacing w:before="480" w:after="240"/>
        <w:rPr>
          <w:lang w:val="en-US"/>
        </w:rPr>
      </w:pPr>
      <w:r>
        <w:rPr>
          <w:rStyle w:val="reflex3-block"/>
          <w:rtl w:val="0"/>
          <w:lang w:val="en-US"/>
        </w:rPr>
        <w:t>Both sworn statements (exhibits</w:t>
      </w:r>
      <w:r>
        <w:rPr>
          <w:rStyle w:val="reflex3-block"/>
          <w:rtl w:val="0"/>
          <w:lang w:val="en-US"/>
        </w:rPr>
        <w:t> </w:t>
      </w:r>
      <w:r>
        <w:rPr>
          <w:rStyle w:val="reflex3-block"/>
          <w:rtl w:val="0"/>
          <w:lang w:val="en-US"/>
        </w:rPr>
        <w:t>6 and</w:t>
      </w:r>
      <w:r>
        <w:rPr>
          <w:rStyle w:val="reflex3-block"/>
          <w:rtl w:val="0"/>
          <w:lang w:val="en-US"/>
        </w:rPr>
        <w:t> </w:t>
      </w:r>
      <w:r>
        <w:rPr>
          <w:rStyle w:val="reflex3-block"/>
          <w:rtl w:val="0"/>
          <w:lang w:val="en-US"/>
        </w:rPr>
        <w:t>7) are dated after the RPD</w:t>
      </w:r>
      <w:r>
        <w:rPr>
          <w:rStyle w:val="reflex3-block"/>
          <w:rtl w:val="0"/>
          <w:lang w:val="en-US"/>
        </w:rPr>
        <w:t>’</w:t>
      </w:r>
      <w:r>
        <w:rPr>
          <w:rStyle w:val="reflex3-block"/>
          <w:rtl w:val="0"/>
          <w:lang w:val="en-US"/>
        </w:rPr>
        <w:t>s decision but do not set out events that arose after the RPD</w:t>
      </w:r>
      <w:r>
        <w:rPr>
          <w:rStyle w:val="reflex3-block"/>
          <w:rtl w:val="0"/>
          <w:lang w:val="en-US"/>
        </w:rPr>
        <w:t>’</w:t>
      </w:r>
      <w:r>
        <w:rPr>
          <w:rStyle w:val="reflex3-block"/>
          <w:rtl w:val="0"/>
          <w:lang w:val="en-US"/>
        </w:rPr>
        <w:t>s decision. The appellant also did not explain why these documents could not have been produced and submitted to the RPD. They do not meet the criteria set out in subsection</w:t>
      </w:r>
      <w:r>
        <w:rPr>
          <w:rStyle w:val="reflex3-block"/>
          <w:rtl w:val="0"/>
          <w:lang w:val="en-US"/>
        </w:rPr>
        <w:t> </w:t>
      </w:r>
      <w:r>
        <w:rPr>
          <w:rStyle w:val="reflex3-block"/>
          <w:rtl w:val="0"/>
          <w:lang w:val="en-US"/>
        </w:rPr>
        <w:t>110(4) of the IRPA and are not admitted. The newspaper articles (exhibits</w:t>
      </w:r>
      <w:r>
        <w:rPr>
          <w:rStyle w:val="reflex3-block"/>
          <w:rtl w:val="0"/>
          <w:lang w:val="en-US"/>
        </w:rPr>
        <w:t> </w:t>
      </w:r>
      <w:r>
        <w:rPr>
          <w:rStyle w:val="reflex3-block"/>
          <w:rtl w:val="0"/>
          <w:lang w:val="en-US"/>
        </w:rPr>
        <w:t>1, 3 and 4) and the Wikipedia page (Exhibit</w:t>
      </w:r>
      <w:r>
        <w:rPr>
          <w:rStyle w:val="reflex3-block"/>
          <w:rtl w:val="0"/>
          <w:lang w:val="en-US"/>
        </w:rPr>
        <w:t> </w:t>
      </w:r>
      <w:r>
        <w:rPr>
          <w:rStyle w:val="reflex3-block"/>
          <w:rtl w:val="0"/>
          <w:lang w:val="en-US"/>
        </w:rPr>
        <w:t>2) are not admitted, as they are all dated prior to the RPD</w:t>
      </w:r>
      <w:r>
        <w:rPr>
          <w:rStyle w:val="reflex3-block"/>
          <w:rtl w:val="0"/>
          <w:lang w:val="en-US"/>
        </w:rPr>
        <w:t>’</w:t>
      </w:r>
      <w:r>
        <w:rPr>
          <w:rStyle w:val="reflex3-block"/>
          <w:rtl w:val="0"/>
          <w:lang w:val="en-US"/>
        </w:rPr>
        <w:t xml:space="preserve">s decision and could reasonably have been produced before or on the day of the hearing held before the RPD. What is more, no justification was provided as to why they were presented to the RAD and not to the RPD at the appropriate time. </w:t>
      </w:r>
    </w:p>
    <w:p>
      <w:pPr>
        <w:pStyle w:val="Normal_ParagNum"/>
        <w:numPr>
          <w:ilvl w:val="0"/>
          <w:numId w:val="2"/>
        </w:numPr>
        <w:spacing w:before="240" w:after="240"/>
        <w:rPr>
          <w:lang w:val="en-US"/>
        </w:rPr>
      </w:pPr>
      <w:r>
        <w:rPr>
          <w:rStyle w:val="reflex3-block"/>
          <w:rtl w:val="0"/>
          <w:lang w:val="en-US"/>
        </w:rPr>
        <w:t>The decision rendered by the RAD (Exhibit</w:t>
      </w:r>
      <w:r>
        <w:rPr>
          <w:rStyle w:val="reflex3-block"/>
          <w:rtl w:val="0"/>
          <w:lang w:val="en-US"/>
        </w:rPr>
        <w:t> </w:t>
      </w:r>
      <w:r>
        <w:rPr>
          <w:rStyle w:val="reflex3-block"/>
          <w:rtl w:val="0"/>
          <w:lang w:val="en-US"/>
        </w:rPr>
        <w:t>7) is admitted because it is part of the panel</w:t>
      </w:r>
      <w:r>
        <w:rPr>
          <w:rStyle w:val="reflex3-block"/>
          <w:rtl w:val="0"/>
          <w:lang w:val="en-US"/>
        </w:rPr>
        <w:t>’</w:t>
      </w:r>
      <w:r>
        <w:rPr>
          <w:rStyle w:val="reflex3-block"/>
          <w:rtl w:val="0"/>
          <w:lang w:val="en-US"/>
        </w:rPr>
        <w:t xml:space="preserve">s case law. </w:t>
      </w:r>
    </w:p>
    <w:p>
      <w:pPr>
        <w:pStyle w:val="Normal_ParagNum"/>
        <w:numPr>
          <w:ilvl w:val="0"/>
          <w:numId w:val="2"/>
        </w:numPr>
        <w:spacing w:before="240" w:after="240"/>
        <w:rPr>
          <w:lang w:val="en-US"/>
        </w:rPr>
      </w:pPr>
      <w:r>
        <w:rPr>
          <w:rStyle w:val="reflex3-block"/>
          <w:rtl w:val="0"/>
          <w:lang w:val="en-US"/>
        </w:rPr>
        <w:t>Although the RAD is admitting one piece of evidence, it is of the view that it does not meet the criteria set out in subsection</w:t>
      </w:r>
      <w:r>
        <w:rPr>
          <w:rStyle w:val="reflex3-block"/>
          <w:rtl w:val="0"/>
          <w:lang w:val="en-US"/>
        </w:rPr>
        <w:t> </w:t>
      </w:r>
      <w:r>
        <w:rPr>
          <w:rStyle w:val="reflex3-block"/>
          <w:rtl w:val="0"/>
          <w:lang w:val="en-US"/>
        </w:rPr>
        <w:t>110(6) of the IRPA allowing an oral hearing to be held. This</w:t>
      </w:r>
      <w:r>
        <w:rPr>
          <w:rStyle w:val="reflex3-block"/>
          <w:rtl w:val="0"/>
          <w:lang w:val="en-US"/>
        </w:rPr>
        <w:t> </w:t>
      </w:r>
      <w:r>
        <w:rPr>
          <w:rStyle w:val="reflex3-block"/>
          <w:rtl w:val="0"/>
          <w:lang w:val="en-US"/>
        </w:rPr>
        <w:t>document does not raise a significant credibility issue, as the appellant</w:t>
      </w:r>
      <w:r>
        <w:rPr>
          <w:rStyle w:val="reflex3-block"/>
          <w:rtl w:val="0"/>
          <w:lang w:val="en-US"/>
        </w:rPr>
        <w:t>’</w:t>
      </w:r>
      <w:r>
        <w:rPr>
          <w:rStyle w:val="reflex3-block"/>
          <w:rtl w:val="0"/>
          <w:lang w:val="en-US"/>
        </w:rPr>
        <w:t xml:space="preserve">s credibility is not a determinative issue on appeal; it is not central to the decision in this case; and it alone cannot justify allowing or rejecting the refugee protection claims. </w:t>
      </w:r>
    </w:p>
    <w:p>
      <w:pPr>
        <w:pStyle w:val="Normal_ParagNum"/>
        <w:tabs>
          <w:tab w:val="clear" w:pos="720"/>
        </w:tabs>
        <w:spacing w:before="480" w:after="240"/>
        <w:rPr>
          <w:b w:val="1"/>
          <w:bCs w:val="1"/>
        </w:rPr>
      </w:pPr>
      <w:r>
        <w:rPr>
          <w:b w:val="1"/>
          <w:bCs w:val="1"/>
          <w:rtl w:val="0"/>
          <w:lang w:val="en-US"/>
        </w:rPr>
        <w:t>SCOPE OF THE APPEAL</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accordance with </w:t>
      </w:r>
      <w:r>
        <w:rPr>
          <w:rStyle w:val="Emphasis A"/>
          <w:rFonts w:ascii="Times New Roman" w:hAnsi="Times New Roman"/>
          <w:i w:val="1"/>
          <w:iCs w:val="1"/>
          <w:sz w:val="24"/>
          <w:szCs w:val="24"/>
          <w:rtl w:val="0"/>
          <w:lang w:val="en-US"/>
        </w:rPr>
        <w:t>Huruglica</w:t>
      </w:r>
      <w:r>
        <w:rPr>
          <w:rStyle w:val="reflex3-block"/>
          <w:rFonts w:ascii="Times New Roman" w:hAnsi="Times New Roman"/>
          <w:sz w:val="24"/>
          <w:szCs w:val="24"/>
          <w:rtl w:val="0"/>
          <w:lang w:val="en-US"/>
        </w:rPr>
        <w:t>,</w:t>
      </w:r>
      <w:r>
        <w:rPr>
          <w:rStyle w:val="endnote reference"/>
          <w:rFonts w:ascii="Times New Roman" w:cs="Times New Roman" w:hAnsi="Times New Roman" w:eastAsia="Times New Roman"/>
          <w:sz w:val="24"/>
          <w:szCs w:val="24"/>
        </w:rPr>
        <w:endnoteReference w:id="3"/>
      </w:r>
      <w:r>
        <w:rPr>
          <w:rStyle w:val="reflex3-block"/>
          <w:rFonts w:ascii="Times New Roman" w:hAnsi="Times New Roman"/>
          <w:sz w:val="24"/>
          <w:szCs w:val="24"/>
          <w:rtl w:val="0"/>
          <w:lang w:val="en-US"/>
        </w:rPr>
        <w:t xml:space="preserve"> the RAD carried out an independent review of the evidence submitted in support of the appeal, which included listening to the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hearings held in this case. Given that the RPD did not enjoy a meaningful advantage on the issue of credibility, applied the correctness standard.</w:t>
      </w:r>
    </w:p>
    <w:p>
      <w:pPr>
        <w:pStyle w:val="Normal_ParagNum"/>
        <w:tabs>
          <w:tab w:val="clear" w:pos="720"/>
        </w:tabs>
        <w:spacing w:before="480" w:after="240"/>
        <w:ind w:left="0" w:firstLine="0"/>
        <w:rPr>
          <w:b w:val="1"/>
          <w:bCs w:val="1"/>
        </w:rPr>
      </w:pPr>
      <w:r>
        <w:rPr>
          <w:b w:val="1"/>
          <w:bCs w:val="1"/>
          <w:rtl w:val="0"/>
          <w:lang w:val="en-US"/>
        </w:rPr>
        <w:t>ANALYSIS</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It is important to first note that the existence of an IFA is assessed on the basis of a twopronged test to determine whether there is a place elsewhere in the country where the claimant, in this case the appellant, would not have a well-founded fear of persecution or would not be subjected to a risk under subsection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97(1) of the IRPA</w:t>
      </w:r>
      <w:r>
        <w:rPr>
          <w:rStyle w:val="endnote reference"/>
          <w:rFonts w:ascii="Times New Roman" w:cs="Times New Roman" w:hAnsi="Times New Roman" w:eastAsia="Times New Roman"/>
          <w:sz w:val="24"/>
          <w:szCs w:val="24"/>
        </w:rPr>
        <w:endnoteReference w:id="4"/>
      </w:r>
      <w:r>
        <w:rPr>
          <w:rStyle w:val="reflex3-block"/>
          <w:rFonts w:ascii="Times New Roman" w:hAnsi="Times New Roman"/>
          <w:sz w:val="24"/>
          <w:szCs w:val="24"/>
          <w:rtl w:val="0"/>
          <w:lang w:val="en-US"/>
        </w:rPr>
        <w:t xml:space="preserve"> and, taking the circumstances into account, whether it would be objectively reasonable for the claimant to settle there.</w:t>
      </w:r>
      <w:r>
        <w:rPr>
          <w:rStyle w:val="endnote reference"/>
          <w:rFonts w:ascii="Times New Roman" w:cs="Times New Roman" w:hAnsi="Times New Roman" w:eastAsia="Times New Roman"/>
          <w:sz w:val="24"/>
          <w:szCs w:val="24"/>
        </w:rPr>
        <w:endnoteReference w:id="5"/>
      </w:r>
      <w:r>
        <w:rPr>
          <w:rStyle w:val="reflex3-block"/>
          <w:rFonts w:ascii="Times New Roman" w:hAnsi="Times New Roman"/>
          <w:sz w:val="24"/>
          <w:szCs w:val="24"/>
          <w:rtl w:val="0"/>
          <w:lang w:val="en-US"/>
        </w:rPr>
        <w:t xml:space="preserve"> Recently, Justice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McHaffie ably described the framework of analysis and the burden of proof with respect to an IFA as follows: </w:t>
      </w:r>
    </w:p>
    <w:p>
      <w:pPr>
        <w:pStyle w:val="Body"/>
        <w:tabs>
          <w:tab w:val="left" w:pos="862"/>
        </w:tabs>
        <w:spacing w:before="240" w:after="480"/>
        <w:ind w:left="720" w:right="720" w:firstLine="0"/>
        <w:rPr>
          <w:rStyle w:val="reflex3-block"/>
        </w:rPr>
      </w:pPr>
      <w:r>
        <w:rPr>
          <w:outline w:val="0"/>
          <w:color w:val="000000"/>
          <w:u w:color="000000"/>
          <w:shd w:val="clear" w:color="auto" w:fill="ffffff"/>
          <w:rtl w:val="0"/>
          <w14:textFill>
            <w14:solidFill>
              <w14:srgbClr w14:val="000000"/>
            </w14:solidFill>
          </w14:textFill>
        </w:rPr>
        <w:t>[8]</w:t>
      </w:r>
      <w:r>
        <w:rPr>
          <w:outline w:val="0"/>
          <w:color w:val="000000"/>
          <w:sz w:val="14"/>
          <w:szCs w:val="14"/>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To determine if a viable IFA exists, the RAD must be satisfied, on a balance of probabilities, that (1)</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the claimant will not be subject to persecution (on a </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serious possibility</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standard), or a section</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 xml:space="preserve">97 danger or risk (on a </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lang w:val="en-US"/>
          <w14:textFill>
            <w14:solidFill>
              <w14:srgbClr w14:val="000000"/>
            </w14:solidFill>
          </w14:textFill>
        </w:rPr>
        <w:t>more likely than not</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standard) in the proposed IFA; and (2)</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lang w:val="en-US"/>
          <w14:textFill>
            <w14:solidFill>
              <w14:srgbClr w14:val="000000"/>
            </w14:solidFill>
          </w14:textFill>
        </w:rPr>
        <w:t>in all the circumstances, including circumstances particular to the claimant, conditions in the IFA are such that it would not be unreasonable for the claimant to seek refuge there:</w:t>
      </w:r>
      <w:r>
        <w:rPr>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14:textFill>
            <w14:solidFill>
              <w14:srgbClr w14:val="000000"/>
            </w14:solidFill>
          </w14:textFill>
        </w:rPr>
        <w:t>Thirunavukkarasu</w:t>
      </w:r>
      <w:r>
        <w:rPr>
          <w:outline w:val="0"/>
          <w:color w:val="000000"/>
          <w:u w:color="000000"/>
          <w:shd w:val="clear" w:color="auto" w:fill="ffffff"/>
          <w:rtl w:val="0"/>
          <w:lang w:val="en-US"/>
          <w14:textFill>
            <w14:solidFill>
              <w14:srgbClr w14:val="000000"/>
            </w14:solidFill>
          </w14:textFill>
        </w:rPr>
        <w:t xml:space="preserve"> at pages</w:t>
      </w:r>
      <w:r>
        <w:rPr>
          <w:outline w:val="0"/>
          <w:color w:val="000000"/>
          <w:u w:color="000000"/>
          <w:shd w:val="clear" w:color="auto" w:fill="ffffff"/>
          <w:rtl w:val="0"/>
          <w14:textFill>
            <w14:solidFill>
              <w14:srgbClr w14:val="000000"/>
            </w14:solidFill>
          </w14:textFill>
        </w:rPr>
        <w:t> </w:t>
      </w:r>
      <w:r>
        <w:rPr>
          <w:outline w:val="0"/>
          <w:color w:val="000000"/>
          <w:u w:color="000000"/>
          <w:shd w:val="clear" w:color="auto" w:fill="ffffff"/>
          <w:rtl w:val="0"/>
          <w14:textFill>
            <w14:solidFill>
              <w14:srgbClr w14:val="000000"/>
            </w14:solidFill>
          </w14:textFill>
        </w:rPr>
        <w:t>595</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rtl w:val="0"/>
          <w14:textFill>
            <w14:solidFill>
              <w14:srgbClr w14:val="000000"/>
            </w14:solidFill>
          </w14:textFill>
        </w:rPr>
        <w:t>597;</w:t>
      </w:r>
      <w:r>
        <w:rPr>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14:textFill>
            <w14:solidFill>
              <w14:srgbClr w14:val="000000"/>
            </w14:solidFill>
          </w14:textFill>
        </w:rPr>
        <w:t>Hamdan</w:t>
      </w:r>
      <w:r>
        <w:rPr>
          <w:i w:val="1"/>
          <w:iCs w:val="1"/>
          <w:outline w:val="0"/>
          <w:color w:val="000000"/>
          <w:u w:color="000000"/>
          <w:shd w:val="clear" w:color="auto" w:fill="ffffff"/>
          <w:rtl w:val="0"/>
          <w14:textFill>
            <w14:solidFill>
              <w14:srgbClr w14:val="000000"/>
            </w14:solidFill>
          </w14:textFill>
        </w:rPr>
        <w:t> </w:t>
      </w:r>
      <w:r>
        <w:rPr>
          <w:i w:val="1"/>
          <w:iCs w:val="1"/>
          <w:outline w:val="0"/>
          <w:color w:val="000000"/>
          <w:u w:color="000000"/>
          <w:shd w:val="clear" w:color="auto" w:fill="ffffff"/>
          <w:rtl w:val="0"/>
          <w:lang w:val="en-US"/>
          <w14:textFill>
            <w14:solidFill>
              <w14:srgbClr w14:val="000000"/>
            </w14:solidFill>
          </w14:textFill>
        </w:rPr>
        <w:t>v. Canada (Immigration, Refugees and Citizenship)</w:t>
      </w:r>
      <w:r>
        <w:rPr>
          <w:outline w:val="0"/>
          <w:color w:val="000000"/>
          <w:u w:color="000000"/>
          <w:shd w:val="clear" w:color="auto" w:fill="ffffff"/>
          <w:rtl w:val="0"/>
          <w14:textFill>
            <w14:solidFill>
              <w14:srgbClr w14:val="000000"/>
            </w14:solidFill>
          </w14:textFill>
        </w:rPr>
        <w:t xml:space="preserve">, </w:t>
      </w:r>
      <w:r>
        <w:rPr>
          <w:shd w:val="clear" w:color="auto" w:fill="ffffff"/>
          <w:rtl w:val="0"/>
        </w:rPr>
        <w:t>2017</w:t>
      </w:r>
      <w:r>
        <w:rPr>
          <w:shd w:val="clear" w:color="auto" w:fill="ffffff"/>
          <w:rtl w:val="0"/>
        </w:rPr>
        <w:t> </w:t>
      </w:r>
      <w:r>
        <w:rPr>
          <w:shd w:val="clear" w:color="auto" w:fill="ffffff"/>
          <w:rtl w:val="0"/>
          <w:lang w:val="de-DE"/>
        </w:rPr>
        <w:t>FC</w:t>
      </w:r>
      <w:r>
        <w:rPr>
          <w:shd w:val="clear" w:color="auto" w:fill="ffffff"/>
          <w:rtl w:val="0"/>
        </w:rPr>
        <w:t> </w:t>
      </w:r>
      <w:r>
        <w:rPr>
          <w:shd w:val="clear" w:color="auto" w:fill="ffffff"/>
          <w:rtl w:val="0"/>
        </w:rPr>
        <w:t>643</w:t>
      </w:r>
      <w:r>
        <w:rPr>
          <w:outline w:val="0"/>
          <w:color w:val="000000"/>
          <w:u w:color="000000"/>
          <w:shd w:val="clear" w:color="auto" w:fill="ffffff"/>
          <w:rtl w:val="0"/>
          <w14:textFill>
            <w14:solidFill>
              <w14:srgbClr w14:val="000000"/>
            </w14:solidFill>
          </w14:textFill>
        </w:rPr>
        <w:t xml:space="preserve"> at paras</w:t>
      </w:r>
      <w:r>
        <w:rPr>
          <w:outline w:val="0"/>
          <w:color w:val="000000"/>
          <w:u w:color="000000"/>
          <w:shd w:val="clear" w:color="auto" w:fill="ffffff"/>
          <w:rtl w:val="0"/>
          <w14:textFill>
            <w14:solidFill>
              <w14:srgbClr w14:val="000000"/>
            </w14:solidFill>
          </w14:textFill>
        </w:rPr>
        <w:t> </w:t>
      </w:r>
      <w:r>
        <w:rPr>
          <w:shd w:val="clear" w:color="auto" w:fill="ffffff"/>
          <w:rtl w:val="0"/>
        </w:rPr>
        <w:t>10</w:t>
      </w:r>
      <w:r>
        <w:rPr>
          <w:shd w:val="clear" w:color="auto" w:fill="ffffff"/>
          <w:rtl w:val="0"/>
        </w:rPr>
        <w:t>–</w:t>
      </w:r>
      <w:r>
        <w:rPr>
          <w:shd w:val="clear" w:color="auto" w:fill="ffffff"/>
          <w:rtl w:val="0"/>
        </w:rPr>
        <w:t>12</w:t>
      </w:r>
      <w:r>
        <w:rPr>
          <w:outline w:val="0"/>
          <w:color w:val="000000"/>
          <w:u w:color="000000"/>
          <w:shd w:val="clear" w:color="auto" w:fill="ffffff"/>
          <w:rtl w:val="0"/>
          <w14:textFill>
            <w14:solidFill>
              <w14:srgbClr w14:val="000000"/>
            </w14:solidFill>
          </w14:textFill>
        </w:rPr>
        <w:t>.</w:t>
      </w:r>
      <w:r>
        <w:rPr>
          <w:outline w:val="0"/>
          <w:color w:val="000000"/>
          <w:u w:color="000000"/>
          <w:shd w:val="clear" w:color="auto" w:fill="ffffff"/>
          <w:vertAlign w:val="superscript"/>
          <w14:textFill>
            <w14:solidFill>
              <w14:srgbClr w14:val="000000"/>
            </w14:solidFill>
          </w14:textFill>
        </w:rPr>
        <w:endnoteReference w:id="6"/>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At the hearing, the RPD correctly identified the IFA criteria and proposed two</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places to where the appellant might relocate: the city of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rida, in the state of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 xml:space="preserve">n, and the city of Durango, in the state of the same name. With all due respect to the RPD, the RAD considers that neither of these cities can provide a safe IFA for the appellant. </w:t>
      </w:r>
    </w:p>
    <w:p>
      <w:pPr>
        <w:pStyle w:val="List Paragraph"/>
        <w:tabs>
          <w:tab w:val="left" w:pos="862"/>
        </w:tabs>
        <w:spacing w:before="240" w:after="240" w:line="360" w:lineRule="auto"/>
        <w:ind w:left="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No safe internal flight alternative is available to the appellant should he return to the country</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Federal Court has indicated that the capacity to act and the motivations, or interest, of the agents of persecution or agents of risk are central to the prospective risk assessment to be conducted whenever an IFA is proposed. The case law has since been consistent in this regard.</w:t>
      </w:r>
      <w:r>
        <w:rPr>
          <w:rStyle w:val="endnote reference"/>
          <w:rFonts w:ascii="Times New Roman" w:cs="Times New Roman" w:hAnsi="Times New Roman" w:eastAsia="Times New Roman"/>
          <w:sz w:val="24"/>
          <w:szCs w:val="24"/>
        </w:rPr>
        <w:endnoteReference w:id="7"/>
      </w:r>
      <w:r>
        <w:rPr>
          <w:rStyle w:val="reflex3-block"/>
          <w:rFonts w:ascii="Times New Roman" w:hAnsi="Times New Roman"/>
          <w:sz w:val="24"/>
          <w:szCs w:val="24"/>
          <w:rtl w:val="0"/>
          <w:lang w:val="en-US"/>
        </w:rPr>
        <w:t xml:space="preserve"> Justice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McHaffie of the Fedearl Court draws a distinction between and establishes the importance of the concepts of the </w:t>
      </w:r>
      <w:r>
        <w:rPr>
          <w:rStyle w:val="Emphasis A"/>
          <w:rFonts w:ascii="Times New Roman" w:hAnsi="Times New Roman"/>
          <w:i w:val="1"/>
          <w:iCs w:val="1"/>
          <w:sz w:val="24"/>
          <w:szCs w:val="24"/>
          <w:rtl w:val="0"/>
          <w:lang w:val="en-US"/>
        </w:rPr>
        <w:t>ability</w:t>
      </w:r>
      <w:r>
        <w:rPr>
          <w:rStyle w:val="reflex3-block"/>
          <w:rFonts w:ascii="Times New Roman" w:hAnsi="Times New Roman"/>
          <w:sz w:val="24"/>
          <w:szCs w:val="24"/>
          <w:rtl w:val="0"/>
          <w:lang w:val="en-US"/>
        </w:rPr>
        <w:t xml:space="preserve">, </w:t>
      </w:r>
      <w:r>
        <w:rPr>
          <w:rStyle w:val="Emphasis A"/>
          <w:rFonts w:ascii="Times New Roman" w:hAnsi="Times New Roman"/>
          <w:i w:val="1"/>
          <w:iCs w:val="1"/>
          <w:sz w:val="24"/>
          <w:szCs w:val="24"/>
          <w:rtl w:val="0"/>
          <w:lang w:val="en-US"/>
        </w:rPr>
        <w:t>desire</w:t>
      </w:r>
      <w:r>
        <w:rPr>
          <w:rStyle w:val="reflex3-block"/>
          <w:rFonts w:ascii="Times New Roman" w:hAnsi="Times New Roman"/>
          <w:sz w:val="24"/>
          <w:szCs w:val="24"/>
          <w:rtl w:val="0"/>
          <w:lang w:val="en-US"/>
        </w:rPr>
        <w:t xml:space="preserve"> or </w:t>
      </w:r>
      <w:r>
        <w:rPr>
          <w:rStyle w:val="Emphasis A"/>
          <w:rFonts w:ascii="Times New Roman" w:hAnsi="Times New Roman"/>
          <w:i w:val="1"/>
          <w:iCs w:val="1"/>
          <w:sz w:val="24"/>
          <w:szCs w:val="24"/>
          <w:rtl w:val="0"/>
          <w:lang w:val="en-US"/>
        </w:rPr>
        <w:t>interest</w:t>
      </w:r>
      <w:r>
        <w:rPr>
          <w:rStyle w:val="reflex3-block"/>
          <w:rFonts w:ascii="Times New Roman" w:hAnsi="Times New Roman"/>
          <w:sz w:val="24"/>
          <w:szCs w:val="24"/>
          <w:rtl w:val="0"/>
          <w:lang w:val="en-US"/>
        </w:rPr>
        <w:t xml:space="preserve">, and the </w:t>
      </w:r>
      <w:r>
        <w:rPr>
          <w:rStyle w:val="Emphasis A"/>
          <w:rFonts w:ascii="Times New Roman" w:hAnsi="Times New Roman"/>
          <w:i w:val="1"/>
          <w:iCs w:val="1"/>
          <w:sz w:val="24"/>
          <w:szCs w:val="24"/>
          <w:rtl w:val="0"/>
          <w:lang w:val="en-US"/>
        </w:rPr>
        <w:t>motivation</w:t>
      </w:r>
      <w:r>
        <w:rPr>
          <w:rStyle w:val="reflex3-block"/>
          <w:rFonts w:ascii="Times New Roman" w:hAnsi="Times New Roman"/>
          <w:sz w:val="24"/>
          <w:szCs w:val="24"/>
          <w:rtl w:val="0"/>
          <w:lang w:val="en-US"/>
        </w:rPr>
        <w:t xml:space="preserve"> of agents of persecution, as well as risk in the following terms: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It is important to note that there is a difference between a persecutor</w:t>
      </w:r>
      <w:r>
        <w:rPr>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s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ability</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to pursue an individual throughout a country and his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desire</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to do so or </w:t>
      </w:r>
      <w:r>
        <w:rPr>
          <w:rFonts w:ascii="Times New Roman" w:hAnsi="Times New Roman"/>
          <w:i w:val="1"/>
          <w:iCs w:val="1"/>
          <w:outline w:val="0"/>
          <w:color w:val="000000"/>
          <w:sz w:val="24"/>
          <w:szCs w:val="24"/>
          <w:u w:color="000000"/>
          <w:shd w:val="clear" w:color="auto" w:fill="ffffff"/>
          <w:rtl w:val="0"/>
          <w:lang w:val="en-US"/>
          <w14:textFill>
            <w14:solidFill>
              <w14:srgbClr w14:val="000000"/>
            </w14:solidFill>
          </w14:textFill>
        </w:rPr>
        <w:t>interest</w:t>
      </w:r>
      <w:r>
        <w:rPr>
          <w:rFonts w:ascii="Times New Roman" w:hAnsi="Times New Roman"/>
          <w:outline w:val="0"/>
          <w:color w:val="000000"/>
          <w:sz w:val="24"/>
          <w:szCs w:val="24"/>
          <w:u w:color="000000"/>
          <w:shd w:val="clear" w:color="auto" w:fill="ffffff"/>
          <w:rtl w:val="0"/>
          <w:lang w:val="en-US"/>
          <w14:textFill>
            <w14:solidFill>
              <w14:srgbClr w14:val="000000"/>
            </w14:solidFill>
          </w14:textFill>
        </w:rPr>
        <w:t xml:space="preserve"> in doing so. The fact that a persecutor is able to pursue an individual is not decisive evidence that he is motivated to do so. If the persecutor has no desire to find, pursue and/or persecute an individual, or interest in doing so, it is reasonable to conclude that there is no serious possibility of persecution.</w:t>
      </w:r>
      <w:r>
        <w:rPr>
          <w:rFonts w:ascii="Times New Roman" w:cs="Times New Roman" w:hAnsi="Times New Roman" w:eastAsia="Times New Roman"/>
          <w:outline w:val="0"/>
          <w:color w:val="000000"/>
          <w:sz w:val="24"/>
          <w:szCs w:val="24"/>
          <w:u w:color="000000"/>
          <w:shd w:val="clear" w:color="auto" w:fill="ffffff"/>
          <w:vertAlign w:val="superscript"/>
          <w14:textFill>
            <w14:solidFill>
              <w14:srgbClr w14:val="000000"/>
            </w14:solidFill>
          </w14:textFill>
        </w:rPr>
        <w:endnoteReference w:id="8"/>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view, the up-to-date documentary evidence is clear concerning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ability to act throughout Mexico. The RPD also recognized this. This appeal asks essentially the same question as to the motivation of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members to pursue the appellant should he return to the country. </w:t>
      </w:r>
    </w:p>
    <w:p>
      <w:pPr>
        <w:pStyle w:val="Body"/>
        <w:spacing w:before="240" w:after="240" w:line="360" w:lineRule="auto"/>
        <w:rPr>
          <w:rStyle w:val="Emphasis A"/>
        </w:rPr>
      </w:pPr>
      <w:r>
        <w:rPr>
          <w:rStyle w:val="Emphasis A"/>
          <w:rtl w:val="0"/>
          <w:lang w:val="es-ES_tradnl"/>
        </w:rPr>
        <w:t xml:space="preserve">     Cartel Jalisco Nueva Generacion</w:t>
      </w:r>
      <w:r>
        <w:rPr>
          <w:rStyle w:val="Emphasis A"/>
          <w:rtl w:val="0"/>
        </w:rPr>
        <w:t>’</w:t>
      </w:r>
      <w:r>
        <w:rPr>
          <w:rStyle w:val="Emphasis A"/>
          <w:rtl w:val="0"/>
          <w:lang w:val="en-US"/>
        </w:rPr>
        <w:t xml:space="preserve">s capacity to act throughout Mexico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According to an </w:t>
      </w:r>
      <w:r>
        <w:rPr>
          <w:rStyle w:val="Emphasis A"/>
          <w:rFonts w:ascii="Times New Roman" w:hAnsi="Times New Roman"/>
          <w:i w:val="1"/>
          <w:iCs w:val="1"/>
          <w:sz w:val="24"/>
          <w:szCs w:val="24"/>
          <w:rtl w:val="0"/>
          <w:lang w:val="en-US"/>
        </w:rPr>
        <w:t>InSight Crime</w:t>
      </w:r>
      <w:r>
        <w:rPr>
          <w:rStyle w:val="reflex3-block"/>
          <w:rFonts w:ascii="Times New Roman" w:hAnsi="Times New Roman"/>
          <w:sz w:val="24"/>
          <w:szCs w:val="24"/>
          <w:rtl w:val="0"/>
          <w:lang w:val="en-US"/>
        </w:rPr>
        <w:t xml:space="preserve"> report dated July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8, 2020, and a report from the United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States Congressional Research Service dated July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28, 2020,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area of influence is described as follows: </w:t>
      </w:r>
    </w:p>
    <w:p>
      <w:pPr>
        <w:pStyle w:val="Body"/>
        <w:spacing w:before="240" w:after="480"/>
        <w:ind w:left="720" w:right="720" w:firstLine="0"/>
        <w:rPr>
          <w:rStyle w:val="reflex3-block"/>
        </w:rPr>
      </w:pPr>
      <w:r>
        <w:rPr>
          <w:rStyle w:val="reflex3-block"/>
          <w:rtl w:val="0"/>
          <w:lang w:val="en-US"/>
        </w:rPr>
        <w:t xml:space="preserve">Area of influence: present in 27 Mexican states and </w:t>
      </w:r>
      <w:r>
        <w:rPr>
          <w:rStyle w:val="reflex3-block"/>
          <w:rtl w:val="0"/>
        </w:rPr>
        <w:t>“</w:t>
      </w:r>
      <w:r>
        <w:rPr>
          <w:rStyle w:val="reflex3-block"/>
          <w:rtl w:val="0"/>
          <w:lang w:val="en-US"/>
        </w:rPr>
        <w:t>asserts control over the ports of Veracruz, Mazanillo, and L</w:t>
      </w:r>
      <w:r>
        <w:rPr>
          <w:rStyle w:val="reflex3-block"/>
          <w:rtl w:val="0"/>
        </w:rPr>
        <w:t>á</w:t>
      </w:r>
      <w:r>
        <w:rPr>
          <w:rStyle w:val="reflex3-block"/>
          <w:rtl w:val="0"/>
          <w:lang w:val="it-IT"/>
        </w:rPr>
        <w:t>zaro C</w:t>
      </w:r>
      <w:r>
        <w:rPr>
          <w:rStyle w:val="reflex3-block"/>
          <w:rtl w:val="0"/>
        </w:rPr>
        <w:t>á</w:t>
      </w:r>
      <w:r>
        <w:rPr>
          <w:rStyle w:val="reflex3-block"/>
          <w:rtl w:val="0"/>
          <w:lang w:val="pt-PT"/>
        </w:rPr>
        <w:t>rdenas.</w:t>
      </w:r>
      <w:r>
        <w:rPr>
          <w:rStyle w:val="reflex3-block"/>
          <w:rtl w:val="0"/>
        </w:rPr>
        <w:t xml:space="preserve">” </w:t>
      </w:r>
      <w:r>
        <w:rPr>
          <w:rStyle w:val="reflex3-block"/>
          <w:rtl w:val="0"/>
          <w:lang w:val="en-US"/>
        </w:rPr>
        <w:t xml:space="preserve">It has a presence in every part of the country, and is the </w:t>
      </w:r>
      <w:r>
        <w:rPr>
          <w:rStyle w:val="reflex3-block"/>
          <w:rtl w:val="0"/>
        </w:rPr>
        <w:t>“</w:t>
      </w:r>
      <w:r>
        <w:rPr>
          <w:rStyle w:val="reflex3-block"/>
          <w:rtl w:val="0"/>
          <w:lang w:val="en-US"/>
        </w:rPr>
        <w:t>dominant criminal actor in Jalisco, Nayarit and Colima, at the port of L</w:t>
      </w:r>
      <w:r>
        <w:rPr>
          <w:rStyle w:val="reflex3-block"/>
          <w:rtl w:val="0"/>
        </w:rPr>
        <w:t>á</w:t>
      </w:r>
      <w:r>
        <w:rPr>
          <w:rStyle w:val="reflex3-block"/>
          <w:rtl w:val="0"/>
          <w:lang w:val="it-IT"/>
        </w:rPr>
        <w:t>zaro C</w:t>
      </w:r>
      <w:r>
        <w:rPr>
          <w:rStyle w:val="reflex3-block"/>
          <w:rtl w:val="0"/>
        </w:rPr>
        <w:t>á</w:t>
      </w:r>
      <w:r>
        <w:rPr>
          <w:rStyle w:val="reflex3-block"/>
          <w:rtl w:val="0"/>
          <w:lang w:val="pt-PT"/>
        </w:rPr>
        <w:t>rdenas in Michoac</w:t>
      </w:r>
      <w:r>
        <w:rPr>
          <w:rStyle w:val="reflex3-block"/>
          <w:rtl w:val="0"/>
        </w:rPr>
        <w:t>á</w:t>
      </w:r>
      <w:r>
        <w:rPr>
          <w:rStyle w:val="reflex3-block"/>
          <w:rtl w:val="0"/>
          <w:lang w:val="en-US"/>
        </w:rPr>
        <w:t>n, in the eastern state of Veracruz and in the oil-rich central region of Guanajuato, Puebla, Quer</w:t>
      </w:r>
      <w:r>
        <w:rPr>
          <w:rStyle w:val="reflex3-block"/>
          <w:rtl w:val="0"/>
          <w:lang w:val="fr-FR"/>
        </w:rPr>
        <w:t>é</w:t>
      </w:r>
      <w:r>
        <w:rPr>
          <w:rStyle w:val="reflex3-block"/>
          <w:rtl w:val="0"/>
          <w:lang w:val="it-IT"/>
        </w:rPr>
        <w:t>taro and Hidalgo.</w:t>
      </w:r>
      <w:r>
        <w:rPr>
          <w:rStyle w:val="reflex3-block"/>
          <w:rtl w:val="0"/>
        </w:rPr>
        <w:t>”</w:t>
      </w:r>
      <w:r>
        <w:rPr>
          <w:rStyle w:val="endnote reference"/>
        </w:rPr>
        <w:endnoteReference w:id="9"/>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Of the 27</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states mentioned in the previous quotation, 22 are listed in a report from the same research group: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The group appears to be growing rapidly. According to authorities, the CJNG operates in at least in 22</w:t>
      </w:r>
      <w:r>
        <w:rPr>
          <w:rFonts w:ascii="Times New Roman" w:hAnsi="Times New Roman" w:hint="default"/>
          <w:sz w:val="24"/>
          <w:szCs w:val="24"/>
          <w:rtl w:val="0"/>
          <w:lang w:val="en-US"/>
        </w:rPr>
        <w:t> </w:t>
      </w:r>
      <w:r>
        <w:rPr>
          <w:rFonts w:ascii="Times New Roman" w:hAnsi="Times New Roman"/>
          <w:sz w:val="24"/>
          <w:szCs w:val="24"/>
          <w:rtl w:val="0"/>
          <w:lang w:val="en-US"/>
        </w:rPr>
        <w:t>states: Aguascalientes, Baja California Sur, Baja California, Chiapas, Chihuahua, Nuevo Le</w:t>
      </w:r>
      <w:r>
        <w:rPr>
          <w:rFonts w:ascii="Times New Roman" w:hAnsi="Times New Roman" w:hint="default"/>
          <w:sz w:val="24"/>
          <w:szCs w:val="24"/>
          <w:rtl w:val="0"/>
          <w:lang w:val="en-US"/>
        </w:rPr>
        <w:t>ó</w:t>
      </w:r>
      <w:r>
        <w:rPr>
          <w:rFonts w:ascii="Times New Roman" w:hAnsi="Times New Roman"/>
          <w:sz w:val="24"/>
          <w:szCs w:val="24"/>
          <w:rtl w:val="0"/>
          <w:lang w:val="en-US"/>
        </w:rPr>
        <w:t>n, Puebla, Quer</w:t>
      </w:r>
      <w:r>
        <w:rPr>
          <w:rFonts w:ascii="Times New Roman" w:hAnsi="Times New Roman" w:hint="default"/>
          <w:sz w:val="24"/>
          <w:szCs w:val="24"/>
          <w:rtl w:val="0"/>
          <w:lang w:val="en-US"/>
        </w:rPr>
        <w:t>é</w:t>
      </w:r>
      <w:r>
        <w:rPr>
          <w:rFonts w:ascii="Times New Roman" w:hAnsi="Times New Roman"/>
          <w:sz w:val="24"/>
          <w:szCs w:val="24"/>
          <w:rtl w:val="0"/>
          <w:lang w:val="en-US"/>
        </w:rPr>
        <w:t>taro, Quintana Roo, San Luis Potos</w:t>
      </w:r>
      <w:r>
        <w:rPr>
          <w:rFonts w:ascii="Times New Roman" w:hAnsi="Times New Roman" w:hint="default"/>
          <w:sz w:val="24"/>
          <w:szCs w:val="24"/>
          <w:rtl w:val="0"/>
          <w:lang w:val="en-US"/>
        </w:rPr>
        <w:t>í</w:t>
      </w:r>
      <w:r>
        <w:rPr>
          <w:rFonts w:ascii="Times New Roman" w:hAnsi="Times New Roman"/>
          <w:sz w:val="24"/>
          <w:szCs w:val="24"/>
          <w:rtl w:val="0"/>
          <w:lang w:val="en-US"/>
        </w:rPr>
        <w:t>, Sinaloa, Tamaulipas, Jalisco, Colima, Michoac</w:t>
      </w:r>
      <w:r>
        <w:rPr>
          <w:rFonts w:ascii="Times New Roman" w:hAnsi="Times New Roman" w:hint="default"/>
          <w:sz w:val="24"/>
          <w:szCs w:val="24"/>
          <w:rtl w:val="0"/>
          <w:lang w:val="en-US"/>
        </w:rPr>
        <w:t>á</w:t>
      </w:r>
      <w:r>
        <w:rPr>
          <w:rFonts w:ascii="Times New Roman" w:hAnsi="Times New Roman"/>
          <w:sz w:val="24"/>
          <w:szCs w:val="24"/>
          <w:rtl w:val="0"/>
          <w:lang w:val="en-US"/>
        </w:rPr>
        <w:t>n, Guanajuato, Morelos, Nayarit, Guerrero, and Veracruz, plus Mexico City and the State of Mexico.</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This report, published in 2019, also indicates that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influence extends internationally: </w:t>
      </w:r>
    </w:p>
    <w:p>
      <w:pPr>
        <w:pStyle w:val="List Paragraph"/>
        <w:tabs>
          <w:tab w:val="left" w:pos="862"/>
        </w:tabs>
        <w:spacing w:before="240" w:after="480"/>
        <w:ind w:right="720"/>
        <w:jc w:val="both"/>
        <w:rPr>
          <w:rFonts w:ascii="Times New Roman" w:cs="Times New Roman" w:hAnsi="Times New Roman" w:eastAsia="Times New Roman"/>
          <w:sz w:val="24"/>
          <w:szCs w:val="24"/>
        </w:rPr>
      </w:pPr>
      <w:r>
        <w:rPr>
          <w:rFonts w:ascii="Times New Roman" w:hAnsi="Times New Roman"/>
          <w:sz w:val="24"/>
          <w:szCs w:val="24"/>
          <w:rtl w:val="0"/>
          <w:lang w:val="en-US"/>
        </w:rPr>
        <w:t>The cartel also allegedly has contacts in Colombia, Peru, Bolivia, Central America and the United States, and uses these connections to traffic marijuana, cocaine and synthetic drugs. Recent arrests suggest that the Cuinis, the alleged money laundering arm of the CJNG, may have established operations in Brazil and Uruguay.</w:t>
      </w:r>
      <w:r>
        <w:rPr>
          <w:rFonts w:ascii="Times New Roman" w:cs="Times New Roman" w:hAnsi="Times New Roman" w:eastAsia="Times New Roman"/>
          <w:sz w:val="24"/>
          <w:szCs w:val="24"/>
          <w:vertAlign w:val="superscript"/>
        </w:rPr>
        <w:endnoteReference w:id="11"/>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Durango and Yucat</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are among the five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states not mentioned in the list cited above. That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said, given the size of the territory covered within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borders and the extent of its international influence, there is every reason to believe that this cartel and its members have the means to act throughout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Additionally, this cartel is sufficiently powerful to challenge members of other cartels successfully and conquer territory over time; to challenge, also successfully, the army and police, executing certain judges who have presided over cases against their members or ordered their extradition; and to seize control of three</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of the country</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largest ports, thereby overseeing the import from China of chemicals required to manufacture drugs for subsequent trafficking, particularly in the US. It has the capacity to corrupt very highly ranked government officials. This cartel has a reputation for acts of such violence that numerous mass graves have been discovered, while public executions have been carried out by its members. It is estimated that this cartel alone caused the deaths of more than 5,000</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people between 2015 and 2018.</w:t>
      </w:r>
      <w:r>
        <w:rPr>
          <w:rStyle w:val="endnote reference"/>
          <w:rFonts w:ascii="Times New Roman" w:cs="Times New Roman" w:hAnsi="Times New Roman" w:eastAsia="Times New Roman"/>
          <w:sz w:val="24"/>
          <w:szCs w:val="24"/>
        </w:rPr>
        <w:endnoteReference w:id="12"/>
      </w:r>
      <w:r>
        <w:rPr>
          <w:rStyle w:val="reflex3-block"/>
          <w:rFonts w:ascii="Times New Roman" w:hAnsi="Times New Roman"/>
          <w:sz w:val="24"/>
          <w:szCs w:val="24"/>
          <w:rtl w:val="0"/>
          <w:lang w:val="en-US"/>
        </w:rPr>
        <w:t xml:space="preserve">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Ultimately, the documentary evidence shows that although this cartel, like any organized criminal group, focuses on activity within its territory, it has the material and financial means and the capacity to act throughout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territory. It has also been established that CJNG members are able to operate outside of their territory, notably to track individuals for reasons generally related to a large debt or a personal vendetta.</w:t>
      </w:r>
      <w:r>
        <w:rPr>
          <w:rStyle w:val="endnote reference"/>
          <w:rFonts w:ascii="Times New Roman" w:cs="Times New Roman" w:hAnsi="Times New Roman" w:eastAsia="Times New Roman"/>
          <w:sz w:val="24"/>
          <w:szCs w:val="24"/>
        </w:rPr>
        <w:endnoteReference w:id="13"/>
      </w:r>
      <w:r>
        <w:rPr>
          <w:rStyle w:val="reflex3-block"/>
          <w:rFonts w:ascii="Times New Roman" w:hAnsi="Times New Roman"/>
          <w:sz w:val="24"/>
          <w:szCs w:val="24"/>
          <w:rtl w:val="0"/>
          <w:lang w:val="en-US"/>
        </w:rPr>
        <w:t xml:space="preserve"> </w:t>
      </w:r>
    </w:p>
    <w:p>
      <w:pPr>
        <w:pStyle w:val="List Paragraph"/>
        <w:tabs>
          <w:tab w:val="left" w:pos="709"/>
          <w:tab w:val="left" w:pos="862"/>
        </w:tabs>
        <w:spacing w:before="240" w:after="240" w:line="360" w:lineRule="auto"/>
        <w:ind w:left="0" w:firstLine="0"/>
        <w:jc w:val="both"/>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 xml:space="preserve">     Motivation of Cartel Jalisco Nueva Generacion members to pursue the appellant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To justify the motivation that CJNG members would have in his regard, the appellant cites the large debt he incurred after he stopped making the payments demanded and working for the cartel.</w:t>
      </w:r>
      <w:r>
        <w:rPr>
          <w:rStyle w:val="endnote reference"/>
          <w:rFonts w:ascii="Times New Roman" w:cs="Times New Roman" w:hAnsi="Times New Roman" w:eastAsia="Times New Roman"/>
          <w:sz w:val="24"/>
          <w:szCs w:val="24"/>
        </w:rPr>
        <w:endnoteReference w:id="14"/>
      </w:r>
      <w:r>
        <w:rPr>
          <w:rStyle w:val="reflex3-block"/>
          <w:rFonts w:ascii="Times New Roman" w:hAnsi="Times New Roman"/>
          <w:sz w:val="24"/>
          <w:szCs w:val="24"/>
          <w:rtl w:val="0"/>
          <w:lang w:val="en-US"/>
        </w:rPr>
        <w:t xml:space="preserve"> Moreover, he relies on the history of his family, which has had numerous confrontations with members of that cartel, to establish their ongoing interest in finding him and making death threats against him.</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has established, on a balance of probabilities, that he stopped making the payments demanded by the cartel and that he has been subjected to serious reprisals because of his refusal to continue co-operating in this regard, including his involvement in trafficking drugs through his business. He is therefore believable when he states that the motivations of the cartel members include the debt he incurred after he stopped making payments.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opinion, the established facts indicating, on a balance of probabilities, that cartel members targeted not only the appellant, but also at least eight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other friends or family members demonstrate the significant interest they have in him.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appellant ran a </w:t>
      </w:r>
      <w:r>
        <w:rPr>
          <w:rStyle w:val="reflex3-block"/>
          <w:rFonts w:ascii="Times New Roman" w:hAnsi="Times New Roman"/>
          <w:sz w:val="24"/>
          <w:szCs w:val="24"/>
          <w:rtl w:val="0"/>
          <w:lang w:val="en-US"/>
        </w:rPr>
        <w:t>ceramic workshop</w:t>
      </w:r>
      <w:r>
        <w:rPr>
          <w:rStyle w:val="reflex3-block"/>
          <w:rFonts w:ascii="Times New Roman" w:hAnsi="Times New Roman"/>
          <w:sz w:val="24"/>
          <w:szCs w:val="24"/>
          <w:rtl w:val="0"/>
          <w:lang w:val="en-US"/>
        </w:rPr>
        <w:t xml:space="preserve"> with help from his brother-in-law, spouse and mother. At some point in 2018 or 2019, all</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three were victims of violent acts committed by cartel members while they were in Irapuato, Guadalajara, L</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on and Puerto Vallarta, before and after the appellant left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nephew, who lived with his grandmother,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was the target of attempted murder as he left school in </w:t>
      </w:r>
      <w:r>
        <w:rPr>
          <w:rStyle w:val="reflex3-block"/>
          <w:rFonts w:ascii="Times New Roman" w:hAnsi="Times New Roman"/>
          <w:sz w:val="24"/>
          <w:szCs w:val="24"/>
          <w:rtl w:val="0"/>
          <w:lang w:val="en-US"/>
        </w:rPr>
        <w:t>October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2018.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sister, who is the wife of the brother-in-law with whom he ran the </w:t>
      </w:r>
      <w:r>
        <w:rPr>
          <w:rStyle w:val="reflex3-block"/>
          <w:rFonts w:ascii="Times New Roman" w:hAnsi="Times New Roman"/>
          <w:sz w:val="24"/>
          <w:szCs w:val="24"/>
          <w:rtl w:val="0"/>
          <w:lang w:val="en-US"/>
        </w:rPr>
        <w:t>ceramic workshop</w:t>
      </w:r>
      <w:r>
        <w:rPr>
          <w:rStyle w:val="reflex3-block"/>
          <w:rFonts w:ascii="Times New Roman" w:hAnsi="Times New Roman"/>
          <w:sz w:val="24"/>
          <w:szCs w:val="24"/>
          <w:rtl w:val="0"/>
          <w:lang w:val="en-US"/>
        </w:rPr>
        <w:t>, escaped an attempted kidnapping by CJNG members while she and her husband were in hiding in Puerto Vallarta.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niece was also the victim of a kidnapping attempt in </w:t>
      </w:r>
      <w:r>
        <w:rPr>
          <w:rStyle w:val="reflex3-block"/>
          <w:rFonts w:ascii="Times New Roman" w:hAnsi="Times New Roman"/>
          <w:sz w:val="24"/>
          <w:szCs w:val="24"/>
          <w:rtl w:val="0"/>
          <w:lang w:val="en-US"/>
        </w:rPr>
        <w:t>April</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2018.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The RPD was not satisfied that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nephew and mother were also assaulted by the cartel members who had allegedly recognized them in </w:t>
      </w:r>
      <w:r>
        <w:rPr>
          <w:rStyle w:val="reflex3-block"/>
          <w:rFonts w:ascii="Times New Roman" w:hAnsi="Times New Roman"/>
          <w:sz w:val="24"/>
          <w:szCs w:val="24"/>
          <w:rtl w:val="0"/>
          <w:lang w:val="en-US"/>
        </w:rPr>
        <w:t>February</w:t>
      </w:r>
      <w:r>
        <w:rPr>
          <w:rStyle w:val="reflex3-block"/>
          <w:rFonts w:ascii="Times New Roman" w:hAnsi="Times New Roman"/>
          <w:sz w:val="24"/>
          <w:szCs w:val="24"/>
          <w:rtl w:val="0"/>
          <w:lang w:val="en-US"/>
        </w:rPr>
        <w:t>, after they had been living in Hidalgo, in the state of Michoac</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n, for six</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months, considering it unreasonable that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mother had opted to return to </w:t>
      </w:r>
      <w:r>
        <w:rPr>
          <w:rStyle w:val="reflex3-block"/>
          <w:rFonts w:ascii="Times New Roman" w:hAnsi="Times New Roman"/>
          <w:sz w:val="24"/>
          <w:szCs w:val="24"/>
          <w:rtl w:val="0"/>
          <w:lang w:val="en-US"/>
        </w:rPr>
        <w:t>Irapuato</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four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months after the violent assault against her grandson.</w:t>
      </w:r>
      <w:r>
        <w:rPr>
          <w:rStyle w:val="endnote reference"/>
          <w:rFonts w:ascii="Times New Roman" w:cs="Times New Roman" w:hAnsi="Times New Roman" w:eastAsia="Times New Roman"/>
          <w:sz w:val="24"/>
          <w:szCs w:val="24"/>
        </w:rPr>
        <w:endnoteReference w:id="15"/>
      </w:r>
      <w:r>
        <w:rPr>
          <w:rStyle w:val="reflex3-block"/>
          <w:rFonts w:ascii="Times New Roman" w:hAnsi="Times New Roman"/>
          <w:sz w:val="24"/>
          <w:szCs w:val="24"/>
          <w:rtl w:val="0"/>
          <w:lang w:val="en-US"/>
        </w:rPr>
        <w:t xml:space="preserve"> When asked to explain why his mother had gone back to live in the city of L</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on in the same state, Guanajuato, where the city of Irapuato is located, the appellant stated that they were taken in by a family member and that they had nowhere else to go.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After listening to the hearing, the RAD confirms that no further questions were put to the appellant concerning that event, which occurred in his absence and was reported by the person who had taken in his mother and nephew. It is therefore wrong to hold, against the appellant, the behaviour of his mother and nephew, who were seeking to protect themselves by changing residences</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admittedly within the same state, but not in the same city</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when he was not questioned on that event. Knowing that the RPD considered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testimony to be credible but did not explain why this line of testimony was not credible, having considered that the behaviour of the mother and nephew was unreasonable, the RAD is of the opinion that this conclusion is incorrect. The appellant demonstrated that the cartel did, in fact, look for him after he left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As rightly pointed out by the RPD, the appellant did not relocate outside of the CJNG</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area of influence, nor did his family members. However, not only was the appellant not questioned as to how much he knew about that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area of activity within Mexico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borders, but to place such a burden on a claimant is, 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view, excessive. The appellant did indeed attempt to seek safety by relocating, hiding at the homes of family members and friends in different places. However, it cannot be concluded that he knew that he was relocating within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territory, knowing that this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main area of activity covers numerous states but that its area of influence covers nearly the entire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accordance with his testimony, the appellant ceased his activities at his </w:t>
      </w:r>
      <w:r>
        <w:rPr>
          <w:rStyle w:val="reflex3-block"/>
          <w:rFonts w:ascii="Times New Roman" w:hAnsi="Times New Roman"/>
          <w:sz w:val="24"/>
          <w:szCs w:val="24"/>
          <w:rtl w:val="0"/>
          <w:lang w:val="en-US"/>
        </w:rPr>
        <w:t>workshop</w:t>
      </w:r>
      <w:r>
        <w:rPr>
          <w:rStyle w:val="reflex3-block"/>
          <w:rFonts w:ascii="Times New Roman" w:hAnsi="Times New Roman"/>
          <w:sz w:val="24"/>
          <w:szCs w:val="24"/>
          <w:rtl w:val="0"/>
          <w:lang w:val="en-US"/>
        </w:rPr>
        <w:t xml:space="preserve"> in late </w:t>
      </w:r>
      <w:r>
        <w:rPr>
          <w:rStyle w:val="reflex3-block"/>
          <w:rFonts w:ascii="Times New Roman" w:hAnsi="Times New Roman"/>
          <w:sz w:val="24"/>
          <w:szCs w:val="24"/>
          <w:rtl w:val="0"/>
          <w:lang w:val="en-US"/>
        </w:rPr>
        <w:t>October</w:t>
      </w:r>
      <w:r>
        <w:rPr>
          <w:rStyle w:val="reflex3-block"/>
          <w:rFonts w:ascii="Times New Roman" w:hAnsi="Times New Roman"/>
          <w:sz w:val="24"/>
          <w:szCs w:val="24"/>
          <w:rtl w:val="0"/>
          <w:lang w:val="en-US"/>
        </w:rPr>
        <w:t xml:space="preserve"> and then resumed working in </w:t>
      </w:r>
      <w:r>
        <w:rPr>
          <w:rStyle w:val="reflex3-block"/>
          <w:rFonts w:ascii="Times New Roman" w:hAnsi="Times New Roman"/>
          <w:sz w:val="24"/>
          <w:szCs w:val="24"/>
          <w:rtl w:val="0"/>
          <w:lang w:val="en-US"/>
        </w:rPr>
        <w:t>December</w:t>
      </w:r>
      <w:r>
        <w:rPr>
          <w:rStyle w:val="reflex3-block"/>
          <w:rFonts w:ascii="Times New Roman" w:hAnsi="Times New Roman"/>
          <w:sz w:val="24"/>
          <w:szCs w:val="24"/>
          <w:rtl w:val="0"/>
          <w:lang w:val="en-US"/>
        </w:rPr>
        <w:t>, facing a clear risk of being located. However, 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opinion, the appellant had to work in order to survive and flee the country.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 xml:space="preserve">According to the RPD, the fact that the appellant was not found by the cartel members between </w:t>
      </w:r>
      <w:r>
        <w:rPr>
          <w:rStyle w:val="reflex3-block"/>
          <w:rFonts w:ascii="Times New Roman" w:hAnsi="Times New Roman"/>
          <w:sz w:val="24"/>
          <w:szCs w:val="24"/>
          <w:rtl w:val="0"/>
          <w:lang w:val="en-US"/>
        </w:rPr>
        <w:t>November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2018 and his departure in </w:t>
      </w:r>
      <w:r>
        <w:rPr>
          <w:rStyle w:val="reflex3-block"/>
          <w:rFonts w:ascii="Times New Roman" w:hAnsi="Times New Roman"/>
          <w:sz w:val="24"/>
          <w:szCs w:val="24"/>
          <w:rtl w:val="0"/>
          <w:lang w:val="en-US"/>
        </w:rPr>
        <w:t>January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2019 confirms their lack of interest in pursuing the appellant. However, the appellant indicated that he had been living in hiding and changed his telephone number twice</w:t>
      </w:r>
      <w:r>
        <w:rPr>
          <w:rStyle w:val="endnote reference"/>
          <w:rFonts w:ascii="Times New Roman" w:cs="Times New Roman" w:hAnsi="Times New Roman" w:eastAsia="Times New Roman"/>
          <w:sz w:val="24"/>
          <w:szCs w:val="24"/>
        </w:rPr>
        <w:endnoteReference w:id="16"/>
      </w:r>
      <w:r>
        <w:rPr>
          <w:rStyle w:val="reflex3-block"/>
          <w:rFonts w:ascii="Times New Roman" w:hAnsi="Times New Roman"/>
          <w:sz w:val="24"/>
          <w:szCs w:val="24"/>
          <w:rtl w:val="0"/>
          <w:lang w:val="en-US"/>
        </w:rPr>
        <w:t xml:space="preserve"> but was still receiving threatening messages. With all due respect to the RPD, it cannot be concluded from the fact that the cartel members did not physically locate the appellant between </w:t>
      </w:r>
      <w:r>
        <w:rPr>
          <w:rStyle w:val="reflex3-block"/>
          <w:rFonts w:ascii="Times New Roman" w:hAnsi="Times New Roman"/>
          <w:sz w:val="24"/>
          <w:szCs w:val="24"/>
          <w:rtl w:val="0"/>
          <w:lang w:val="en-US"/>
        </w:rPr>
        <w:t>November</w:t>
      </w:r>
      <w:r>
        <w:rPr>
          <w:rStyle w:val="reflex3-block"/>
          <w:rFonts w:ascii="Times New Roman" w:hAnsi="Times New Roman"/>
          <w:sz w:val="24"/>
          <w:szCs w:val="24"/>
          <w:rtl w:val="0"/>
          <w:lang w:val="en-US"/>
        </w:rPr>
        <w:t xml:space="preserve"> and </w:t>
      </w:r>
      <w:r>
        <w:rPr>
          <w:rStyle w:val="reflex3-block"/>
          <w:rFonts w:ascii="Times New Roman" w:hAnsi="Times New Roman"/>
          <w:sz w:val="24"/>
          <w:szCs w:val="24"/>
          <w:rtl w:val="0"/>
          <w:lang w:val="en-US"/>
        </w:rPr>
        <w:t>January</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when he was in hiding but attempted to work, moved several times and changed his telephone number</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that the agent of risk lacks motivation, but rather that living in hiding dampened but did not destroy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 xml:space="preserve">s motivation. </w:t>
      </w:r>
    </w:p>
    <w:p>
      <w:pPr>
        <w:pStyle w:val="List Paragraph"/>
        <w:numPr>
          <w:ilvl w:val="0"/>
          <w:numId w:val="2"/>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Considering the personal circumstances of the appellant and his family members in this case, knowing that numerous members of a single family are being pursued by the same individuals, members of the most powerful cartel in the country, to remote locations</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Puerto Vallarta</w:t>
      </w:r>
      <w:r>
        <w:rPr>
          <w:rStyle w:val="reflex3-block"/>
          <w:rFonts w:ascii="Times New Roman" w:hAnsi="Times New Roman"/>
          <w:sz w:val="24"/>
          <w:szCs w:val="24"/>
          <w:rtl w:val="0"/>
          <w:lang w:val="en-US"/>
        </w:rPr>
        <w:t xml:space="preserve"> being approximately </w:t>
      </w:r>
      <w:r>
        <w:rPr>
          <w:rStyle w:val="reflex3-block"/>
          <w:rFonts w:ascii="Times New Roman" w:hAnsi="Times New Roman"/>
          <w:sz w:val="24"/>
          <w:szCs w:val="24"/>
          <w:rtl w:val="0"/>
          <w:lang w:val="en-US"/>
        </w:rPr>
        <w:t>613</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kilometres from the city of Hidalgo</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and at different times, that the appellant tried as best as he could to hide while also continuing to ply his trade to cover the cost of fleeing the country, the RAD is of the opinion that the appellant demonstrated, on a balance of probabilities, that the identified agent of risk, members of the CJNG, has the motivation to pursue him to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rida and throughout Mexico. </w:t>
      </w:r>
    </w:p>
    <w:p>
      <w:pPr>
        <w:pStyle w:val="Body"/>
        <w:tabs>
          <w:tab w:val="left" w:pos="862"/>
        </w:tabs>
        <w:spacing w:before="240" w:after="360"/>
        <w:rPr>
          <w:rStyle w:val="Emphasis A"/>
        </w:rPr>
      </w:pPr>
      <w:r>
        <w:rPr>
          <w:rStyle w:val="Emphasis A"/>
          <w:rtl w:val="0"/>
          <w:lang w:val="en-US"/>
        </w:rPr>
        <w:t xml:space="preserve">     No internal flight alternative and no state protection are available to the appellant</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light of all the evidence and for the above reasons, noting the specific circumstances of this case, including the cartel</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conspiring against the members of this family and murdering the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friend, the RAD concludes that the appellant has demonstrated, on a balance of probabilities, that he would not be able to live safely in the city of M</w:t>
      </w:r>
      <w:r>
        <w:rPr>
          <w:rStyle w:val="reflex3-block"/>
          <w:rFonts w:ascii="Times New Roman" w:hAnsi="Times New Roman" w:hint="default"/>
          <w:sz w:val="24"/>
          <w:szCs w:val="24"/>
          <w:rtl w:val="0"/>
          <w:lang w:val="en-US"/>
        </w:rPr>
        <w:t>é</w:t>
      </w:r>
      <w:r>
        <w:rPr>
          <w:rStyle w:val="reflex3-block"/>
          <w:rFonts w:ascii="Times New Roman" w:hAnsi="Times New Roman"/>
          <w:sz w:val="24"/>
          <w:szCs w:val="24"/>
          <w:rtl w:val="0"/>
          <w:lang w:val="en-US"/>
        </w:rPr>
        <w:t xml:space="preserve">rida or in any other city were he to return to Mexico. As such, the appellant credibly demonstrated that if he returned to Mexico, he would be subjected personally, on a balance of probabilities, to a threat to his life throughout that country. </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In the RAD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opinion, given that the appellant rebutted the first</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prong of the IFA criterion, it is not necessary to proceed with the analysis of the second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prong.</w:t>
      </w:r>
    </w:p>
    <w:p>
      <w:pPr>
        <w:pStyle w:val="List Paragraph"/>
        <w:numPr>
          <w:ilvl w:val="0"/>
          <w:numId w:val="6"/>
        </w:numPr>
        <w:bidi w:val="0"/>
        <w:spacing w:before="240" w:after="240" w:line="360" w:lineRule="auto"/>
        <w:ind w:right="0"/>
        <w:jc w:val="both"/>
        <w:rPr>
          <w:rFonts w:ascii="Times New Roman" w:hAnsi="Times New Roman"/>
          <w:sz w:val="24"/>
          <w:szCs w:val="24"/>
          <w:rtl w:val="0"/>
          <w:lang w:val="en-US"/>
        </w:rPr>
      </w:pPr>
      <w:r>
        <w:rPr>
          <w:rStyle w:val="reflex3-block"/>
          <w:rFonts w:ascii="Times New Roman" w:hAnsi="Times New Roman"/>
          <w:sz w:val="24"/>
          <w:szCs w:val="24"/>
          <w:rtl w:val="0"/>
          <w:lang w:val="en-US"/>
        </w:rPr>
        <w:t>Lastly, the RAD is of the view that there is clear and convincing documentary evidence, analyzed above and contained in the National Documentation Package on Mexico,</w:t>
      </w:r>
      <w:r>
        <w:rPr>
          <w:rStyle w:val="endnote reference"/>
          <w:rFonts w:ascii="Times New Roman" w:cs="Times New Roman" w:hAnsi="Times New Roman" w:eastAsia="Times New Roman"/>
          <w:sz w:val="24"/>
          <w:szCs w:val="24"/>
        </w:rPr>
        <w:endnoteReference w:id="17"/>
      </w:r>
      <w:r>
        <w:rPr>
          <w:rStyle w:val="reflex3-block"/>
          <w:rFonts w:ascii="Times New Roman" w:hAnsi="Times New Roman"/>
          <w:sz w:val="24"/>
          <w:szCs w:val="24"/>
          <w:rtl w:val="0"/>
          <w:lang w:val="en-US"/>
        </w:rPr>
        <w:t xml:space="preserve"> outlining the major problems of impunity, corruption and collusion, including between the authorities and cartel members, of a lack of state protection should the appellant return to the country. </w:t>
      </w:r>
    </w:p>
    <w:p>
      <w:pPr>
        <w:pStyle w:val="Normal_ParagNum"/>
        <w:tabs>
          <w:tab w:val="clear" w:pos="720"/>
        </w:tabs>
        <w:spacing w:before="480" w:after="240"/>
        <w:ind w:left="0" w:firstLine="0"/>
        <w:rPr>
          <w:b w:val="1"/>
          <w:bCs w:val="1"/>
        </w:rPr>
      </w:pPr>
      <w:r>
        <w:rPr>
          <w:b w:val="1"/>
          <w:bCs w:val="1"/>
          <w:rtl w:val="0"/>
          <w:lang w:val="en-US"/>
        </w:rPr>
        <w:t xml:space="preserve">CONCLUSION </w:t>
      </w:r>
    </w:p>
    <w:p>
      <w:pPr>
        <w:pStyle w:val="List Paragraph"/>
        <w:numPr>
          <w:ilvl w:val="0"/>
          <w:numId w:val="7"/>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Pursuant to paragraph</w:t>
      </w:r>
      <w:r>
        <w:rPr>
          <w:rFonts w:ascii="Times New Roman" w:hAnsi="Times New Roman" w:hint="default"/>
          <w:sz w:val="24"/>
          <w:szCs w:val="24"/>
          <w:rtl w:val="0"/>
          <w:lang w:val="en-US"/>
        </w:rPr>
        <w:t> </w:t>
      </w:r>
      <w:r>
        <w:rPr>
          <w:rFonts w:ascii="Times New Roman" w:hAnsi="Times New Roman"/>
          <w:sz w:val="24"/>
          <w:szCs w:val="24"/>
          <w:rtl w:val="0"/>
          <w:lang w:val="en-US"/>
        </w:rPr>
        <w:t>111(1)(b) of the IRPA, the appeal is allowed, and the RPD</w:t>
      </w:r>
      <w:r>
        <w:rPr>
          <w:rFonts w:ascii="Times New Roman" w:hAnsi="Times New Roman" w:hint="default"/>
          <w:sz w:val="24"/>
          <w:szCs w:val="24"/>
          <w:rtl w:val="0"/>
          <w:lang w:val="en-US"/>
        </w:rPr>
        <w:t>’</w:t>
      </w:r>
      <w:r>
        <w:rPr>
          <w:rFonts w:ascii="Times New Roman" w:hAnsi="Times New Roman"/>
          <w:sz w:val="24"/>
          <w:szCs w:val="24"/>
          <w:rtl w:val="0"/>
          <w:lang w:val="en-US"/>
        </w:rPr>
        <w:t>s determination that the appellant is neither a Convention refugee nor a person in need of protection within the meaning of subsection</w:t>
      </w:r>
      <w:r>
        <w:rPr>
          <w:rFonts w:ascii="Times New Roman" w:hAnsi="Times New Roman" w:hint="default"/>
          <w:sz w:val="24"/>
          <w:szCs w:val="24"/>
          <w:rtl w:val="0"/>
          <w:lang w:val="en-US"/>
        </w:rPr>
        <w:t> </w:t>
      </w:r>
      <w:r>
        <w:rPr>
          <w:rFonts w:ascii="Times New Roman" w:hAnsi="Times New Roman"/>
          <w:sz w:val="24"/>
          <w:szCs w:val="24"/>
          <w:rtl w:val="0"/>
          <w:lang w:val="en-US"/>
        </w:rPr>
        <w:t xml:space="preserve">97(1) of the IRPA is set aside and substituted by this decision. </w:t>
      </w:r>
    </w:p>
    <w:p>
      <w:pPr>
        <w:pStyle w:val="List Paragraph"/>
        <w:numPr>
          <w:ilvl w:val="0"/>
          <w:numId w:val="7"/>
        </w:numPr>
        <w:bidi w:val="0"/>
        <w:spacing w:before="240" w:after="24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The appellant is a person in need of protection.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0"/>
              <w:jc w:val="right"/>
            </w:pPr>
            <w:r>
              <w:rPr>
                <w:spacing w:val="0"/>
                <w:shd w:val="nil" w:color="auto" w:fill="auto"/>
                <w:rtl w:val="0"/>
                <w:lang w:val="en-US"/>
              </w:rPr>
              <w:t>(</w:t>
            </w:r>
            <w:r>
              <w:rPr>
                <w:i w:val="1"/>
                <w:iCs w:val="1"/>
                <w:spacing w:val="0"/>
                <w:shd w:val="nil" w:color="auto" w:fill="auto"/>
                <w:rtl w:val="0"/>
                <w:lang w:val="en-US"/>
              </w:rPr>
              <w:t>signed</w:t>
            </w:r>
            <w:r>
              <w:rPr>
                <w:spacing w:val="0"/>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60" w:after="0"/>
              <w:jc w:val="center"/>
            </w:pPr>
            <w:r>
              <w:rPr>
                <w:i w:val="1"/>
                <w:iCs w:val="1"/>
                <w:spacing w:val="-1"/>
                <w:sz w:val="22"/>
                <w:szCs w:val="22"/>
                <w:shd w:val="nil" w:color="auto" w:fill="auto"/>
                <w:rtl w:val="0"/>
                <w:lang w:val="en-US"/>
              </w:rPr>
              <w:t>Kristine</w:t>
            </w:r>
            <w:r>
              <w:rPr>
                <w:i w:val="1"/>
                <w:iCs w:val="1"/>
                <w:spacing w:val="-1"/>
                <w:sz w:val="22"/>
                <w:szCs w:val="22"/>
                <w:shd w:val="nil" w:color="auto" w:fill="auto"/>
                <w:rtl w:val="0"/>
                <w:lang w:val="en-US"/>
              </w:rPr>
              <w:t> </w:t>
            </w:r>
            <w:r>
              <w:rPr>
                <w:i w:val="1"/>
                <w:iCs w:val="1"/>
                <w:spacing w:val="-1"/>
                <w:sz w:val="22"/>
                <w:szCs w:val="22"/>
                <w:shd w:val="nil" w:color="auto" w:fill="auto"/>
                <w:rtl w:val="0"/>
                <w:lang w:val="en-US"/>
              </w:rPr>
              <w:t>Plouffe-Malette</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center" w:pos="2366"/>
              </w:tabs>
              <w:spacing w:before="0" w:after="0"/>
              <w:jc w:val="center"/>
            </w:pPr>
            <w:r>
              <w:rPr>
                <w:b w:val="1"/>
                <w:bCs w:val="1"/>
                <w:shd w:val="nil" w:color="auto" w:fill="auto"/>
                <w:rtl w:val="0"/>
                <w:lang w:val="en-US"/>
              </w:rPr>
              <w:t>M</w:t>
            </w:r>
            <w:r>
              <w:rPr>
                <w:b w:val="1"/>
                <w:bCs w:val="1"/>
                <w:shd w:val="nil" w:color="auto" w:fill="auto"/>
                <w:vertAlign w:val="superscript"/>
                <w:rtl w:val="0"/>
                <w:lang w:val="en-US"/>
              </w:rPr>
              <w:t>e</w:t>
            </w:r>
            <w:r>
              <w:rPr>
                <w:b w:val="1"/>
                <w:bCs w:val="1"/>
                <w:shd w:val="nil" w:color="auto" w:fill="auto"/>
                <w:rtl w:val="0"/>
                <w:lang w:val="en-US"/>
              </w:rPr>
              <w:t> </w:t>
            </w:r>
            <w:r>
              <w:rPr>
                <w:b w:val="1"/>
                <w:bCs w:val="1"/>
                <w:shd w:val="nil" w:color="auto" w:fill="auto"/>
                <w:rtl w:val="0"/>
                <w:lang w:val="en-US"/>
              </w:rPr>
              <w:t>Kristine</w:t>
            </w:r>
            <w:r>
              <w:rPr>
                <w:b w:val="1"/>
                <w:bCs w:val="1"/>
                <w:shd w:val="nil" w:color="auto" w:fill="auto"/>
                <w:rtl w:val="0"/>
                <w:lang w:val="en-US"/>
              </w:rPr>
              <w:t> </w:t>
            </w:r>
            <w:r>
              <w:rPr>
                <w:b w:val="1"/>
                <w:bCs w:val="1"/>
                <w:shd w:val="nil" w:color="auto" w:fill="auto"/>
                <w:rtl w:val="0"/>
                <w:lang w:val="en-US"/>
              </w:rPr>
              <w:t>Plouffe-Malette</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pacing w:val="-1"/>
                <w:sz w:val="22"/>
                <w:szCs w:val="22"/>
                <w:shd w:val="nil" w:color="auto" w:fill="auto"/>
                <w:rtl w:val="0"/>
                <w:lang w:val="en-US"/>
              </w:rPr>
              <w:t>March</w:t>
            </w:r>
            <w:r>
              <w:rPr>
                <w:b w:val="1"/>
                <w:bCs w:val="1"/>
                <w:spacing w:val="-1"/>
                <w:sz w:val="22"/>
                <w:szCs w:val="22"/>
                <w:shd w:val="nil" w:color="auto" w:fill="auto"/>
                <w:rtl w:val="0"/>
                <w:lang w:val="en-US"/>
              </w:rPr>
              <w:t> </w:t>
            </w:r>
            <w:r>
              <w:rPr>
                <w:b w:val="1"/>
                <w:bCs w:val="1"/>
                <w:spacing w:val="-1"/>
                <w:sz w:val="22"/>
                <w:szCs w:val="22"/>
                <w:shd w:val="nil" w:color="auto" w:fill="auto"/>
                <w:rtl w:val="0"/>
                <w:lang w:val="en-US"/>
              </w:rPr>
              <w:t>19, 2021</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left" w:pos="440"/>
                <w:tab w:val="center" w:pos="2366"/>
              </w:tabs>
              <w:spacing w:before="0" w:after="0"/>
              <w:jc w:val="center"/>
            </w:pPr>
            <w:r>
              <w:rPr>
                <w:b w:val="1"/>
                <w:bCs w:val="1"/>
                <w:shd w:val="nil" w:color="auto" w:fill="auto"/>
                <w:rtl w:val="0"/>
                <w:lang w:val="en-US"/>
              </w:rPr>
              <w:t>Date</w:t>
            </w:r>
          </w:p>
        </w:tc>
      </w:tr>
    </w:tbl>
    <w:p>
      <w:pPr>
        <w:pStyle w:val="List Paragraph"/>
        <w:widowControl w:val="0"/>
        <w:numPr>
          <w:ilvl w:val="0"/>
          <w:numId w:val="8"/>
        </w:numPr>
        <w:spacing w:before="240" w:after="240"/>
        <w:jc w:val="center"/>
      </w:pPr>
    </w:p>
    <w:p>
      <w:pPr>
        <w:pStyle w:val="Body"/>
      </w:pPr>
      <w:r>
        <w:rPr>
          <w:rStyle w:val="reflex3-block"/>
          <w:rtl w:val="0"/>
          <w:lang w:val="en-US"/>
        </w:rPr>
        <w:t>IRB translation</w:t>
      </w:r>
    </w:p>
    <w:p>
      <w:pPr>
        <w:pStyle w:val="Body"/>
      </w:pPr>
      <w:r>
        <w:rPr>
          <w:rStyle w:val="reflex3-block"/>
          <w:rtl w:val="0"/>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Body"/>
        <w:tabs>
          <w:tab w:val="clear" w:pos="576"/>
        </w:tabs>
        <w:spacing w:before="0" w:after="0"/>
      </w:pPr>
      <w:r>
        <w:rPr>
          <w:outline w:val="0"/>
          <w:color w:val="000000"/>
          <w:u w:color="000000"/>
          <w:vertAlign w:val="superscript"/>
          <w14:textFill>
            <w14:solidFill>
              <w14:srgbClr w14:val="000000"/>
            </w14:solidFill>
          </w14:textFill>
        </w:rPr>
        <w:endnoteRef/>
      </w:r>
      <w:r>
        <w:rPr>
          <w:outline w:val="0"/>
          <w:color w:val="000000"/>
          <w:sz w:val="20"/>
          <w:szCs w:val="20"/>
          <w:u w:color="000000"/>
          <w:rtl w:val="0"/>
          <w14:textFill>
            <w14:solidFill>
              <w14:srgbClr w14:val="000000"/>
            </w14:solidFill>
          </w14:textFill>
        </w:rPr>
        <w:t xml:space="preserve"> </w:t>
      </w:r>
      <w:r>
        <w:rPr>
          <w:i w:val="1"/>
          <w:iCs w:val="1"/>
          <w:outline w:val="0"/>
          <w:color w:val="000000"/>
          <w:sz w:val="20"/>
          <w:szCs w:val="20"/>
          <w:u w:color="000000"/>
          <w:rtl w:val="0"/>
          <w:lang w:val="es-ES_tradnl"/>
          <w14:textFill>
            <w14:solidFill>
              <w14:srgbClr w14:val="000000"/>
            </w14:solidFill>
          </w14:textFill>
        </w:rPr>
        <w:t xml:space="preserve">Canada </w:t>
      </w:r>
      <w:r>
        <w:rPr>
          <w:outline w:val="0"/>
          <w:color w:val="000000"/>
          <w:sz w:val="20"/>
          <w:szCs w:val="20"/>
          <w:u w:color="000000"/>
          <w:rtl w:val="0"/>
          <w14:textFill>
            <w14:solidFill>
              <w14:srgbClr w14:val="000000"/>
            </w14:solidFill>
          </w14:textFill>
        </w:rPr>
        <w:t>(</w:t>
      </w:r>
      <w:r>
        <w:rPr>
          <w:i w:val="1"/>
          <w:iCs w:val="1"/>
          <w:outline w:val="0"/>
          <w:color w:val="000000"/>
          <w:sz w:val="20"/>
          <w:szCs w:val="20"/>
          <w:u w:color="000000"/>
          <w:rtl w:val="0"/>
          <w:lang w:val="en-US"/>
          <w14:textFill>
            <w14:solidFill>
              <w14:srgbClr w14:val="000000"/>
            </w14:solidFill>
          </w14:textFill>
        </w:rPr>
        <w:t>Minister of Citizenship and Immigration</w:t>
      </w:r>
      <w:r>
        <w:rPr>
          <w:i w:val="1"/>
          <w:iCs w:val="1"/>
          <w:outline w:val="0"/>
          <w:color w:val="000000"/>
          <w:sz w:val="20"/>
          <w:szCs w:val="20"/>
          <w:u w:color="000000"/>
          <w:rtl w:val="0"/>
          <w14:textFill>
            <w14:solidFill>
              <w14:srgbClr w14:val="000000"/>
            </w14:solidFill>
          </w14:textFill>
        </w:rPr>
        <w:t> </w:t>
      </w:r>
      <w:r>
        <w:rPr>
          <w:i w:val="1"/>
          <w:iCs w:val="1"/>
          <w:outline w:val="0"/>
          <w:color w:val="000000"/>
          <w:sz w:val="20"/>
          <w:szCs w:val="20"/>
          <w:u w:color="000000"/>
          <w:rtl w:val="0"/>
          <w:lang w:val="fr-FR"/>
          <w14:textFill>
            <w14:solidFill>
              <w14:srgbClr w14:val="000000"/>
            </w14:solidFill>
          </w14:textFill>
        </w:rPr>
        <w:t>v. Parminder</w:t>
      </w:r>
      <w:r>
        <w:rPr>
          <w:i w:val="1"/>
          <w:iCs w:val="1"/>
          <w:outline w:val="0"/>
          <w:color w:val="000000"/>
          <w:sz w:val="20"/>
          <w:szCs w:val="20"/>
          <w:u w:color="000000"/>
          <w:rtl w:val="0"/>
          <w14:textFill>
            <w14:solidFill>
              <w14:srgbClr w14:val="000000"/>
            </w14:solidFill>
          </w14:textFill>
        </w:rPr>
        <w:t> </w:t>
      </w:r>
      <w:r>
        <w:rPr>
          <w:i w:val="1"/>
          <w:iCs w:val="1"/>
          <w:outline w:val="0"/>
          <w:color w:val="000000"/>
          <w:sz w:val="20"/>
          <w:szCs w:val="20"/>
          <w:u w:color="000000"/>
          <w:rtl w:val="0"/>
          <w:lang w:val="en-US"/>
          <w14:textFill>
            <w14:solidFill>
              <w14:srgbClr w14:val="000000"/>
            </w14:solidFill>
          </w14:textFill>
        </w:rPr>
        <w:t>Singh</w:t>
      </w:r>
      <w:r>
        <w:rPr>
          <w:outline w:val="0"/>
          <w:color w:val="000000"/>
          <w:sz w:val="20"/>
          <w:szCs w:val="20"/>
          <w:u w:color="000000"/>
          <w:rtl w:val="0"/>
          <w14:textFill>
            <w14:solidFill>
              <w14:srgbClr w14:val="000000"/>
            </w14:solidFill>
          </w14:textFill>
        </w:rPr>
        <w:t>, 2016</w:t>
      </w:r>
      <w:r>
        <w:rPr>
          <w:outline w:val="0"/>
          <w:color w:val="000000"/>
          <w:sz w:val="20"/>
          <w:szCs w:val="20"/>
          <w:u w:color="000000"/>
          <w:rtl w:val="0"/>
          <w14:textFill>
            <w14:solidFill>
              <w14:srgbClr w14:val="000000"/>
            </w14:solidFill>
          </w14:textFill>
        </w:rPr>
        <w:t> </w:t>
      </w:r>
      <w:r>
        <w:rPr>
          <w:outline w:val="0"/>
          <w:color w:val="000000"/>
          <w:sz w:val="20"/>
          <w:szCs w:val="20"/>
          <w:u w:color="000000"/>
          <w:rtl w:val="0"/>
          <w:lang w:val="de-DE"/>
          <w14:textFill>
            <w14:solidFill>
              <w14:srgbClr w14:val="000000"/>
            </w14:solidFill>
          </w14:textFill>
        </w:rPr>
        <w:t>FCA</w:t>
      </w:r>
      <w:r>
        <w:rPr>
          <w:outline w:val="0"/>
          <w:color w:val="000000"/>
          <w:sz w:val="20"/>
          <w:szCs w:val="20"/>
          <w:u w:color="000000"/>
          <w:rtl w:val="0"/>
          <w14:textFill>
            <w14:solidFill>
              <w14:srgbClr w14:val="000000"/>
            </w14:solidFill>
          </w14:textFill>
        </w:rPr>
        <w:t> </w:t>
      </w:r>
      <w:r>
        <w:rPr>
          <w:outline w:val="0"/>
          <w:color w:val="000000"/>
          <w:sz w:val="20"/>
          <w:szCs w:val="20"/>
          <w:u w:color="000000"/>
          <w:rtl w:val="0"/>
          <w14:textFill>
            <w14:solidFill>
              <w14:srgbClr w14:val="000000"/>
            </w14:solidFill>
          </w14:textFill>
        </w:rPr>
        <w:t>96.</w:t>
      </w:r>
    </w:p>
  </w:endnote>
  <w:endnote w:id="2">
    <w:p>
      <w:pPr>
        <w:pStyle w:val="endnote text"/>
        <w:jc w:val="both"/>
      </w:pPr>
      <w:r>
        <w:rPr>
          <w:outline w:val="0"/>
          <w:color w:val="000000"/>
          <w:u w:color="000000"/>
          <w:vertAlign w:val="superscript"/>
          <w14:textFill>
            <w14:solidFill>
              <w14:srgbClr w14:val="000000"/>
            </w14:solidFill>
          </w14:textFill>
        </w:rPr>
        <w:endnoteRef/>
      </w:r>
      <w:r>
        <w:rPr>
          <w:outline w:val="0"/>
          <w:color w:val="000000"/>
          <w:u w:color="000000"/>
          <w:rtl w:val="0"/>
          <w14:textFill>
            <w14:solidFill>
              <w14:srgbClr w14:val="000000"/>
            </w14:solidFill>
          </w14:textFill>
        </w:rPr>
        <w:t xml:space="preserve"> </w:t>
      </w:r>
      <w:r>
        <w:rPr>
          <w:i w:val="1"/>
          <w:iCs w:val="1"/>
          <w:outline w:val="0"/>
          <w:color w:val="000000"/>
          <w:u w:color="000000"/>
          <w:rtl w:val="0"/>
          <w14:textFill>
            <w14:solidFill>
              <w14:srgbClr w14:val="000000"/>
            </w14:solidFill>
          </w14:textFill>
        </w:rPr>
        <w:t>Raza</w:t>
      </w:r>
      <w:r>
        <w:rPr>
          <w:i w:val="1"/>
          <w:iCs w:val="1"/>
          <w:outline w:val="0"/>
          <w:color w:val="000000"/>
          <w:u w:color="000000"/>
          <w:rtl w:val="0"/>
          <w14:textFill>
            <w14:solidFill>
              <w14:srgbClr w14:val="000000"/>
            </w14:solidFill>
          </w14:textFill>
        </w:rPr>
        <w:t> </w:t>
      </w:r>
      <w:r>
        <w:rPr>
          <w:i w:val="1"/>
          <w:iCs w:val="1"/>
          <w:outline w:val="0"/>
          <w:color w:val="000000"/>
          <w:u w:color="000000"/>
          <w:rtl w:val="0"/>
          <w:lang w:val="en-US"/>
          <w14:textFill>
            <w14:solidFill>
              <w14:srgbClr w14:val="000000"/>
            </w14:solidFill>
          </w14:textFill>
        </w:rPr>
        <w:t>v. Canada (Minister of Citizenship and Immigration)</w:t>
      </w:r>
      <w:r>
        <w:rPr>
          <w:outline w:val="0"/>
          <w:color w:val="000000"/>
          <w:u w:color="000000"/>
          <w:rtl w:val="0"/>
          <w14:textFill>
            <w14:solidFill>
              <w14:srgbClr w14:val="000000"/>
            </w14:solidFill>
          </w14:textFill>
        </w:rPr>
        <w:t>,</w:t>
      </w:r>
      <w:r>
        <w:rPr>
          <w:outline w:val="0"/>
          <w:color w:val="000000"/>
          <w:u w:color="000000"/>
          <w:rtl w:val="0"/>
          <w14:textFill>
            <w14:solidFill>
              <w14:srgbClr w14:val="000000"/>
            </w14:solidFill>
          </w14:textFill>
        </w:rPr>
        <w:t> </w:t>
      </w:r>
      <w:r>
        <w:rPr>
          <w:outline w:val="0"/>
          <w:color w:val="000000"/>
          <w:u w:color="000000"/>
          <w:rtl w:val="0"/>
          <w14:textFill>
            <w14:solidFill>
              <w14:srgbClr w14:val="000000"/>
            </w14:solidFill>
          </w14:textFill>
        </w:rPr>
        <w:t>2007</w:t>
      </w:r>
      <w:r>
        <w:rPr>
          <w:outline w:val="0"/>
          <w:color w:val="000000"/>
          <w:u w:color="000000"/>
          <w:rtl w:val="0"/>
          <w14:textFill>
            <w14:solidFill>
              <w14:srgbClr w14:val="000000"/>
            </w14:solidFill>
          </w14:textFill>
        </w:rPr>
        <w:t> </w:t>
      </w:r>
      <w:r>
        <w:rPr>
          <w:outline w:val="0"/>
          <w:color w:val="000000"/>
          <w:u w:color="000000"/>
          <w:rtl w:val="0"/>
          <w:lang w:val="de-DE"/>
          <w14:textFill>
            <w14:solidFill>
              <w14:srgbClr w14:val="000000"/>
            </w14:solidFill>
          </w14:textFill>
        </w:rPr>
        <w:t>FCA</w:t>
      </w:r>
      <w:r>
        <w:rPr>
          <w:outline w:val="0"/>
          <w:color w:val="000000"/>
          <w:u w:color="000000"/>
          <w:rtl w:val="0"/>
          <w14:textFill>
            <w14:solidFill>
              <w14:srgbClr w14:val="000000"/>
            </w14:solidFill>
          </w14:textFill>
        </w:rPr>
        <w:t> </w:t>
      </w:r>
      <w:r>
        <w:rPr>
          <w:outline w:val="0"/>
          <w:color w:val="000000"/>
          <w:u w:color="000000"/>
          <w:rtl w:val="0"/>
          <w14:textFill>
            <w14:solidFill>
              <w14:srgbClr w14:val="000000"/>
            </w14:solidFill>
          </w14:textFill>
        </w:rPr>
        <w:t>385.</w:t>
      </w:r>
    </w:p>
  </w:endnote>
  <w:endnote w:id="3">
    <w:p>
      <w:pPr>
        <w:pStyle w:val="endnote text"/>
        <w:tabs>
          <w:tab w:val="left" w:pos="540"/>
        </w:tabs>
        <w:jc w:val="both"/>
      </w:pPr>
      <w:r>
        <w:rPr>
          <w:sz w:val="24"/>
          <w:szCs w:val="24"/>
          <w:vertAlign w:val="superscript"/>
        </w:rPr>
        <w:endnoteRef/>
      </w:r>
      <w:r>
        <w:rPr>
          <w:rStyle w:val="Emphasis A"/>
          <w:rtl w:val="0"/>
          <w:lang w:val="en-US"/>
        </w:rPr>
        <w:t xml:space="preserve"> Canada (Citizenship and Immigration)</w:t>
      </w:r>
      <w:r>
        <w:rPr>
          <w:rStyle w:val="Emphasis A"/>
          <w:rtl w:val="0"/>
        </w:rPr>
        <w:t> </w:t>
      </w:r>
      <w:r>
        <w:rPr>
          <w:rStyle w:val="Emphasis A"/>
          <w:rtl w:val="0"/>
        </w:rPr>
        <w:t>v.</w:t>
      </w:r>
      <w:r>
        <w:rPr>
          <w:rStyle w:val="Emphasis A"/>
          <w:rtl w:val="0"/>
        </w:rPr>
        <w:t> </w:t>
      </w:r>
      <w:r>
        <w:rPr>
          <w:rStyle w:val="Emphasis A"/>
          <w:rtl w:val="0"/>
          <w:lang w:val="it-IT"/>
        </w:rPr>
        <w:t>Huruglica</w:t>
      </w:r>
      <w:r>
        <w:rPr>
          <w:rtl w:val="0"/>
        </w:rPr>
        <w:t>, 2016</w:t>
      </w:r>
      <w:r>
        <w:rPr>
          <w:rtl w:val="0"/>
        </w:rPr>
        <w:t> </w:t>
      </w:r>
      <w:r>
        <w:rPr>
          <w:rtl w:val="0"/>
          <w:lang w:val="de-DE"/>
        </w:rPr>
        <w:t>FCA</w:t>
      </w:r>
      <w:r>
        <w:rPr>
          <w:rtl w:val="0"/>
        </w:rPr>
        <w:t> </w:t>
      </w:r>
      <w:r>
        <w:rPr>
          <w:rtl w:val="0"/>
        </w:rPr>
        <w:t xml:space="preserve">93; </w:t>
      </w:r>
      <w:r>
        <w:rPr>
          <w:rStyle w:val="Emphasis A"/>
          <w:rtl w:val="0"/>
          <w:lang w:val="es-ES_tradnl"/>
        </w:rPr>
        <w:t>Rozas del Solar</w:t>
      </w:r>
      <w:r>
        <w:rPr>
          <w:rStyle w:val="Emphasis A"/>
          <w:rtl w:val="0"/>
        </w:rPr>
        <w:t> </w:t>
      </w:r>
      <w:r>
        <w:rPr>
          <w:rStyle w:val="Emphasis A"/>
          <w:rtl w:val="0"/>
        </w:rPr>
        <w:t>v.</w:t>
      </w:r>
      <w:r>
        <w:rPr>
          <w:rStyle w:val="Emphasis A"/>
          <w:rtl w:val="0"/>
        </w:rPr>
        <w:t> </w:t>
      </w:r>
      <w:r>
        <w:rPr>
          <w:rStyle w:val="Emphasis A"/>
          <w:rtl w:val="0"/>
          <w:lang w:val="en-US"/>
        </w:rPr>
        <w:t>Canada (Citizenship and Immigration)</w:t>
      </w:r>
      <w:r>
        <w:rPr>
          <w:rtl w:val="0"/>
        </w:rPr>
        <w:t>, 2018</w:t>
      </w:r>
      <w:r>
        <w:rPr>
          <w:rtl w:val="0"/>
        </w:rPr>
        <w:t> </w:t>
      </w:r>
      <w:r>
        <w:rPr>
          <w:rtl w:val="0"/>
          <w:lang w:val="de-DE"/>
        </w:rPr>
        <w:t>FC</w:t>
      </w:r>
      <w:r>
        <w:rPr>
          <w:rtl w:val="0"/>
        </w:rPr>
        <w:t> </w:t>
      </w:r>
      <w:r>
        <w:rPr>
          <w:rtl w:val="0"/>
        </w:rPr>
        <w:t>1145.</w:t>
      </w:r>
    </w:p>
  </w:endnote>
  <w:endnote w:id="4">
    <w:p>
      <w:pPr>
        <w:pStyle w:val="endnote text"/>
        <w:jc w:val="both"/>
      </w:pPr>
      <w:r>
        <w:rPr>
          <w:sz w:val="24"/>
          <w:szCs w:val="24"/>
          <w:vertAlign w:val="superscript"/>
        </w:rPr>
        <w:endnoteRef/>
      </w:r>
      <w:r>
        <w:rPr>
          <w:rtl w:val="0"/>
        </w:rPr>
        <w:t xml:space="preserve"> </w:t>
      </w:r>
      <w:r>
        <w:rPr>
          <w:rStyle w:val="Emphasis A"/>
          <w:rtl w:val="0"/>
          <w:lang w:val="en-US"/>
        </w:rPr>
        <w:t xml:space="preserve">Thirunavukkarasu v. Canada (Minister of Employment and Immigration), </w:t>
      </w:r>
      <w:r>
        <w:rPr>
          <w:rtl w:val="0"/>
        </w:rPr>
        <w:t>[1994] 1</w:t>
      </w:r>
      <w:r>
        <w:rPr>
          <w:rtl w:val="0"/>
        </w:rPr>
        <w:t> </w:t>
      </w:r>
      <w:r>
        <w:rPr>
          <w:rtl w:val="0"/>
          <w:lang w:val="de-DE"/>
        </w:rPr>
        <w:t>FC</w:t>
      </w:r>
      <w:r>
        <w:rPr>
          <w:rtl w:val="0"/>
        </w:rPr>
        <w:t> </w:t>
      </w:r>
      <w:r>
        <w:rPr>
          <w:rtl w:val="0"/>
        </w:rPr>
        <w:t>589 (CA).</w:t>
      </w:r>
    </w:p>
  </w:endnote>
  <w:endnote w:id="5">
    <w:p>
      <w:pPr>
        <w:pStyle w:val="endnote text"/>
        <w:jc w:val="both"/>
      </w:pPr>
      <w:r>
        <w:rPr>
          <w:sz w:val="24"/>
          <w:szCs w:val="24"/>
          <w:vertAlign w:val="superscript"/>
        </w:rPr>
        <w:endnoteRef/>
      </w:r>
      <w:r>
        <w:rPr>
          <w:rtl w:val="0"/>
        </w:rPr>
        <w:t xml:space="preserve"> </w:t>
      </w:r>
      <w:r>
        <w:rPr>
          <w:rStyle w:val="Emphasis A"/>
          <w:rtl w:val="0"/>
          <w:lang w:val="en-US"/>
        </w:rPr>
        <w:t>Rasaratnam v. Canada (Minister of Employment and Immigration)</w:t>
      </w:r>
      <w:r>
        <w:rPr>
          <w:rtl w:val="0"/>
          <w:lang w:val="pt-PT"/>
        </w:rPr>
        <w:t>, [1992] 1</w:t>
      </w:r>
      <w:r>
        <w:rPr>
          <w:rtl w:val="0"/>
        </w:rPr>
        <w:t> </w:t>
      </w:r>
      <w:r>
        <w:rPr>
          <w:rtl w:val="0"/>
          <w:lang w:val="de-DE"/>
        </w:rPr>
        <w:t>FC</w:t>
      </w:r>
      <w:r>
        <w:rPr>
          <w:rtl w:val="0"/>
        </w:rPr>
        <w:t> </w:t>
      </w:r>
      <w:r>
        <w:rPr>
          <w:rtl w:val="0"/>
        </w:rPr>
        <w:t>706 (CA).</w:t>
      </w:r>
    </w:p>
  </w:endnote>
  <w:endnote w:id="6">
    <w:p>
      <w:pPr>
        <w:pStyle w:val="endnote text"/>
        <w:jc w:val="both"/>
      </w:pPr>
      <w:r>
        <w:rPr>
          <w:outline w:val="0"/>
          <w:color w:val="000000"/>
          <w:u w:color="000000"/>
          <w:shd w:val="clear" w:color="auto" w:fill="ffffff"/>
          <w:vertAlign w:val="superscript"/>
          <w14:textFill>
            <w14:solidFill>
              <w14:srgbClr w14:val="000000"/>
            </w14:solidFill>
          </w14:textFill>
        </w:rPr>
        <w:endnoteRef/>
      </w:r>
      <w:r>
        <w:rPr>
          <w:rtl w:val="0"/>
        </w:rPr>
        <w:t xml:space="preserve"> </w:t>
      </w:r>
      <w:r>
        <w:rPr>
          <w:i w:val="1"/>
          <w:iCs w:val="1"/>
          <w:outline w:val="0"/>
          <w:color w:val="212529"/>
          <w:u w:color="212529"/>
          <w:shd w:val="clear" w:color="auto" w:fill="ffffff"/>
          <w:rtl w:val="0"/>
          <w:lang w:val="en-US"/>
          <w14:textFill>
            <w14:solidFill>
              <w14:srgbClr w14:val="212529"/>
            </w14:solidFill>
          </w14:textFill>
        </w:rPr>
        <w:t>Olusola v. Canada (Citizenship and Immigration)</w:t>
      </w:r>
      <w:r>
        <w:rPr>
          <w:outline w:val="0"/>
          <w:color w:val="212529"/>
          <w:u w:color="212529"/>
          <w:shd w:val="clear" w:color="auto" w:fill="ffffff"/>
          <w:rtl w:val="0"/>
          <w14:textFill>
            <w14:solidFill>
              <w14:srgbClr w14:val="212529"/>
            </w14:solidFill>
          </w14:textFill>
        </w:rPr>
        <w:t>, 2020</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en-US"/>
          <w14:textFill>
            <w14:solidFill>
              <w14:srgbClr w14:val="212529"/>
            </w14:solidFill>
          </w14:textFill>
        </w:rPr>
        <w:t xml:space="preserve">799; reaffirmed in </w:t>
      </w:r>
      <w:r>
        <w:rPr>
          <w:i w:val="1"/>
          <w:iCs w:val="1"/>
          <w:outline w:val="0"/>
          <w:color w:val="212529"/>
          <w:u w:color="212529"/>
          <w:shd w:val="clear" w:color="auto" w:fill="ffffff"/>
          <w:rtl w:val="0"/>
          <w:lang w:val="fr-FR"/>
          <w14:textFill>
            <w14:solidFill>
              <w14:srgbClr w14:val="212529"/>
            </w14:solidFill>
          </w14:textFill>
        </w:rPr>
        <w:t>Ambroise</w:t>
      </w:r>
      <w:r>
        <w:rPr>
          <w:i w:val="1"/>
          <w:iCs w:val="1"/>
          <w:outline w:val="0"/>
          <w:color w:val="212529"/>
          <w:u w:color="212529"/>
          <w:shd w:val="clear" w:color="auto" w:fill="ffffff"/>
          <w:rtl w:val="0"/>
          <w14:textFill>
            <w14:solidFill>
              <w14:srgbClr w14:val="212529"/>
            </w14:solidFill>
          </w14:textFill>
        </w:rPr>
        <w:t> </w:t>
      </w:r>
      <w:r>
        <w:rPr>
          <w:i w:val="1"/>
          <w:iCs w:val="1"/>
          <w:outline w:val="0"/>
          <w:color w:val="212529"/>
          <w:u w:color="212529"/>
          <w:shd w:val="clear" w:color="auto" w:fill="ffffff"/>
          <w:rtl w:val="0"/>
          <w:lang w:val="en-US"/>
          <w14:textFill>
            <w14:solidFill>
              <w14:srgbClr w14:val="212529"/>
            </w14:solidFill>
          </w14:textFill>
        </w:rPr>
        <w:t>v. Canada (Citizenship and Immigration)</w:t>
      </w:r>
      <w:r>
        <w:rPr>
          <w:outline w:val="0"/>
          <w:color w:val="212529"/>
          <w:u w:color="212529"/>
          <w:shd w:val="clear" w:color="auto" w:fill="ffffff"/>
          <w:rtl w:val="0"/>
          <w:lang w:val="en-US"/>
          <w14:textFill>
            <w14:solidFill>
              <w14:srgbClr w14:val="212529"/>
            </w14:solidFill>
          </w14:textFill>
        </w:rPr>
        <w:t>, 2021</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a-DK"/>
          <w14:textFill>
            <w14:solidFill>
              <w14:srgbClr w14:val="212529"/>
            </w14:solidFill>
          </w14:textFill>
        </w:rPr>
        <w:t>62, at para.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13.</w:t>
      </w:r>
    </w:p>
  </w:endnote>
  <w:endnote w:id="7">
    <w:p>
      <w:pPr>
        <w:pStyle w:val="Body"/>
        <w:spacing w:before="0" w:after="0"/>
      </w:pPr>
      <w:r>
        <w:rPr>
          <w:sz w:val="24"/>
          <w:szCs w:val="24"/>
          <w:vertAlign w:val="superscript"/>
        </w:rPr>
        <w:endnoteRef/>
      </w:r>
      <w:r>
        <w:rPr>
          <w:sz w:val="20"/>
          <w:szCs w:val="20"/>
          <w:rtl w:val="0"/>
          <w:lang w:val="en-US"/>
        </w:rPr>
        <w:t xml:space="preserve"> See, for example, </w:t>
      </w:r>
      <w:r>
        <w:rPr>
          <w:i w:val="1"/>
          <w:iCs w:val="1"/>
          <w:sz w:val="20"/>
          <w:szCs w:val="20"/>
          <w:rtl w:val="0"/>
          <w:lang w:val="it-IT"/>
        </w:rPr>
        <w:t>Perez</w:t>
      </w:r>
      <w:r>
        <w:rPr>
          <w:sz w:val="20"/>
          <w:szCs w:val="20"/>
          <w:rtl w:val="0"/>
        </w:rPr>
        <w:t> </w:t>
      </w:r>
      <w:r>
        <w:rPr>
          <w:i w:val="1"/>
          <w:iCs w:val="1"/>
          <w:outline w:val="0"/>
          <w:color w:val="000000"/>
          <w:sz w:val="20"/>
          <w:szCs w:val="20"/>
          <w:u w:color="000000"/>
          <w:shd w:val="clear" w:color="auto" w:fill="ffffff"/>
          <w:rtl w:val="0"/>
          <w14:textFill>
            <w14:solidFill>
              <w14:srgbClr w14:val="000000"/>
            </w14:solidFill>
          </w14:textFill>
        </w:rPr>
        <w:t>Mendoza</w:t>
      </w:r>
      <w:r>
        <w:rPr>
          <w:i w:val="1"/>
          <w:iCs w:val="1"/>
          <w:outline w:val="0"/>
          <w:color w:val="000000"/>
          <w:sz w:val="20"/>
          <w:szCs w:val="20"/>
          <w:u w:color="000000"/>
          <w:shd w:val="clear" w:color="auto" w:fill="ffffff"/>
          <w:rtl w:val="0"/>
          <w14:textFill>
            <w14:solidFill>
              <w14:srgbClr w14:val="000000"/>
            </w14:solidFill>
          </w14:textFill>
        </w:rPr>
        <w:t> </w:t>
      </w:r>
      <w:r>
        <w:rPr>
          <w:i w:val="1"/>
          <w:iCs w:val="1"/>
          <w:outline w:val="0"/>
          <w:color w:val="000000"/>
          <w:sz w:val="20"/>
          <w:szCs w:val="20"/>
          <w:u w:color="000000"/>
          <w:shd w:val="clear" w:color="auto" w:fill="ffffff"/>
          <w:rtl w:val="0"/>
          <w:lang w:val="en-US"/>
          <w14:textFill>
            <w14:solidFill>
              <w14:srgbClr w14:val="000000"/>
            </w14:solidFill>
          </w14:textFill>
        </w:rPr>
        <w:t>v. Canada (Minister of Citizenship and Immigration)</w:t>
      </w:r>
      <w:r>
        <w:rPr>
          <w:outline w:val="0"/>
          <w:color w:val="000000"/>
          <w:sz w:val="20"/>
          <w:szCs w:val="20"/>
          <w:u w:color="000000"/>
          <w:shd w:val="clear" w:color="auto" w:fill="ffffff"/>
          <w:rtl w:val="0"/>
          <w14:textFill>
            <w14:solidFill>
              <w14:srgbClr w14:val="000000"/>
            </w14:solidFill>
          </w14:textFill>
        </w:rPr>
        <w:t>, 2010</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lang w:val="de-DE"/>
          <w14:textFill>
            <w14:solidFill>
              <w14:srgbClr w14:val="000000"/>
            </w14:solidFill>
          </w14:textFill>
        </w:rPr>
        <w:t>FC</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lang w:val="da-DK"/>
          <w14:textFill>
            <w14:solidFill>
              <w14:srgbClr w14:val="000000"/>
            </w14:solidFill>
          </w14:textFill>
        </w:rPr>
        <w:t>119, at para.</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14:textFill>
            <w14:solidFill>
              <w14:srgbClr w14:val="000000"/>
            </w14:solidFill>
          </w14:textFill>
        </w:rPr>
        <w:t xml:space="preserve">33; </w:t>
      </w:r>
      <w:r>
        <w:rPr>
          <w:i w:val="1"/>
          <w:iCs w:val="1"/>
          <w:outline w:val="0"/>
          <w:color w:val="212529"/>
          <w:sz w:val="20"/>
          <w:szCs w:val="20"/>
          <w:u w:color="212529"/>
          <w:shd w:val="clear" w:color="auto" w:fill="ffffff"/>
          <w:rtl w:val="0"/>
          <w:lang w:val="da-DK"/>
          <w14:textFill>
            <w14:solidFill>
              <w14:srgbClr w14:val="212529"/>
            </w14:solidFill>
          </w14:textFill>
        </w:rPr>
        <w:t>Lara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14:textFill>
            <w14:solidFill>
              <w14:srgbClr w14:val="212529"/>
            </w14:solidFill>
          </w14:textFill>
        </w:rPr>
        <w:t>Deheza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521; </w:t>
      </w:r>
      <w:r>
        <w:rPr>
          <w:i w:val="1"/>
          <w:iCs w:val="1"/>
          <w:outline w:val="0"/>
          <w:color w:val="212529"/>
          <w:sz w:val="20"/>
          <w:szCs w:val="20"/>
          <w:u w:color="212529"/>
          <w:shd w:val="clear" w:color="auto" w:fill="ffffff"/>
          <w:rtl w:val="0"/>
          <w:lang w:val="en-US"/>
          <w14:textFill>
            <w14:solidFill>
              <w14:srgbClr w14:val="212529"/>
            </w14:solidFill>
          </w14:textFill>
        </w:rPr>
        <w:t>Singh</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it-IT"/>
          <w14:textFill>
            <w14:solidFill>
              <w14:srgbClr w14:val="212529"/>
            </w14:solidFill>
          </w14:textFill>
        </w:rPr>
        <w:t>Gill</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2011</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447; </w:t>
      </w:r>
      <w:r>
        <w:rPr>
          <w:i w:val="1"/>
          <w:iCs w:val="1"/>
          <w:outline w:val="0"/>
          <w:color w:val="212529"/>
          <w:sz w:val="20"/>
          <w:szCs w:val="20"/>
          <w:u w:color="212529"/>
          <w:shd w:val="clear" w:color="auto" w:fill="ffffff"/>
          <w:rtl w:val="0"/>
          <w14:textFill>
            <w14:solidFill>
              <w14:srgbClr w14:val="212529"/>
            </w14:solidFill>
          </w14:textFill>
        </w:rPr>
        <w:t>Kebche</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2012</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1341; </w:t>
      </w:r>
      <w:r>
        <w:rPr>
          <w:i w:val="1"/>
          <w:iCs w:val="1"/>
          <w:outline w:val="0"/>
          <w:color w:val="212529"/>
          <w:sz w:val="20"/>
          <w:szCs w:val="20"/>
          <w:u w:color="212529"/>
          <w:shd w:val="clear" w:color="auto" w:fill="ffffff"/>
          <w:rtl w:val="0"/>
          <w:lang w:val="pt-PT"/>
          <w14:textFill>
            <w14:solidFill>
              <w14:srgbClr w14:val="212529"/>
            </w14:solidFill>
          </w14:textFill>
        </w:rPr>
        <w:t>Rofriguez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it-IT"/>
          <w14:textFill>
            <w14:solidFill>
              <w14:srgbClr w14:val="212529"/>
            </w14:solidFill>
          </w14:textFill>
        </w:rPr>
        <w:t>Llianes</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2013</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492; </w:t>
      </w:r>
      <w:r>
        <w:rPr>
          <w:i w:val="1"/>
          <w:iCs w:val="1"/>
          <w:outline w:val="0"/>
          <w:color w:val="212529"/>
          <w:sz w:val="20"/>
          <w:szCs w:val="20"/>
          <w:u w:color="212529"/>
          <w:shd w:val="clear" w:color="auto" w:fill="ffffff"/>
          <w:rtl w:val="0"/>
          <w14:textFill>
            <w14:solidFill>
              <w14:srgbClr w14:val="212529"/>
            </w14:solidFill>
          </w14:textFill>
        </w:rPr>
        <w:t>Nimako</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2013</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 xml:space="preserve">540, at </w:t>
      </w:r>
      <w:r>
        <w:rPr>
          <w:outline w:val="0"/>
          <w:color w:val="000000"/>
          <w:sz w:val="20"/>
          <w:szCs w:val="20"/>
          <w:u w:color="000000"/>
          <w:shd w:val="clear" w:color="auto" w:fill="ffffff"/>
          <w:rtl w:val="0"/>
          <w:lang w:val="pt-PT"/>
          <w14:textFill>
            <w14:solidFill>
              <w14:srgbClr w14:val="000000"/>
            </w14:solidFill>
          </w14:textFill>
        </w:rPr>
        <w:t>para.</w:t>
      </w:r>
      <w:r>
        <w:rPr>
          <w:outline w:val="0"/>
          <w:color w:val="000000"/>
          <w:sz w:val="20"/>
          <w:szCs w:val="20"/>
          <w:u w:color="000000"/>
          <w:shd w:val="clear" w:color="auto" w:fill="ffffff"/>
          <w:rtl w:val="0"/>
          <w14:textFill>
            <w14:solidFill>
              <w14:srgbClr w14:val="000000"/>
            </w14:solidFill>
          </w14:textFill>
        </w:rPr>
        <w:t> </w:t>
      </w:r>
      <w:r>
        <w:rPr>
          <w:sz w:val="20"/>
          <w:szCs w:val="20"/>
          <w:rtl w:val="0"/>
        </w:rPr>
        <w:t xml:space="preserve">7; </w:t>
      </w:r>
      <w:r>
        <w:rPr>
          <w:i w:val="1"/>
          <w:iCs w:val="1"/>
          <w:outline w:val="0"/>
          <w:color w:val="212529"/>
          <w:sz w:val="20"/>
          <w:szCs w:val="20"/>
          <w:u w:color="212529"/>
          <w:shd w:val="clear" w:color="auto" w:fill="ffffff"/>
          <w:rtl w:val="0"/>
          <w:lang w:val="es-ES_tradnl"/>
          <w14:textFill>
            <w14:solidFill>
              <w14:srgbClr w14:val="212529"/>
            </w14:solidFill>
          </w14:textFill>
        </w:rPr>
        <w:t>Gutierrez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2015</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266,</w:t>
      </w:r>
      <w:r>
        <w:rPr>
          <w:sz w:val="20"/>
          <w:szCs w:val="20"/>
          <w:rtl w:val="0"/>
        </w:rPr>
        <w:t xml:space="preserve"> at paras.</w:t>
      </w:r>
      <w:r>
        <w:rPr>
          <w:sz w:val="20"/>
          <w:szCs w:val="20"/>
          <w:rtl w:val="0"/>
        </w:rPr>
        <w:t> </w:t>
      </w:r>
      <w:r>
        <w:rPr>
          <w:sz w:val="20"/>
          <w:szCs w:val="20"/>
          <w:rtl w:val="0"/>
        </w:rPr>
        <w:t>23</w:t>
      </w:r>
      <w:r>
        <w:rPr>
          <w:sz w:val="20"/>
          <w:szCs w:val="20"/>
          <w:rtl w:val="0"/>
        </w:rPr>
        <w:t>–</w:t>
      </w:r>
      <w:r>
        <w:rPr>
          <w:sz w:val="20"/>
          <w:szCs w:val="20"/>
          <w:rtl w:val="0"/>
        </w:rPr>
        <w:t xml:space="preserve">24, 43; </w:t>
      </w:r>
      <w:r>
        <w:rPr>
          <w:i w:val="1"/>
          <w:iCs w:val="1"/>
          <w:sz w:val="20"/>
          <w:szCs w:val="20"/>
          <w:rtl w:val="0"/>
        </w:rPr>
        <w:t>Balogh</w:t>
      </w:r>
      <w:r>
        <w:rPr>
          <w:i w:val="1"/>
          <w:iCs w:val="1"/>
          <w:sz w:val="20"/>
          <w:szCs w:val="20"/>
          <w:rtl w:val="0"/>
        </w:rPr>
        <w:t> </w:t>
      </w:r>
      <w:r>
        <w:rPr>
          <w:i w:val="1"/>
          <w:iCs w:val="1"/>
          <w:sz w:val="20"/>
          <w:szCs w:val="20"/>
          <w:rtl w:val="0"/>
          <w:lang w:val="en-US"/>
        </w:rPr>
        <w:t>v. Canada (Citizenship and Immigration)</w:t>
      </w:r>
      <w:r>
        <w:rPr>
          <w:sz w:val="20"/>
          <w:szCs w:val="20"/>
          <w:rtl w:val="0"/>
        </w:rPr>
        <w:t>, 2016</w:t>
      </w:r>
      <w:r>
        <w:rPr>
          <w:sz w:val="20"/>
          <w:szCs w:val="20"/>
          <w:rtl w:val="0"/>
        </w:rPr>
        <w:t> </w:t>
      </w:r>
      <w:r>
        <w:rPr>
          <w:sz w:val="20"/>
          <w:szCs w:val="20"/>
          <w:rtl w:val="0"/>
          <w:lang w:val="de-DE"/>
        </w:rPr>
        <w:t>FC</w:t>
      </w:r>
      <w:r>
        <w:rPr>
          <w:sz w:val="20"/>
          <w:szCs w:val="20"/>
          <w:rtl w:val="0"/>
        </w:rPr>
        <w:t> </w:t>
      </w:r>
      <w:r>
        <w:rPr>
          <w:sz w:val="20"/>
          <w:szCs w:val="20"/>
          <w:rtl w:val="0"/>
        </w:rPr>
        <w:t xml:space="preserve">426; </w:t>
      </w:r>
      <w:r>
        <w:rPr>
          <w:i w:val="1"/>
          <w:iCs w:val="1"/>
          <w:outline w:val="0"/>
          <w:color w:val="212529"/>
          <w:sz w:val="20"/>
          <w:szCs w:val="20"/>
          <w:u w:color="212529"/>
          <w:shd w:val="clear" w:color="auto" w:fill="ffffff"/>
          <w:rtl w:val="0"/>
          <w14:textFill>
            <w14:solidFill>
              <w14:srgbClr w14:val="212529"/>
            </w14:solidFill>
          </w14:textFill>
        </w:rPr>
        <w:t>Potes</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14:textFill>
            <w14:solidFill>
              <w14:srgbClr w14:val="212529"/>
            </w14:solidFill>
          </w14:textFill>
        </w:rPr>
        <w:t>Mina</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2016</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834; </w:t>
      </w:r>
      <w:r>
        <w:rPr>
          <w:i w:val="1"/>
          <w:iCs w:val="1"/>
          <w:outline w:val="0"/>
          <w:color w:val="212529"/>
          <w:sz w:val="20"/>
          <w:szCs w:val="20"/>
          <w:u w:color="212529"/>
          <w:shd w:val="clear" w:color="auto" w:fill="ffffff"/>
          <w:rtl w:val="0"/>
          <w:lang w:val="en-US"/>
          <w14:textFill>
            <w14:solidFill>
              <w14:srgbClr w14:val="212529"/>
            </w14:solidFill>
          </w14:textFill>
        </w:rPr>
        <w:t>Feboke</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155,</w:t>
      </w:r>
      <w:r>
        <w:rPr>
          <w:outline w:val="0"/>
          <w:color w:val="000000"/>
          <w:sz w:val="20"/>
          <w:szCs w:val="20"/>
          <w:u w:color="000000"/>
          <w:shd w:val="clear" w:color="auto" w:fill="ffffff"/>
          <w:rtl w:val="0"/>
          <w14:textFill>
            <w14:solidFill>
              <w14:srgbClr w14:val="000000"/>
            </w14:solidFill>
          </w14:textFill>
        </w:rPr>
        <w:t xml:space="preserve"> at para.</w:t>
      </w:r>
      <w:r>
        <w:rPr>
          <w:outline w:val="0"/>
          <w:color w:val="000000"/>
          <w:sz w:val="20"/>
          <w:szCs w:val="20"/>
          <w:u w:color="000000"/>
          <w:shd w:val="clear" w:color="auto" w:fill="ffffff"/>
          <w:rtl w:val="0"/>
          <w14:textFill>
            <w14:solidFill>
              <w14:srgbClr w14:val="000000"/>
            </w14:solidFill>
          </w14:textFill>
        </w:rPr>
        <w:t> </w:t>
      </w:r>
      <w:r>
        <w:rPr>
          <w:outline w:val="0"/>
          <w:color w:val="000000"/>
          <w:sz w:val="20"/>
          <w:szCs w:val="20"/>
          <w:u w:color="000000"/>
          <w:shd w:val="clear" w:color="auto" w:fill="ffffff"/>
          <w:rtl w:val="0"/>
          <w14:textFill>
            <w14:solidFill>
              <w14:srgbClr w14:val="000000"/>
            </w14:solidFill>
          </w14:textFill>
        </w:rPr>
        <w:t>43</w:t>
      </w:r>
      <w:r>
        <w:rPr>
          <w:sz w:val="20"/>
          <w:szCs w:val="20"/>
          <w:rtl w:val="0"/>
        </w:rPr>
        <w:t xml:space="preserve">; </w:t>
      </w:r>
      <w:r>
        <w:rPr>
          <w:i w:val="1"/>
          <w:iCs w:val="1"/>
          <w:outline w:val="0"/>
          <w:color w:val="212529"/>
          <w:sz w:val="20"/>
          <w:szCs w:val="20"/>
          <w:u w:color="212529"/>
          <w:shd w:val="clear" w:color="auto" w:fill="ffffff"/>
          <w:rtl w:val="0"/>
          <w14:textFill>
            <w14:solidFill>
              <w14:srgbClr w14:val="212529"/>
            </w14:solidFill>
          </w14:textFill>
        </w:rPr>
        <w:t>L</w:t>
      </w:r>
      <w:r>
        <w:rPr>
          <w:i w:val="1"/>
          <w:iCs w:val="1"/>
          <w:outline w:val="0"/>
          <w:color w:val="212529"/>
          <w:sz w:val="20"/>
          <w:szCs w:val="20"/>
          <w:u w:color="212529"/>
          <w:shd w:val="clear" w:color="auto" w:fill="ffffff"/>
          <w:rtl w:val="0"/>
          <w:lang w:val="fr-FR"/>
          <w14:textFill>
            <w14:solidFill>
              <w14:srgbClr w14:val="212529"/>
            </w14:solidFill>
          </w14:textFill>
        </w:rPr>
        <w:t>é</w:t>
      </w:r>
      <w:r>
        <w:rPr>
          <w:i w:val="1"/>
          <w:iCs w:val="1"/>
          <w:outline w:val="0"/>
          <w:color w:val="212529"/>
          <w:sz w:val="20"/>
          <w:szCs w:val="20"/>
          <w:u w:color="212529"/>
          <w:shd w:val="clear" w:color="auto" w:fill="ffffff"/>
          <w:rtl w:val="0"/>
          <w14:textFill>
            <w14:solidFill>
              <w14:srgbClr w14:val="212529"/>
            </w14:solidFill>
          </w14:textFill>
        </w:rPr>
        <w:t>on</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428,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13; </w:t>
      </w:r>
      <w:r>
        <w:rPr>
          <w:i w:val="1"/>
          <w:iCs w:val="1"/>
          <w:outline w:val="0"/>
          <w:color w:val="212529"/>
          <w:sz w:val="20"/>
          <w:szCs w:val="20"/>
          <w:u w:color="212529"/>
          <w:shd w:val="clear" w:color="auto" w:fill="ffffff"/>
          <w:rtl w:val="0"/>
          <w14:textFill>
            <w14:solidFill>
              <w14:srgbClr w14:val="212529"/>
            </w14:solidFill>
          </w14:textFill>
        </w:rPr>
        <w:t>A.B.</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14:textFill>
            <w14:solidFill>
              <w14:srgbClr w14:val="212529"/>
            </w14:solidFill>
          </w14:textFill>
        </w:rPr>
        <w:t>, 2020</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915,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23; </w:t>
      </w:r>
      <w:r>
        <w:rPr>
          <w:i w:val="1"/>
          <w:iCs w:val="1"/>
          <w:outline w:val="0"/>
          <w:color w:val="212529"/>
          <w:sz w:val="20"/>
          <w:szCs w:val="20"/>
          <w:u w:color="212529"/>
          <w:shd w:val="clear" w:color="auto" w:fill="ffffff"/>
          <w:rtl w:val="0"/>
          <w:lang w:val="en-US"/>
          <w14:textFill>
            <w14:solidFill>
              <w14:srgbClr w14:val="212529"/>
            </w14:solidFill>
          </w14:textFill>
        </w:rPr>
        <w:t>Hernandez</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lang w:val="en-US"/>
          <w14:textFill>
            <w14:solidFill>
              <w14:srgbClr w14:val="212529"/>
            </w14:solidFill>
          </w14:textFill>
        </w:rPr>
        <w:t>, 2021</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e-DE"/>
          <w14:textFill>
            <w14:solidFill>
              <w14:srgbClr w14:val="212529"/>
            </w14:solidFill>
          </w14:textFill>
        </w:rPr>
        <w:t>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8; </w:t>
      </w:r>
      <w:r>
        <w:rPr>
          <w:i w:val="1"/>
          <w:iCs w:val="1"/>
          <w:outline w:val="0"/>
          <w:color w:val="212529"/>
          <w:sz w:val="20"/>
          <w:szCs w:val="20"/>
          <w:u w:color="212529"/>
          <w:shd w:val="clear" w:color="auto" w:fill="ffffff"/>
          <w:rtl w:val="0"/>
          <w14:textFill>
            <w14:solidFill>
              <w14:srgbClr w14:val="212529"/>
            </w14:solidFill>
          </w14:textFill>
        </w:rPr>
        <w:t>Saliu</w:t>
      </w:r>
      <w:r>
        <w:rPr>
          <w:i w:val="1"/>
          <w:iCs w:val="1"/>
          <w:outline w:val="0"/>
          <w:color w:val="212529"/>
          <w:sz w:val="20"/>
          <w:szCs w:val="20"/>
          <w:u w:color="212529"/>
          <w:shd w:val="clear" w:color="auto" w:fill="ffffff"/>
          <w:rtl w:val="0"/>
          <w14:textFill>
            <w14:solidFill>
              <w14:srgbClr w14:val="212529"/>
            </w14:solidFill>
          </w14:textFill>
        </w:rPr>
        <w:t> </w:t>
      </w:r>
      <w:r>
        <w:rPr>
          <w:i w:val="1"/>
          <w:iCs w:val="1"/>
          <w:outline w:val="0"/>
          <w:color w:val="212529"/>
          <w:sz w:val="20"/>
          <w:szCs w:val="20"/>
          <w:u w:color="212529"/>
          <w:shd w:val="clear" w:color="auto" w:fill="ffffff"/>
          <w:rtl w:val="0"/>
          <w:lang w:val="en-US"/>
          <w14:textFill>
            <w14:solidFill>
              <w14:srgbClr w14:val="212529"/>
            </w14:solidFill>
          </w14:textFill>
        </w:rPr>
        <w:t>v. Canada (Citizenship and Immigration)</w:t>
      </w:r>
      <w:r>
        <w:rPr>
          <w:outline w:val="0"/>
          <w:color w:val="212529"/>
          <w:sz w:val="20"/>
          <w:szCs w:val="20"/>
          <w:u w:color="212529"/>
          <w:shd w:val="clear" w:color="auto" w:fill="ffffff"/>
          <w:rtl w:val="0"/>
          <w:lang w:val="en-US"/>
          <w14:textFill>
            <w14:solidFill>
              <w14:srgbClr w14:val="212529"/>
            </w14:solidFill>
          </w14:textFill>
        </w:rPr>
        <w:t>, 2021 FC</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lang w:val="da-DK"/>
          <w14:textFill>
            <w14:solidFill>
              <w14:srgbClr w14:val="212529"/>
            </w14:solidFill>
          </w14:textFill>
        </w:rPr>
        <w:t>167, at para.</w:t>
      </w:r>
      <w:r>
        <w:rPr>
          <w:outline w:val="0"/>
          <w:color w:val="212529"/>
          <w:sz w:val="20"/>
          <w:szCs w:val="20"/>
          <w:u w:color="212529"/>
          <w:shd w:val="clear" w:color="auto" w:fill="ffffff"/>
          <w:rtl w:val="0"/>
          <w14:textFill>
            <w14:solidFill>
              <w14:srgbClr w14:val="212529"/>
            </w14:solidFill>
          </w14:textFill>
        </w:rPr>
        <w:t> </w:t>
      </w:r>
      <w:r>
        <w:rPr>
          <w:outline w:val="0"/>
          <w:color w:val="212529"/>
          <w:sz w:val="20"/>
          <w:szCs w:val="20"/>
          <w:u w:color="212529"/>
          <w:shd w:val="clear" w:color="auto" w:fill="ffffff"/>
          <w:rtl w:val="0"/>
          <w14:textFill>
            <w14:solidFill>
              <w14:srgbClr w14:val="212529"/>
            </w14:solidFill>
          </w14:textFill>
        </w:rPr>
        <w:t xml:space="preserve">46. </w:t>
      </w:r>
    </w:p>
  </w:endnote>
  <w:endnote w:id="8">
    <w:p>
      <w:pPr>
        <w:pStyle w:val="endnote text"/>
        <w:jc w:val="both"/>
      </w:pPr>
      <w:r>
        <w:rPr>
          <w:outline w:val="0"/>
          <w:color w:val="000000"/>
          <w:sz w:val="24"/>
          <w:szCs w:val="24"/>
          <w:u w:color="000000"/>
          <w:shd w:val="clear" w:color="auto" w:fill="ffffff"/>
          <w:vertAlign w:val="superscript"/>
          <w14:textFill>
            <w14:solidFill>
              <w14:srgbClr w14:val="000000"/>
            </w14:solidFill>
          </w14:textFill>
        </w:rPr>
        <w:endnoteRef/>
      </w:r>
      <w:r>
        <w:rPr>
          <w:rtl w:val="0"/>
        </w:rPr>
        <w:t xml:space="preserve"> </w:t>
      </w:r>
      <w:r>
        <w:rPr>
          <w:i w:val="1"/>
          <w:iCs w:val="1"/>
          <w:outline w:val="0"/>
          <w:color w:val="212529"/>
          <w:u w:color="212529"/>
          <w:shd w:val="clear" w:color="auto" w:fill="ffffff"/>
          <w:rtl w:val="0"/>
          <w14:textFill>
            <w14:solidFill>
              <w14:srgbClr w14:val="212529"/>
            </w14:solidFill>
          </w14:textFill>
        </w:rPr>
        <w:t>L</w:t>
      </w:r>
      <w:r>
        <w:rPr>
          <w:i w:val="1"/>
          <w:iCs w:val="1"/>
          <w:outline w:val="0"/>
          <w:color w:val="212529"/>
          <w:u w:color="212529"/>
          <w:shd w:val="clear" w:color="auto" w:fill="ffffff"/>
          <w:rtl w:val="0"/>
          <w:lang w:val="fr-FR"/>
          <w14:textFill>
            <w14:solidFill>
              <w14:srgbClr w14:val="212529"/>
            </w14:solidFill>
          </w14:textFill>
        </w:rPr>
        <w:t>é</w:t>
      </w:r>
      <w:r>
        <w:rPr>
          <w:i w:val="1"/>
          <w:iCs w:val="1"/>
          <w:outline w:val="0"/>
          <w:color w:val="212529"/>
          <w:u w:color="212529"/>
          <w:shd w:val="clear" w:color="auto" w:fill="ffffff"/>
          <w:rtl w:val="0"/>
          <w14:textFill>
            <w14:solidFill>
              <w14:srgbClr w14:val="212529"/>
            </w14:solidFill>
          </w14:textFill>
        </w:rPr>
        <w:t>on</w:t>
      </w:r>
      <w:r>
        <w:rPr>
          <w:i w:val="1"/>
          <w:iCs w:val="1"/>
          <w:outline w:val="0"/>
          <w:color w:val="212529"/>
          <w:u w:color="212529"/>
          <w:shd w:val="clear" w:color="auto" w:fill="ffffff"/>
          <w:rtl w:val="0"/>
          <w14:textFill>
            <w14:solidFill>
              <w14:srgbClr w14:val="212529"/>
            </w14:solidFill>
          </w14:textFill>
        </w:rPr>
        <w:t> </w:t>
      </w:r>
      <w:r>
        <w:rPr>
          <w:i w:val="1"/>
          <w:iCs w:val="1"/>
          <w:outline w:val="0"/>
          <w:color w:val="212529"/>
          <w:u w:color="212529"/>
          <w:shd w:val="clear" w:color="auto" w:fill="ffffff"/>
          <w:rtl w:val="0"/>
          <w:lang w:val="en-US"/>
          <w14:textFill>
            <w14:solidFill>
              <w14:srgbClr w14:val="212529"/>
            </w14:solidFill>
          </w14:textFill>
        </w:rPr>
        <w:t>v. Canada (Citizenship and Immigration)</w:t>
      </w:r>
      <w:r>
        <w:rPr>
          <w:outline w:val="0"/>
          <w:color w:val="212529"/>
          <w:u w:color="212529"/>
          <w:shd w:val="clear" w:color="auto" w:fill="ffffff"/>
          <w:rtl w:val="0"/>
          <w14:textFill>
            <w14:solidFill>
              <w14:srgbClr w14:val="212529"/>
            </w14:solidFill>
          </w14:textFill>
        </w:rPr>
        <w:t>, 2020</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e-DE"/>
          <w14:textFill>
            <w14:solidFill>
              <w14:srgbClr w14:val="212529"/>
            </w14:solidFill>
          </w14:textFill>
        </w:rPr>
        <w:t>FC</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lang w:val="da-DK"/>
          <w14:textFill>
            <w14:solidFill>
              <w14:srgbClr w14:val="212529"/>
            </w14:solidFill>
          </w14:textFill>
        </w:rPr>
        <w:t>428, at para.</w:t>
      </w:r>
      <w:r>
        <w:rPr>
          <w:outline w:val="0"/>
          <w:color w:val="212529"/>
          <w:u w:color="212529"/>
          <w:shd w:val="clear" w:color="auto" w:fill="ffffff"/>
          <w:rtl w:val="0"/>
          <w14:textFill>
            <w14:solidFill>
              <w14:srgbClr w14:val="212529"/>
            </w14:solidFill>
          </w14:textFill>
        </w:rPr>
        <w:t> </w:t>
      </w:r>
      <w:r>
        <w:rPr>
          <w:outline w:val="0"/>
          <w:color w:val="212529"/>
          <w:u w:color="212529"/>
          <w:shd w:val="clear" w:color="auto" w:fill="ffffff"/>
          <w:rtl w:val="0"/>
          <w14:textFill>
            <w14:solidFill>
              <w14:srgbClr w14:val="212529"/>
            </w14:solidFill>
          </w14:textFill>
        </w:rPr>
        <w:t xml:space="preserve">13. </w:t>
      </w:r>
    </w:p>
  </w:endnote>
  <w:endnote w:id="9">
    <w:p>
      <w:pPr>
        <w:pStyle w:val="endnote text"/>
        <w:jc w:val="both"/>
      </w:pPr>
      <w:r>
        <w:rPr>
          <w:rStyle w:val="endnote reference"/>
        </w:rPr>
        <w:endnoteRef/>
      </w:r>
      <w:r>
        <w:rPr>
          <w:rtl w:val="0"/>
          <w:lang w:val="en-US"/>
        </w:rPr>
        <w:t xml:space="preserve"> SAR-1, National Documentation Package</w:t>
      </w:r>
      <w:r>
        <w:rPr>
          <w:rtl w:val="0"/>
        </w:rPr>
        <w:t> </w:t>
      </w:r>
      <w:r>
        <w:rPr>
          <w:rtl w:val="0"/>
          <w:lang w:val="en-US"/>
        </w:rPr>
        <w:t>(NDP)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w:t>
      </w:r>
      <w:r>
        <w:rPr>
          <w:rtl w:val="0"/>
        </w:rPr>
        <w:t> </w:t>
      </w:r>
      <w:r>
        <w:rPr>
          <w:rtl w:val="0"/>
          <w:lang w:val="en-US"/>
        </w:rPr>
        <w:t>2020), Immigration and Refugee Board of Canada</w:t>
      </w:r>
      <w:r>
        <w:rPr>
          <w:rtl w:val="0"/>
        </w:rPr>
        <w:t> </w:t>
      </w:r>
      <w:r>
        <w:rPr>
          <w:rtl w:val="0"/>
        </w:rPr>
        <w:t>(IRB). September</w:t>
      </w:r>
      <w:r>
        <w:rPr>
          <w:rtl w:val="0"/>
        </w:rPr>
        <w:t> </w:t>
      </w:r>
      <w:r>
        <w:rPr>
          <w:rtl w:val="0"/>
        </w:rPr>
        <w:t>21, 2020. MEX200313.E, at p.</w:t>
      </w:r>
      <w:r>
        <w:rPr>
          <w:rtl w:val="0"/>
        </w:rPr>
        <w:t> </w:t>
      </w:r>
      <w:r>
        <w:rPr>
          <w:rtl w:val="0"/>
          <w:lang w:val="en-US"/>
        </w:rPr>
        <w:t>9; SAR-1, NDP on Mexico (September</w:t>
      </w:r>
      <w:r>
        <w:rPr>
          <w:rtl w:val="0"/>
        </w:rPr>
        <w:t> </w:t>
      </w:r>
      <w:r>
        <w:rPr>
          <w:rtl w:val="0"/>
        </w:rPr>
        <w:t>30, 2020), Tab</w:t>
      </w:r>
      <w:r>
        <w:rPr>
          <w:rtl w:val="0"/>
        </w:rPr>
        <w:t> </w:t>
      </w:r>
      <w:r>
        <w:rPr>
          <w:rtl w:val="0"/>
          <w:lang w:val="en-US"/>
        </w:rPr>
        <w:t>7.2: Mexico: Organized Crime and Drug Trafficking Organizations. United States. Congressional Research Service. June</w:t>
      </w:r>
      <w:r>
        <w:rPr>
          <w:rtl w:val="0"/>
        </w:rPr>
        <w:t> </w:t>
      </w:r>
      <w:r>
        <w:rPr>
          <w:rtl w:val="0"/>
        </w:rPr>
        <w:t>S.</w:t>
      </w:r>
      <w:r>
        <w:rPr>
          <w:rtl w:val="0"/>
        </w:rPr>
        <w:t> </w:t>
      </w:r>
      <w:r>
        <w:rPr>
          <w:rtl w:val="0"/>
          <w:lang w:val="en-US"/>
        </w:rPr>
        <w:t>Beittel. July</w:t>
      </w:r>
      <w:r>
        <w:rPr>
          <w:rtl w:val="0"/>
        </w:rPr>
        <w:t> </w:t>
      </w:r>
      <w:r>
        <w:rPr>
          <w:rtl w:val="0"/>
        </w:rPr>
        <w:t>28, 2020. R41576, at p.</w:t>
      </w:r>
      <w:r>
        <w:rPr>
          <w:rtl w:val="0"/>
        </w:rPr>
        <w:t> </w:t>
      </w:r>
      <w:r>
        <w:rPr>
          <w:rtl w:val="0"/>
        </w:rPr>
        <w:t>11.</w:t>
      </w:r>
    </w:p>
  </w:endnote>
  <w:endnote w:id="10">
    <w:p>
      <w:pPr>
        <w:pStyle w:val="endnote text"/>
        <w:jc w:val="both"/>
      </w:pPr>
      <w:r>
        <w:rPr>
          <w:sz w:val="24"/>
          <w:szCs w:val="24"/>
          <w:vertAlign w:val="superscript"/>
        </w:rPr>
        <w:endnoteRef/>
      </w:r>
      <w:r>
        <w:rPr>
          <w:rtl w:val="0"/>
          <w:lang w:val="en-US"/>
        </w:rPr>
        <w:t xml:space="preserve"> SAR-2, NDP on Mexico (February</w:t>
      </w:r>
      <w:r>
        <w:rPr>
          <w:rtl w:val="0"/>
        </w:rPr>
        <w:t> </w:t>
      </w:r>
      <w:r>
        <w:rPr>
          <w:rtl w:val="0"/>
        </w:rPr>
        <w:t>28, 2020), Tab</w:t>
      </w:r>
      <w:r>
        <w:rPr>
          <w:rtl w:val="0"/>
        </w:rPr>
        <w:t> </w:t>
      </w:r>
      <w:r>
        <w:rPr>
          <w:rtl w:val="0"/>
          <w:lang w:val="en-US"/>
        </w:rPr>
        <w:t>7.12: Jalisco Cartel New Generation (CJNG). InSight Crime. May</w:t>
      </w:r>
      <w:r>
        <w:rPr>
          <w:rtl w:val="0"/>
        </w:rPr>
        <w:t> </w:t>
      </w:r>
      <w:r>
        <w:rPr>
          <w:rtl w:val="0"/>
          <w:lang w:val="pt-PT"/>
        </w:rPr>
        <w:t>21, 2019.</w:t>
      </w:r>
    </w:p>
  </w:endnote>
  <w:endnote w:id="11">
    <w:p>
      <w:pPr>
        <w:pStyle w:val="endnote text"/>
        <w:jc w:val="both"/>
      </w:pPr>
      <w:r>
        <w:rPr>
          <w:sz w:val="24"/>
          <w:szCs w:val="24"/>
          <w:vertAlign w:val="superscript"/>
        </w:rPr>
        <w:endnoteRef/>
      </w:r>
      <w:r>
        <w:rPr>
          <w:rtl w:val="0"/>
          <w:lang w:val="en-US"/>
        </w:rPr>
        <w:t xml:space="preserve"> SAR-2, NDP on Mexico (February</w:t>
      </w:r>
      <w:r>
        <w:rPr>
          <w:rtl w:val="0"/>
        </w:rPr>
        <w:t> </w:t>
      </w:r>
      <w:r>
        <w:rPr>
          <w:rtl w:val="0"/>
        </w:rPr>
        <w:t>28, 2020), Tab</w:t>
      </w:r>
      <w:r>
        <w:rPr>
          <w:rtl w:val="0"/>
        </w:rPr>
        <w:t> </w:t>
      </w:r>
      <w:r>
        <w:rPr>
          <w:rtl w:val="0"/>
          <w:lang w:val="en-US"/>
        </w:rPr>
        <w:t>7.12: Jalisco Cartel New Generation (CJNG). InSight Crime. May</w:t>
      </w:r>
      <w:r>
        <w:rPr>
          <w:rtl w:val="0"/>
        </w:rPr>
        <w:t> </w:t>
      </w:r>
      <w:r>
        <w:rPr>
          <w:rtl w:val="0"/>
          <w:lang w:val="pt-PT"/>
        </w:rPr>
        <w:t>21, 2019.</w:t>
      </w:r>
    </w:p>
  </w:endnote>
  <w:endnote w:id="12">
    <w:p>
      <w:pPr>
        <w:pStyle w:val="endnote text"/>
        <w:jc w:val="both"/>
      </w:pPr>
      <w:r>
        <w:rPr>
          <w:sz w:val="24"/>
          <w:szCs w:val="24"/>
          <w:vertAlign w:val="superscript"/>
        </w:rPr>
        <w:endnoteRef/>
      </w:r>
      <w:r>
        <w:rPr>
          <w:rtl w:val="0"/>
          <w:lang w:val="en-US"/>
        </w:rPr>
        <w:t xml:space="preserve"> SAR-1, NDP on Mexico (September</w:t>
      </w:r>
      <w:r>
        <w:rPr>
          <w:rtl w:val="0"/>
        </w:rPr>
        <w:t> </w:t>
      </w:r>
      <w:r>
        <w:rPr>
          <w:rtl w:val="0"/>
        </w:rPr>
        <w:t>30, 2020), Tab</w:t>
      </w:r>
      <w:r>
        <w:rPr>
          <w:rtl w:val="0"/>
        </w:rPr>
        <w:t> </w:t>
      </w:r>
      <w:r>
        <w:rPr>
          <w:rtl w:val="0"/>
          <w:lang w:val="en-US"/>
        </w:rPr>
        <w:t>1.5: Mexico Peace Index 2020. Institute for Economics and Peace. May</w:t>
      </w:r>
      <w:r>
        <w:rPr>
          <w:rtl w:val="0"/>
        </w:rPr>
        <w:t> </w:t>
      </w:r>
      <w:r>
        <w:rPr>
          <w:rtl w:val="0"/>
          <w:lang w:val="en-US"/>
        </w:rPr>
        <w:t>2020; SAR-1, NDP on Mexico (September</w:t>
      </w:r>
      <w:r>
        <w:rPr>
          <w:rtl w:val="0"/>
        </w:rPr>
        <w:t> </w:t>
      </w:r>
      <w:r>
        <w:rPr>
          <w:rtl w:val="0"/>
        </w:rPr>
        <w:t>30, 2020), Tab</w:t>
      </w:r>
      <w:r>
        <w:rPr>
          <w:rtl w:val="0"/>
        </w:rPr>
        <w:t> </w:t>
      </w:r>
      <w:r>
        <w:rPr>
          <w:rtl w:val="0"/>
        </w:rPr>
        <w:t>7.2</w:t>
      </w:r>
      <w:r>
        <w:rPr>
          <w:rtl w:val="0"/>
        </w:rPr>
        <w:t> </w:t>
      </w:r>
      <w:r>
        <w:rPr>
          <w:rtl w:val="0"/>
          <w:lang w:val="en-US"/>
        </w:rPr>
        <w:t>: Mexico: Organized Crime and Drug Trafficking Organizations. United States. Congressional Research Service. June</w:t>
      </w:r>
      <w:r>
        <w:rPr>
          <w:rtl w:val="0"/>
        </w:rPr>
        <w:t> </w:t>
      </w:r>
      <w:r>
        <w:rPr>
          <w:rtl w:val="0"/>
        </w:rPr>
        <w:t>S.</w:t>
      </w:r>
      <w:r>
        <w:rPr>
          <w:rtl w:val="0"/>
        </w:rPr>
        <w:t> </w:t>
      </w:r>
      <w:r>
        <w:rPr>
          <w:rtl w:val="0"/>
          <w:lang w:val="en-US"/>
        </w:rPr>
        <w:t>Beittel. July</w:t>
      </w:r>
      <w:r>
        <w:rPr>
          <w:rtl w:val="0"/>
        </w:rPr>
        <w:t> </w:t>
      </w:r>
      <w:r>
        <w:rPr>
          <w:rtl w:val="0"/>
        </w:rPr>
        <w:t>28, 2020. R41576.</w:t>
      </w:r>
    </w:p>
  </w:endnote>
  <w:endnote w:id="13">
    <w:p>
      <w:pPr>
        <w:pStyle w:val="endnote text"/>
        <w:jc w:val="both"/>
      </w:pPr>
      <w:r>
        <w:rPr>
          <w:sz w:val="24"/>
          <w:szCs w:val="24"/>
          <w:vertAlign w:val="superscript"/>
        </w:rPr>
        <w:endnoteRef/>
      </w:r>
      <w:r>
        <w:rPr>
          <w:rtl w:val="0"/>
          <w:lang w:val="nl-NL"/>
        </w:rPr>
        <w:t xml:space="preserve"> SAR-3, NDP on Mexico (March</w:t>
      </w:r>
      <w:r>
        <w:rPr>
          <w:rtl w:val="0"/>
        </w:rPr>
        <w:t> </w:t>
      </w:r>
      <w:r>
        <w:rPr>
          <w:rtl w:val="0"/>
        </w:rPr>
        <w:t>31, 2020), Tab</w:t>
      </w:r>
      <w:r>
        <w:rPr>
          <w:rtl w:val="0"/>
        </w:rPr>
        <w:t> </w:t>
      </w:r>
      <w:r>
        <w:rPr>
          <w:rtl w:val="0"/>
          <w:lang w:val="en-US"/>
        </w:rPr>
        <w:t>7.15: Drug cartels, including Los Zetas, the Gulf Cartel (Cartel del Golfo), La Familia Michoacana, and the Beltr</w:t>
      </w:r>
      <w:r>
        <w:rPr>
          <w:rtl w:val="0"/>
        </w:rPr>
        <w:t>á</w:t>
      </w:r>
      <w:r>
        <w:rPr>
          <w:rtl w:val="0"/>
          <w:lang w:val="en-US"/>
        </w:rPr>
        <w:t>n Leyva Organization (BLO); activities and areas of operation; ability to track individuals within Mexico (2017</w:t>
      </w:r>
      <w:r>
        <w:rPr>
          <w:rtl w:val="0"/>
        </w:rPr>
        <w:t>–</w:t>
      </w:r>
      <w:r>
        <w:rPr>
          <w:rtl w:val="0"/>
          <w:lang w:val="de-DE"/>
        </w:rPr>
        <w:t>August</w:t>
      </w:r>
      <w:r>
        <w:rPr>
          <w:rtl w:val="0"/>
        </w:rPr>
        <w:t> </w:t>
      </w:r>
      <w:r>
        <w:rPr>
          <w:rtl w:val="0"/>
        </w:rPr>
        <w:t>2019), IRB. August</w:t>
      </w:r>
      <w:r>
        <w:rPr>
          <w:rtl w:val="0"/>
        </w:rPr>
        <w:t> </w:t>
      </w:r>
      <w:r>
        <w:rPr>
          <w:rtl w:val="0"/>
          <w:lang w:val="en-US"/>
        </w:rPr>
        <w:t>15, 2019. MEX106302.E; SAR-1, 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w:t>
      </w:r>
      <w:r>
        <w:rPr>
          <w:rtl w:val="0"/>
        </w:rPr>
        <w:t> </w:t>
      </w:r>
      <w:r>
        <w:rPr>
          <w:rtl w:val="0"/>
        </w:rPr>
        <w:t>2020), IRB. September</w:t>
      </w:r>
      <w:r>
        <w:rPr>
          <w:rtl w:val="0"/>
        </w:rPr>
        <w:t> </w:t>
      </w:r>
      <w:r>
        <w:rPr>
          <w:rtl w:val="0"/>
        </w:rPr>
        <w:t xml:space="preserve">21, 2020. MEX200313.E. </w:t>
      </w:r>
    </w:p>
  </w:endnote>
  <w:endnote w:id="14">
    <w:p>
      <w:pPr>
        <w:pStyle w:val="endnote text"/>
        <w:jc w:val="both"/>
      </w:pPr>
      <w:r>
        <w:rPr>
          <w:sz w:val="24"/>
          <w:szCs w:val="24"/>
          <w:vertAlign w:val="superscript"/>
        </w:rPr>
        <w:endnoteRef/>
      </w:r>
      <w:r>
        <w:rPr>
          <w:rtl w:val="0"/>
          <w:lang w:val="en-US"/>
        </w:rPr>
        <w:t xml:space="preserve"> Recording of the Refugee Protection Division</w:t>
      </w:r>
      <w:r>
        <w:rPr>
          <w:rtl w:val="0"/>
        </w:rPr>
        <w:t> </w:t>
      </w:r>
      <w:r>
        <w:rPr>
          <w:rtl w:val="0"/>
          <w:lang w:val="en-US"/>
        </w:rPr>
        <w:t>(RPD) hearing held on December</w:t>
      </w:r>
      <w:r>
        <w:rPr>
          <w:rtl w:val="0"/>
        </w:rPr>
        <w:t> </w:t>
      </w:r>
      <w:r>
        <w:rPr>
          <w:rtl w:val="0"/>
          <w:lang w:val="da-DK"/>
        </w:rPr>
        <w:t>9, 2019, at 1:04.</w:t>
      </w:r>
    </w:p>
  </w:endnote>
  <w:endnote w:id="15">
    <w:p>
      <w:pPr>
        <w:pStyle w:val="endnote text"/>
        <w:jc w:val="both"/>
      </w:pPr>
      <w:r>
        <w:rPr>
          <w:sz w:val="24"/>
          <w:szCs w:val="24"/>
          <w:vertAlign w:val="superscript"/>
        </w:rPr>
        <w:endnoteRef/>
      </w:r>
      <w:r>
        <w:rPr>
          <w:rtl w:val="0"/>
          <w:lang w:val="en-US"/>
        </w:rPr>
        <w:t xml:space="preserve"> Recording of the RPD hearing held on December</w:t>
      </w:r>
      <w:r>
        <w:rPr>
          <w:rtl w:val="0"/>
        </w:rPr>
        <w:t> </w:t>
      </w:r>
      <w:r>
        <w:rPr>
          <w:rtl w:val="0"/>
          <w:lang w:val="en-US"/>
        </w:rPr>
        <w:t>9, 2019, from 1:45 to 1:54.</w:t>
      </w:r>
    </w:p>
  </w:endnote>
  <w:endnote w:id="16">
    <w:p>
      <w:pPr>
        <w:pStyle w:val="endnote text"/>
        <w:jc w:val="both"/>
      </w:pPr>
      <w:r>
        <w:rPr>
          <w:sz w:val="24"/>
          <w:szCs w:val="24"/>
          <w:vertAlign w:val="superscript"/>
        </w:rPr>
        <w:endnoteRef/>
      </w:r>
      <w:r>
        <w:rPr>
          <w:rtl w:val="0"/>
          <w:lang w:val="en-US"/>
        </w:rPr>
        <w:t xml:space="preserve"> Recording of the RPD hearing held on December</w:t>
      </w:r>
      <w:r>
        <w:rPr>
          <w:rtl w:val="0"/>
        </w:rPr>
        <w:t> </w:t>
      </w:r>
      <w:r>
        <w:rPr>
          <w:rtl w:val="0"/>
          <w:lang w:val="da-DK"/>
        </w:rPr>
        <w:t>9, 2019, at 1:30.</w:t>
      </w:r>
      <w:r>
        <w:rPr>
          <w:rStyle w:val="reflex3-block"/>
          <w:rtl w:val="0"/>
        </w:rPr>
        <w:t xml:space="preserve"> </w:t>
      </w:r>
    </w:p>
  </w:endnote>
  <w:endnote w:id="17">
    <w:p>
      <w:pPr>
        <w:pStyle w:val="endnote text"/>
        <w:jc w:val="both"/>
      </w:pPr>
      <w:r>
        <w:rPr>
          <w:sz w:val="24"/>
          <w:szCs w:val="24"/>
          <w:vertAlign w:val="superscript"/>
        </w:rPr>
        <w:endnoteRef/>
      </w:r>
      <w:r>
        <w:rPr>
          <w:rStyle w:val="reflex3-block"/>
          <w:rtl w:val="0"/>
        </w:rPr>
        <w:t xml:space="preserve"> </w:t>
      </w:r>
      <w:r>
        <w:rPr>
          <w:rtl w:val="0"/>
          <w:lang w:val="en-US"/>
        </w:rPr>
        <w:t>SAR-1, NDP on Mexico (September</w:t>
      </w:r>
      <w:r>
        <w:rPr>
          <w:rtl w:val="0"/>
        </w:rPr>
        <w:t> </w:t>
      </w:r>
      <w:r>
        <w:rPr>
          <w:rtl w:val="0"/>
        </w:rPr>
        <w:t>30, 2020), Tab</w:t>
      </w:r>
      <w:r>
        <w:rPr>
          <w:rtl w:val="0"/>
        </w:rPr>
        <w:t> </w:t>
      </w:r>
      <w:r>
        <w:rPr>
          <w:rtl w:val="0"/>
          <w:lang w:val="en-US"/>
        </w:rPr>
        <w:t>1.5: Mexico Peace Index 2020. Institute for Economics and Peace. May</w:t>
      </w:r>
      <w:r>
        <w:rPr>
          <w:rtl w:val="0"/>
        </w:rPr>
        <w:t> </w:t>
      </w:r>
      <w:r>
        <w:rPr>
          <w:rtl w:val="0"/>
          <w:lang w:val="en-US"/>
        </w:rPr>
        <w:t>2020; SAR-1, NDP on Mexico (September</w:t>
      </w:r>
      <w:r>
        <w:rPr>
          <w:rtl w:val="0"/>
        </w:rPr>
        <w:t> </w:t>
      </w:r>
      <w:r>
        <w:rPr>
          <w:rtl w:val="0"/>
        </w:rPr>
        <w:t>30, 2020), Tab</w:t>
      </w:r>
      <w:r>
        <w:rPr>
          <w:rtl w:val="0"/>
        </w:rPr>
        <w:t> </w:t>
      </w:r>
      <w:r>
        <w:rPr>
          <w:rtl w:val="0"/>
          <w:lang w:val="en-US"/>
        </w:rPr>
        <w:t>7.18: Crime and criminality, including organized crime, alliances between criminal groups and their areas of control; groups targeted by cartels; state response; protection available to victims, including witness protection (2018</w:t>
      </w:r>
      <w:r>
        <w:rPr>
          <w:rtl w:val="0"/>
        </w:rPr>
        <w:t>–</w:t>
      </w:r>
      <w:r>
        <w:rPr>
          <w:rtl w:val="0"/>
        </w:rPr>
        <w:t>September 2020), IRB. September</w:t>
      </w:r>
      <w:r>
        <w:rPr>
          <w:rtl w:val="0"/>
        </w:rPr>
        <w:t> </w:t>
      </w:r>
      <w:r>
        <w:rPr>
          <w:rtl w:val="0"/>
        </w:rPr>
        <w:t>21, 2020. MEX200313.E.</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before="0" w:after="0"/>
      <w:rPr>
        <w:sz w:val="16"/>
        <w:szCs w:val="16"/>
      </w:rPr>
    </w:pPr>
    <w:r>
      <w:rPr>
        <w:sz w:val="16"/>
        <w:szCs w:val="16"/>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fr-FR"/>
      </w:rPr>
      <w:t>RAD.25.02 (January</w:t>
    </w:r>
    <w:r>
      <w:rPr>
        <w:spacing w:val="-1"/>
        <w:sz w:val="20"/>
        <w:szCs w:val="20"/>
        <w:shd w:val="nil" w:color="auto" w:fill="auto"/>
        <w:rtl w:val="0"/>
        <w:lang w:val="fr-FR"/>
      </w:rPr>
      <w:t> </w:t>
    </w:r>
    <w:r>
      <w:rPr>
        <w:spacing w:val="-1"/>
        <w:sz w:val="20"/>
        <w:szCs w:val="20"/>
        <w:shd w:val="nil" w:color="auto" w:fill="auto"/>
        <w:rtl w:val="0"/>
        <w:lang w:val="fr-FR"/>
      </w:rPr>
      <w:t>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fr-FR"/>
      </w:rPr>
      <w:t>ç</w:t>
    </w:r>
    <w:r>
      <w:rPr>
        <w:spacing w:val="-2"/>
        <w:sz w:val="24"/>
        <w:szCs w:val="24"/>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Fonts w:ascii="Times New Roman" w:hAnsi="Times New Roman"/>
        <w:b w:val="1"/>
        <w:bCs w:val="1"/>
        <w:sz w:val="22"/>
        <w:szCs w:val="22"/>
        <w:rtl w:val="0"/>
        <w:lang w:val="fr-FR"/>
      </w:rPr>
      <w:t>RAD File No. / N</w:t>
    </w:r>
    <w:r>
      <w:rPr>
        <w:rFonts w:ascii="Times New Roman" w:hAnsi="Times New Roman"/>
        <w:b w:val="1"/>
        <w:bCs w:val="1"/>
        <w:sz w:val="22"/>
        <w:szCs w:val="22"/>
        <w:vertAlign w:val="superscript"/>
        <w:rtl w:val="0"/>
        <w:lang w:val="fr-FR"/>
      </w:rPr>
      <w:t>o</w:t>
    </w:r>
    <w:r>
      <w:rPr>
        <w:rFonts w:ascii="Times New Roman" w:hAnsi="Times New Roman"/>
        <w:b w:val="1"/>
        <w:bCs w:val="1"/>
        <w:sz w:val="22"/>
        <w:szCs w:val="22"/>
        <w:rtl w:val="0"/>
        <w:lang w:val="fr-FR"/>
      </w:rPr>
      <w:t xml:space="preserve"> de dossier de la SAR : MC002058</w:t>
    </w:r>
    <w:r>
      <w:rPr>
        <w:rFonts w:ascii="Times New Roman" w:cs="Times New Roman" w:hAnsi="Times New Roman" w:eastAsia="Times New Roman"/>
        <w:b w:val="1"/>
        <w:bCs w:val="1"/>
        <w:sz w:val="22"/>
        <w:szCs w:val="22"/>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p>
  <w:p>
    <w:pPr>
      <w:pStyle w:val="Body"/>
      <w:bidi w:val="0"/>
      <w:spacing w:before="0" w:after="240"/>
      <w:ind w:left="0" w:right="0" w:firstLine="0"/>
      <w:jc w:val="left"/>
      <w:rPr>
        <w:spacing w:val="-1"/>
        <w:sz w:val="22"/>
        <w:szCs w:val="22"/>
        <w:shd w:val="nil" w:color="auto" w:fill="auto"/>
        <w:rtl w:val="0"/>
      </w:rPr>
    </w:pP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en-US"/>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862"/>
        </w:tabs>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86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862"/>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862"/>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86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862"/>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862"/>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86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862"/>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170"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4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4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4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45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4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3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6"/>
    </w:lvlOverride>
  </w:num>
  <w:num w:numId="6">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s>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s>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s>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left" w:pos="709"/>
            <w:tab w:val="left" w:pos="862"/>
          </w:tabs>
          <w:ind w:left="650" w:hanging="6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09"/>
            <w:tab w:val="left" w:pos="862"/>
          </w:tabs>
          <w:ind w:left="14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09"/>
            <w:tab w:val="left" w:pos="862"/>
          </w:tabs>
          <w:ind w:left="35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09"/>
            <w:tab w:val="left" w:pos="862"/>
          </w:tabs>
          <w:ind w:left="57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0"/>
    <w:lvlOverride w:ilvl="0">
      <w:lvl w:ilvl="0">
        <w:start w:val="1"/>
        <w:numFmt w:val="decimal"/>
        <w:suff w:val="tab"/>
        <w:lvlText w:val="%1."/>
        <w:lvlJc w:val="left"/>
        <w:pPr>
          <w:tabs>
            <w:tab w:val="left" w:pos="709"/>
            <w:tab w:val="left" w:pos="862"/>
          </w:tabs>
          <w:ind w:left="650" w:hanging="6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862"/>
          </w:tabs>
          <w:ind w:left="69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tabs>
            <w:tab w:val="left" w:pos="709"/>
            <w:tab w:val="left" w:pos="862"/>
          </w:tabs>
          <w:ind w:left="141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tabs>
            <w:tab w:val="left" w:pos="709"/>
            <w:tab w:val="left" w:pos="862"/>
          </w:tabs>
          <w:ind w:left="213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tabs>
            <w:tab w:val="left" w:pos="709"/>
            <w:tab w:val="left" w:pos="862"/>
          </w:tabs>
          <w:ind w:left="285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tabs>
            <w:tab w:val="left" w:pos="709"/>
            <w:tab w:val="left" w:pos="862"/>
          </w:tabs>
          <w:ind w:left="357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tabs>
            <w:tab w:val="left" w:pos="709"/>
            <w:tab w:val="left" w:pos="862"/>
          </w:tabs>
          <w:ind w:left="429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tabs>
            <w:tab w:val="left" w:pos="709"/>
            <w:tab w:val="left" w:pos="862"/>
          </w:tabs>
          <w:ind w:left="5010" w:hanging="33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tabs>
            <w:tab w:val="left" w:pos="709"/>
            <w:tab w:val="left" w:pos="862"/>
          </w:tabs>
          <w:ind w:left="5736" w:hanging="26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reflex3-block">
    <w:name w:val="reflex3-block"/>
  </w:style>
  <w:style w:type="paragraph" w:styleId="Heading 2">
    <w:name w:val="Heading 2"/>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mphasis A">
    <w:name w:val="Emphasis A"/>
    <w:rPr>
      <w:rFonts w:ascii="Times New Roman" w:hAnsi="Times New Roman"/>
      <w:i w:val="1"/>
      <w:iCs w:val="1"/>
      <w:lang w:val="en-US"/>
    </w:r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numbering" w:styleId="Imported Style 2">
    <w:name w:val="Imported Style 2"/>
    <w:pPr>
      <w:numPr>
        <w:numId w:val="3"/>
      </w:numPr>
    </w:pPr>
  </w:style>
  <w:style w:type="character" w:styleId="endnote reference">
    <w:name w:val="endnote reference"/>
    <w:rPr>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