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5620" w14:textId="77777777" w:rsidR="00E03B37" w:rsidRPr="00EB3660" w:rsidRDefault="00E03B37" w:rsidP="00B646B0">
      <w:pPr>
        <w:tabs>
          <w:tab w:val="clear" w:pos="576"/>
          <w:tab w:val="clear" w:pos="1008"/>
          <w:tab w:val="clear" w:pos="1440"/>
          <w:tab w:val="clear" w:pos="1872"/>
          <w:tab w:val="clear" w:pos="2304"/>
          <w:tab w:val="clear" w:pos="2736"/>
        </w:tabs>
        <w:spacing w:before="0" w:after="0"/>
        <w:jc w:val="right"/>
        <w:rPr>
          <w:rFonts w:cs="Times New Roman"/>
          <w:b/>
          <w:sz w:val="22"/>
          <w:szCs w:val="22"/>
        </w:rPr>
      </w:pPr>
    </w:p>
    <w:p w14:paraId="00D2D47C" w14:textId="6878CDC4" w:rsidR="003E4148" w:rsidRPr="00BB0BA9" w:rsidRDefault="00B646B0" w:rsidP="00B646B0">
      <w:pPr>
        <w:tabs>
          <w:tab w:val="clear" w:pos="576"/>
          <w:tab w:val="clear" w:pos="1008"/>
          <w:tab w:val="clear" w:pos="1440"/>
          <w:tab w:val="clear" w:pos="1872"/>
          <w:tab w:val="clear" w:pos="2304"/>
          <w:tab w:val="clear" w:pos="2736"/>
        </w:tabs>
        <w:spacing w:before="0" w:after="0"/>
        <w:jc w:val="right"/>
        <w:rPr>
          <w:rFonts w:cs="Times New Roman"/>
          <w:b/>
          <w:sz w:val="22"/>
          <w:szCs w:val="22"/>
          <w:lang w:val="fr-FR"/>
        </w:rPr>
      </w:pPr>
      <w:r w:rsidRPr="00BB0BA9">
        <w:rPr>
          <w:b/>
          <w:sz w:val="22"/>
          <w:lang w:val="fr-FR"/>
        </w:rPr>
        <w:t>RAD File</w:t>
      </w:r>
      <w:r w:rsidR="00EB3660" w:rsidRPr="00BB0BA9">
        <w:rPr>
          <w:b/>
          <w:sz w:val="22"/>
          <w:lang w:val="fr-FR"/>
        </w:rPr>
        <w:t xml:space="preserve"> </w:t>
      </w:r>
      <w:r w:rsidRPr="00BB0BA9">
        <w:rPr>
          <w:b/>
          <w:sz w:val="22"/>
          <w:lang w:val="fr-FR"/>
        </w:rPr>
        <w:t>No. / N</w:t>
      </w:r>
      <w:r w:rsidRPr="00BB0BA9">
        <w:rPr>
          <w:b/>
          <w:sz w:val="22"/>
          <w:vertAlign w:val="superscript"/>
          <w:lang w:val="fr-FR"/>
        </w:rPr>
        <w:t>o</w:t>
      </w:r>
      <w:r w:rsidRPr="00BB0BA9">
        <w:rPr>
          <w:b/>
          <w:sz w:val="22"/>
          <w:lang w:val="fr-FR"/>
        </w:rPr>
        <w:t xml:space="preserve"> de dossier de la SAR : MC0</w:t>
      </w:r>
      <w:r w:rsidRPr="00BB0BA9">
        <w:rPr>
          <w:b/>
          <w:sz w:val="22"/>
          <w:lang w:val="fr-FR"/>
        </w:rPr>
        <w:noBreakHyphen/>
        <w:t>06700</w:t>
      </w:r>
    </w:p>
    <w:p w14:paraId="332E37C5" w14:textId="69912F92" w:rsidR="00B646B0" w:rsidRPr="00EB3660" w:rsidRDefault="008C7C72" w:rsidP="00B646B0">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EB3660">
        <w:rPr>
          <w:b/>
          <w:sz w:val="22"/>
        </w:rPr>
        <w:t>MC0</w:t>
      </w:r>
      <w:r w:rsidRPr="00EB3660">
        <w:rPr>
          <w:b/>
          <w:sz w:val="22"/>
        </w:rPr>
        <w:noBreakHyphen/>
        <w:t xml:space="preserve">06701 / </w:t>
      </w:r>
      <w:r w:rsidR="003E4148" w:rsidRPr="00EB3660">
        <w:rPr>
          <w:b/>
          <w:sz w:val="22"/>
        </w:rPr>
        <w:t>MC0</w:t>
      </w:r>
      <w:r w:rsidR="003E4148" w:rsidRPr="00EB3660">
        <w:rPr>
          <w:b/>
          <w:sz w:val="22"/>
        </w:rPr>
        <w:noBreakHyphen/>
        <w:t>06702 / MC0</w:t>
      </w:r>
      <w:r w:rsidR="003E4148" w:rsidRPr="00EB3660">
        <w:rPr>
          <w:b/>
          <w:sz w:val="22"/>
        </w:rPr>
        <w:noBreakHyphen/>
        <w:t xml:space="preserve">06703 </w:t>
      </w:r>
    </w:p>
    <w:p w14:paraId="0F1E462E" w14:textId="77777777" w:rsidR="00B646B0" w:rsidRPr="00EB3660" w:rsidRDefault="00B646B0" w:rsidP="00B646B0">
      <w:pPr>
        <w:tabs>
          <w:tab w:val="clear" w:pos="576"/>
          <w:tab w:val="clear" w:pos="1008"/>
          <w:tab w:val="clear" w:pos="1440"/>
          <w:tab w:val="clear" w:pos="1872"/>
          <w:tab w:val="clear" w:pos="2304"/>
          <w:tab w:val="clear" w:pos="2736"/>
        </w:tabs>
        <w:spacing w:before="0" w:after="0"/>
        <w:jc w:val="right"/>
        <w:rPr>
          <w:rFonts w:cs="Times New Roman"/>
          <w:b/>
          <w:sz w:val="22"/>
          <w:szCs w:val="22"/>
        </w:rPr>
      </w:pPr>
    </w:p>
    <w:p w14:paraId="177707E0" w14:textId="3A4956AB" w:rsidR="00B646B0" w:rsidRPr="00EB3660" w:rsidRDefault="00B646B0" w:rsidP="00B646B0">
      <w:pPr>
        <w:tabs>
          <w:tab w:val="clear" w:pos="576"/>
          <w:tab w:val="clear" w:pos="1008"/>
          <w:tab w:val="clear" w:pos="1440"/>
          <w:tab w:val="clear" w:pos="1872"/>
          <w:tab w:val="clear" w:pos="2304"/>
          <w:tab w:val="clear" w:pos="2736"/>
        </w:tabs>
        <w:spacing w:before="0" w:after="0"/>
        <w:jc w:val="right"/>
        <w:rPr>
          <w:rFonts w:cs="Times New Roman"/>
          <w:b/>
          <w:i/>
          <w:sz w:val="22"/>
          <w:szCs w:val="22"/>
        </w:rPr>
      </w:pPr>
      <w:r w:rsidRPr="00EB3660">
        <w:rPr>
          <w:b/>
          <w:i/>
          <w:sz w:val="22"/>
        </w:rPr>
        <w:t>Private Proceeding / Huis clos</w:t>
      </w:r>
    </w:p>
    <w:p w14:paraId="4C75DE33" w14:textId="77777777" w:rsidR="00B646B0" w:rsidRPr="00EB3660" w:rsidRDefault="00B646B0" w:rsidP="00B646B0">
      <w:pPr>
        <w:tabs>
          <w:tab w:val="clear" w:pos="576"/>
          <w:tab w:val="clear" w:pos="1008"/>
          <w:tab w:val="clear" w:pos="1440"/>
          <w:tab w:val="clear" w:pos="1872"/>
          <w:tab w:val="clear" w:pos="2304"/>
          <w:tab w:val="clear" w:pos="2736"/>
        </w:tabs>
        <w:spacing w:before="0" w:after="0"/>
        <w:jc w:val="left"/>
        <w:rPr>
          <w:rFonts w:cs="Times New Roman"/>
          <w:sz w:val="22"/>
          <w:szCs w:val="22"/>
        </w:rPr>
      </w:pPr>
    </w:p>
    <w:p w14:paraId="60DA2719" w14:textId="22B0ED13" w:rsidR="00B646B0" w:rsidRPr="00EB3660" w:rsidRDefault="00B646B0" w:rsidP="006C481A">
      <w:pPr>
        <w:pStyle w:val="Heading2"/>
        <w:spacing w:before="120" w:after="240"/>
        <w:jc w:val="center"/>
        <w:rPr>
          <w:rFonts w:ascii="Times New Roman" w:hAnsi="Times New Roman" w:cs="Times New Roman"/>
          <w:i w:val="0"/>
          <w:sz w:val="32"/>
          <w:szCs w:val="32"/>
        </w:rPr>
      </w:pPr>
      <w:r w:rsidRPr="00EB3660">
        <w:rPr>
          <w:rFonts w:ascii="Times New Roman" w:hAnsi="Times New Roman"/>
          <w:i w:val="0"/>
          <w:sz w:val="32"/>
        </w:rPr>
        <w:t xml:space="preserve">Reasons and decision – Motifs et </w:t>
      </w:r>
      <w:proofErr w:type="spellStart"/>
      <w:r w:rsidRPr="00EB3660">
        <w:rPr>
          <w:rFonts w:ascii="Times New Roman" w:hAnsi="Times New Roman"/>
          <w:i w:val="0"/>
          <w:sz w:val="32"/>
        </w:rPr>
        <w:t>décision</w:t>
      </w:r>
      <w:proofErr w:type="spellEnd"/>
    </w:p>
    <w:p w14:paraId="2C1AE710" w14:textId="77777777" w:rsidR="00B646B0" w:rsidRPr="00EB3660" w:rsidRDefault="00B646B0" w:rsidP="008B5E77">
      <w:pPr>
        <w:spacing w:before="0" w:after="0"/>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68"/>
        <w:gridCol w:w="4678"/>
        <w:gridCol w:w="2414"/>
      </w:tblGrid>
      <w:tr w:rsidR="00EB3660" w:rsidRPr="00EB3660" w14:paraId="004FE0B4" w14:textId="36958372" w:rsidTr="00135FDC">
        <w:trPr>
          <w:cantSplit/>
          <w:trHeight w:val="567"/>
          <w:jc w:val="center"/>
        </w:trPr>
        <w:tc>
          <w:tcPr>
            <w:tcW w:w="2268" w:type="dxa"/>
          </w:tcPr>
          <w:p w14:paraId="1F1F29C1" w14:textId="2C653CB8" w:rsidR="00135FDC" w:rsidRPr="00EB3660" w:rsidRDefault="00135FDC" w:rsidP="00135FDC">
            <w:pPr>
              <w:tabs>
                <w:tab w:val="clear" w:pos="576"/>
                <w:tab w:val="clear" w:pos="1008"/>
                <w:tab w:val="clear" w:pos="1440"/>
                <w:tab w:val="clear" w:pos="1872"/>
                <w:tab w:val="clear" w:pos="2304"/>
                <w:tab w:val="clear" w:pos="2736"/>
              </w:tabs>
              <w:spacing w:before="0" w:after="0"/>
              <w:jc w:val="left"/>
              <w:rPr>
                <w:rFonts w:cs="Times New Roman"/>
                <w:b/>
                <w:sz w:val="20"/>
              </w:rPr>
            </w:pPr>
            <w:r w:rsidRPr="00EB3660">
              <w:rPr>
                <w:b/>
                <w:sz w:val="20"/>
              </w:rPr>
              <w:t>Persons who are the subject of the appeal</w:t>
            </w:r>
          </w:p>
        </w:tc>
        <w:tc>
          <w:tcPr>
            <w:tcW w:w="4678" w:type="dxa"/>
          </w:tcPr>
          <w:p w14:paraId="13C5399D" w14:textId="6548BDA1" w:rsidR="00135FDC" w:rsidRPr="00EB3660" w:rsidRDefault="003669D6" w:rsidP="00135FDC">
            <w:pPr>
              <w:tabs>
                <w:tab w:val="clear" w:pos="576"/>
                <w:tab w:val="clear" w:pos="1008"/>
                <w:tab w:val="clear" w:pos="1440"/>
                <w:tab w:val="clear" w:pos="1872"/>
                <w:tab w:val="clear" w:pos="2304"/>
                <w:tab w:val="clear" w:pos="2736"/>
              </w:tabs>
              <w:spacing w:before="0" w:after="0"/>
              <w:jc w:val="center"/>
              <w:rPr>
                <w:rFonts w:cs="Times New Roman"/>
                <w:b/>
                <w:bCs/>
                <w:szCs w:val="24"/>
              </w:rPr>
            </w:pPr>
            <w:r>
              <w:rPr>
                <w:b/>
              </w:rPr>
              <w:t xml:space="preserve">XXXX </w:t>
            </w:r>
            <w:proofErr w:type="spellStart"/>
            <w:r>
              <w:rPr>
                <w:b/>
              </w:rPr>
              <w:t>XXXX</w:t>
            </w:r>
            <w:proofErr w:type="spellEnd"/>
            <w:r>
              <w:rPr>
                <w:b/>
              </w:rPr>
              <w:t xml:space="preserve"> XXXXXXXX XXXX XXXXXXXX XXXX </w:t>
            </w:r>
            <w:proofErr w:type="spellStart"/>
            <w:r>
              <w:rPr>
                <w:b/>
              </w:rPr>
              <w:t>XXXX</w:t>
            </w:r>
            <w:proofErr w:type="spellEnd"/>
            <w:r>
              <w:rPr>
                <w:b/>
              </w:rPr>
              <w:t xml:space="preserve"> XXXXXXXX XXXX </w:t>
            </w:r>
            <w:proofErr w:type="spellStart"/>
            <w:r>
              <w:rPr>
                <w:b/>
              </w:rPr>
              <w:t>XXXX</w:t>
            </w:r>
            <w:proofErr w:type="spellEnd"/>
          </w:p>
        </w:tc>
        <w:tc>
          <w:tcPr>
            <w:tcW w:w="2414" w:type="dxa"/>
          </w:tcPr>
          <w:p w14:paraId="20E0849B" w14:textId="5ED3AC7A" w:rsidR="00135FDC" w:rsidRPr="00EB3660"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rPr>
            </w:pPr>
            <w:proofErr w:type="spellStart"/>
            <w:r w:rsidRPr="00EB3660">
              <w:rPr>
                <w:b/>
                <w:sz w:val="20"/>
              </w:rPr>
              <w:t>Personnes</w:t>
            </w:r>
            <w:proofErr w:type="spellEnd"/>
            <w:r w:rsidRPr="00EB3660">
              <w:rPr>
                <w:b/>
                <w:sz w:val="20"/>
              </w:rPr>
              <w:t xml:space="preserve"> </w:t>
            </w:r>
            <w:proofErr w:type="spellStart"/>
            <w:r w:rsidRPr="00EB3660">
              <w:rPr>
                <w:b/>
                <w:sz w:val="20"/>
              </w:rPr>
              <w:t>en</w:t>
            </w:r>
            <w:proofErr w:type="spellEnd"/>
            <w:r w:rsidRPr="00EB3660">
              <w:rPr>
                <w:b/>
                <w:sz w:val="20"/>
              </w:rPr>
              <w:t xml:space="preserve"> cause</w:t>
            </w:r>
          </w:p>
        </w:tc>
      </w:tr>
      <w:tr w:rsidR="00EB3660" w:rsidRPr="00EB3660" w14:paraId="15CF517B" w14:textId="604C0021" w:rsidTr="00135FDC">
        <w:trPr>
          <w:cantSplit/>
          <w:trHeight w:val="567"/>
          <w:jc w:val="center"/>
        </w:trPr>
        <w:tc>
          <w:tcPr>
            <w:tcW w:w="2268" w:type="dxa"/>
          </w:tcPr>
          <w:p w14:paraId="136C1B08"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3555B9E1"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5EADD950"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EB3660" w:rsidRPr="00EB3660" w14:paraId="6D993B3C" w14:textId="4E76BE69" w:rsidTr="00135FDC">
        <w:trPr>
          <w:cantSplit/>
          <w:trHeight w:val="567"/>
          <w:jc w:val="center"/>
        </w:trPr>
        <w:tc>
          <w:tcPr>
            <w:tcW w:w="2268" w:type="dxa"/>
          </w:tcPr>
          <w:p w14:paraId="4D75AB2F" w14:textId="3CA7AE95" w:rsidR="00135FDC" w:rsidRPr="00EB3660" w:rsidRDefault="00135FDC" w:rsidP="00135FDC">
            <w:pPr>
              <w:tabs>
                <w:tab w:val="clear" w:pos="576"/>
                <w:tab w:val="clear" w:pos="1008"/>
                <w:tab w:val="clear" w:pos="1440"/>
                <w:tab w:val="clear" w:pos="1872"/>
                <w:tab w:val="clear" w:pos="2304"/>
                <w:tab w:val="clear" w:pos="2736"/>
              </w:tabs>
              <w:spacing w:before="0" w:after="0"/>
              <w:jc w:val="left"/>
              <w:rPr>
                <w:rFonts w:cs="Times New Roman"/>
                <w:sz w:val="20"/>
                <w:highlight w:val="yellow"/>
              </w:rPr>
            </w:pPr>
            <w:r w:rsidRPr="00EB3660">
              <w:rPr>
                <w:b/>
                <w:sz w:val="20"/>
              </w:rPr>
              <w:t>Appeal considered / heard at</w:t>
            </w:r>
          </w:p>
        </w:tc>
        <w:tc>
          <w:tcPr>
            <w:tcW w:w="4678" w:type="dxa"/>
          </w:tcPr>
          <w:p w14:paraId="3634F933" w14:textId="680CDA31" w:rsidR="00135FDC" w:rsidRPr="00EB3660" w:rsidRDefault="00135FDC" w:rsidP="00135FDC">
            <w:pPr>
              <w:pStyle w:val="Header"/>
              <w:tabs>
                <w:tab w:val="left" w:pos="720"/>
              </w:tabs>
              <w:jc w:val="center"/>
              <w:rPr>
                <w:rFonts w:ascii="Times New Roman" w:hAnsi="Times New Roman"/>
                <w:noProof w:val="0"/>
                <w:sz w:val="24"/>
                <w:szCs w:val="24"/>
              </w:rPr>
            </w:pPr>
            <w:r w:rsidRPr="00EB3660">
              <w:rPr>
                <w:rFonts w:ascii="Times New Roman" w:hAnsi="Times New Roman"/>
                <w:noProof w:val="0"/>
                <w:sz w:val="24"/>
              </w:rPr>
              <w:t>Ottawa, Ontario</w:t>
            </w:r>
          </w:p>
        </w:tc>
        <w:tc>
          <w:tcPr>
            <w:tcW w:w="2414" w:type="dxa"/>
          </w:tcPr>
          <w:p w14:paraId="3C738EA6" w14:textId="6893ED61" w:rsidR="00135FDC" w:rsidRPr="00EB3660"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rPr>
            </w:pPr>
            <w:r w:rsidRPr="00EB3660">
              <w:rPr>
                <w:b/>
                <w:sz w:val="20"/>
              </w:rPr>
              <w:t xml:space="preserve">Appel </w:t>
            </w:r>
            <w:proofErr w:type="spellStart"/>
            <w:r w:rsidRPr="00EB3660">
              <w:rPr>
                <w:b/>
                <w:sz w:val="20"/>
              </w:rPr>
              <w:t>instruit</w:t>
            </w:r>
            <w:proofErr w:type="spellEnd"/>
            <w:r w:rsidRPr="00EB3660">
              <w:rPr>
                <w:b/>
                <w:sz w:val="20"/>
              </w:rPr>
              <w:t xml:space="preserve"> / </w:t>
            </w:r>
            <w:proofErr w:type="spellStart"/>
            <w:r w:rsidRPr="00EB3660">
              <w:rPr>
                <w:b/>
                <w:sz w:val="20"/>
              </w:rPr>
              <w:t>entendu</w:t>
            </w:r>
            <w:proofErr w:type="spellEnd"/>
            <w:r w:rsidRPr="00EB3660">
              <w:rPr>
                <w:b/>
                <w:sz w:val="20"/>
              </w:rPr>
              <w:t xml:space="preserve"> à </w:t>
            </w:r>
          </w:p>
        </w:tc>
      </w:tr>
      <w:tr w:rsidR="00EB3660" w:rsidRPr="00EB3660" w14:paraId="386F9DE7" w14:textId="38343B3D" w:rsidTr="00135FDC">
        <w:trPr>
          <w:cantSplit/>
          <w:trHeight w:val="567"/>
          <w:jc w:val="center"/>
        </w:trPr>
        <w:tc>
          <w:tcPr>
            <w:tcW w:w="2268" w:type="dxa"/>
          </w:tcPr>
          <w:p w14:paraId="2A82522D"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6497590B"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46D17132"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EB3660" w:rsidRPr="00EB3660" w14:paraId="196F0C18" w14:textId="6BF0636D" w:rsidTr="00135FDC">
        <w:trPr>
          <w:cantSplit/>
          <w:trHeight w:val="567"/>
          <w:jc w:val="center"/>
        </w:trPr>
        <w:tc>
          <w:tcPr>
            <w:tcW w:w="2268" w:type="dxa"/>
          </w:tcPr>
          <w:p w14:paraId="2D096DCD" w14:textId="7F05A638" w:rsidR="00135FDC" w:rsidRPr="00EB3660" w:rsidRDefault="00135FDC" w:rsidP="00135FDC">
            <w:pPr>
              <w:tabs>
                <w:tab w:val="clear" w:pos="576"/>
                <w:tab w:val="clear" w:pos="1008"/>
                <w:tab w:val="clear" w:pos="1440"/>
                <w:tab w:val="clear" w:pos="1872"/>
                <w:tab w:val="clear" w:pos="2304"/>
                <w:tab w:val="clear" w:pos="2736"/>
              </w:tabs>
              <w:spacing w:before="0" w:after="0"/>
              <w:jc w:val="left"/>
              <w:rPr>
                <w:rFonts w:cs="Times New Roman"/>
                <w:b/>
                <w:sz w:val="20"/>
              </w:rPr>
            </w:pPr>
            <w:r w:rsidRPr="00EB3660">
              <w:rPr>
                <w:b/>
                <w:sz w:val="20"/>
              </w:rPr>
              <w:t>Date of decision</w:t>
            </w:r>
          </w:p>
        </w:tc>
        <w:tc>
          <w:tcPr>
            <w:tcW w:w="4678" w:type="dxa"/>
          </w:tcPr>
          <w:p w14:paraId="5DC624DE" w14:textId="7740F527" w:rsidR="00135FDC" w:rsidRPr="00EB3660" w:rsidRDefault="00135FDC" w:rsidP="00135FDC">
            <w:pPr>
              <w:tabs>
                <w:tab w:val="clear" w:pos="576"/>
                <w:tab w:val="clear" w:pos="1008"/>
                <w:tab w:val="clear" w:pos="1440"/>
                <w:tab w:val="clear" w:pos="1872"/>
                <w:tab w:val="clear" w:pos="2304"/>
                <w:tab w:val="clear" w:pos="2736"/>
              </w:tabs>
              <w:spacing w:before="0" w:after="0"/>
              <w:jc w:val="center"/>
              <w:rPr>
                <w:rFonts w:cs="Times New Roman"/>
                <w:szCs w:val="24"/>
              </w:rPr>
            </w:pPr>
            <w:r w:rsidRPr="00EB3660">
              <w:t>March 23, 2021</w:t>
            </w:r>
          </w:p>
        </w:tc>
        <w:tc>
          <w:tcPr>
            <w:tcW w:w="2414" w:type="dxa"/>
          </w:tcPr>
          <w:p w14:paraId="00234BC1" w14:textId="575C2CAA" w:rsidR="00135FDC" w:rsidRPr="00EB3660"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rPr>
            </w:pPr>
            <w:r w:rsidRPr="00EB3660">
              <w:rPr>
                <w:b/>
                <w:sz w:val="20"/>
              </w:rPr>
              <w:t xml:space="preserve">Date de la </w:t>
            </w:r>
            <w:proofErr w:type="spellStart"/>
            <w:r w:rsidRPr="00EB3660">
              <w:rPr>
                <w:b/>
                <w:sz w:val="20"/>
              </w:rPr>
              <w:t>décision</w:t>
            </w:r>
            <w:proofErr w:type="spellEnd"/>
            <w:r w:rsidRPr="00EB3660">
              <w:rPr>
                <w:b/>
                <w:sz w:val="20"/>
              </w:rPr>
              <w:t xml:space="preserve"> </w:t>
            </w:r>
          </w:p>
        </w:tc>
      </w:tr>
      <w:tr w:rsidR="00EB3660" w:rsidRPr="00EB3660" w14:paraId="3EF5B5C6" w14:textId="651DE807" w:rsidTr="00135FDC">
        <w:trPr>
          <w:cantSplit/>
          <w:trHeight w:val="567"/>
          <w:jc w:val="center"/>
        </w:trPr>
        <w:tc>
          <w:tcPr>
            <w:tcW w:w="2268" w:type="dxa"/>
          </w:tcPr>
          <w:p w14:paraId="542FA2B9"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42828147"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475B483C"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EB3660" w:rsidRPr="00EB3660" w14:paraId="2A4AF7FE" w14:textId="13EEF90C" w:rsidTr="00135FDC">
        <w:trPr>
          <w:cantSplit/>
          <w:trHeight w:val="567"/>
          <w:jc w:val="center"/>
        </w:trPr>
        <w:tc>
          <w:tcPr>
            <w:tcW w:w="2268" w:type="dxa"/>
          </w:tcPr>
          <w:p w14:paraId="734B5394" w14:textId="5C9636C1" w:rsidR="00135FDC" w:rsidRPr="00EB3660" w:rsidRDefault="00135FDC" w:rsidP="00135FDC">
            <w:pPr>
              <w:tabs>
                <w:tab w:val="clear" w:pos="576"/>
                <w:tab w:val="clear" w:pos="1008"/>
                <w:tab w:val="clear" w:pos="1440"/>
                <w:tab w:val="clear" w:pos="1872"/>
                <w:tab w:val="clear" w:pos="2304"/>
                <w:tab w:val="clear" w:pos="2736"/>
              </w:tabs>
              <w:spacing w:before="0" w:after="0"/>
              <w:jc w:val="left"/>
              <w:rPr>
                <w:rFonts w:cs="Times New Roman"/>
                <w:b/>
                <w:sz w:val="20"/>
              </w:rPr>
            </w:pPr>
            <w:r w:rsidRPr="00EB3660">
              <w:rPr>
                <w:b/>
                <w:sz w:val="20"/>
              </w:rPr>
              <w:t>Panel</w:t>
            </w:r>
          </w:p>
        </w:tc>
        <w:tc>
          <w:tcPr>
            <w:tcW w:w="4678" w:type="dxa"/>
          </w:tcPr>
          <w:p w14:paraId="2BD24F20"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center"/>
              <w:rPr>
                <w:rFonts w:cs="Times New Roman"/>
                <w:bCs/>
                <w:szCs w:val="24"/>
              </w:rPr>
            </w:pPr>
            <w:r w:rsidRPr="00EB3660">
              <w:t>Pascale Aubin</w:t>
            </w:r>
          </w:p>
        </w:tc>
        <w:tc>
          <w:tcPr>
            <w:tcW w:w="2414" w:type="dxa"/>
          </w:tcPr>
          <w:p w14:paraId="51D4ED44" w14:textId="32F814DF" w:rsidR="00135FDC" w:rsidRPr="00EB3660"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rPr>
            </w:pPr>
            <w:r w:rsidRPr="00EB3660">
              <w:rPr>
                <w:b/>
                <w:sz w:val="20"/>
              </w:rPr>
              <w:t>Tribunal</w:t>
            </w:r>
          </w:p>
        </w:tc>
      </w:tr>
      <w:tr w:rsidR="00EB3660" w:rsidRPr="00EB3660" w14:paraId="65528B52" w14:textId="709F3479" w:rsidTr="00135FDC">
        <w:trPr>
          <w:cantSplit/>
          <w:trHeight w:val="567"/>
          <w:jc w:val="center"/>
        </w:trPr>
        <w:tc>
          <w:tcPr>
            <w:tcW w:w="2268" w:type="dxa"/>
          </w:tcPr>
          <w:p w14:paraId="19189E85"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60862696" w14:textId="77777777" w:rsidR="00135FDC" w:rsidRPr="00EB3660" w:rsidRDefault="00135FDC" w:rsidP="00135FDC">
            <w:pPr>
              <w:tabs>
                <w:tab w:val="clear" w:pos="576"/>
                <w:tab w:val="clear" w:pos="1008"/>
                <w:tab w:val="clear" w:pos="1440"/>
                <w:tab w:val="clear" w:pos="1872"/>
                <w:tab w:val="clear" w:pos="2304"/>
                <w:tab w:val="clear" w:pos="2736"/>
              </w:tabs>
              <w:spacing w:before="0" w:after="0"/>
              <w:rPr>
                <w:rFonts w:cs="Times New Roman"/>
                <w:bCs/>
                <w:szCs w:val="24"/>
              </w:rPr>
            </w:pPr>
          </w:p>
        </w:tc>
        <w:tc>
          <w:tcPr>
            <w:tcW w:w="2414" w:type="dxa"/>
          </w:tcPr>
          <w:p w14:paraId="26ACFFF1"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EB3660" w:rsidRPr="003669D6" w14:paraId="6A063A8D" w14:textId="55E38F4D" w:rsidTr="00135FDC">
        <w:trPr>
          <w:cantSplit/>
          <w:trHeight w:val="567"/>
          <w:jc w:val="center"/>
        </w:trPr>
        <w:tc>
          <w:tcPr>
            <w:tcW w:w="2268" w:type="dxa"/>
          </w:tcPr>
          <w:p w14:paraId="2AB7BDE7" w14:textId="1D389412" w:rsidR="00135FDC" w:rsidRPr="00EB3660" w:rsidRDefault="00135FDC" w:rsidP="00135FDC">
            <w:pPr>
              <w:tabs>
                <w:tab w:val="clear" w:pos="576"/>
                <w:tab w:val="clear" w:pos="1008"/>
                <w:tab w:val="clear" w:pos="1440"/>
                <w:tab w:val="clear" w:pos="1872"/>
                <w:tab w:val="clear" w:pos="2304"/>
                <w:tab w:val="clear" w:pos="2736"/>
              </w:tabs>
              <w:spacing w:before="0" w:after="0"/>
              <w:jc w:val="left"/>
              <w:rPr>
                <w:rFonts w:cs="Times New Roman"/>
                <w:b/>
                <w:sz w:val="20"/>
              </w:rPr>
            </w:pPr>
            <w:r w:rsidRPr="00EB3660">
              <w:rPr>
                <w:b/>
                <w:sz w:val="20"/>
              </w:rPr>
              <w:t>Counsel for the persons who are the subject of the appeal</w:t>
            </w:r>
          </w:p>
        </w:tc>
        <w:tc>
          <w:tcPr>
            <w:tcW w:w="4678" w:type="dxa"/>
          </w:tcPr>
          <w:p w14:paraId="65FD1D15"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center"/>
              <w:rPr>
                <w:rFonts w:cs="Times New Roman"/>
                <w:bCs/>
                <w:szCs w:val="24"/>
              </w:rPr>
            </w:pPr>
            <w:r w:rsidRPr="00EB3660">
              <w:t xml:space="preserve">Mark </w:t>
            </w:r>
            <w:proofErr w:type="spellStart"/>
            <w:r w:rsidRPr="00EB3660">
              <w:t>Gruszczynski</w:t>
            </w:r>
            <w:proofErr w:type="spellEnd"/>
            <w:r w:rsidRPr="00EB3660">
              <w:t xml:space="preserve"> </w:t>
            </w:r>
          </w:p>
        </w:tc>
        <w:tc>
          <w:tcPr>
            <w:tcW w:w="2414" w:type="dxa"/>
          </w:tcPr>
          <w:p w14:paraId="15FD5325" w14:textId="5A57ABAD" w:rsidR="00135FDC" w:rsidRPr="00BB0BA9" w:rsidRDefault="00135FDC" w:rsidP="00135FDC">
            <w:pPr>
              <w:pStyle w:val="Header"/>
              <w:tabs>
                <w:tab w:val="clear" w:pos="4320"/>
                <w:tab w:val="clear" w:pos="8640"/>
              </w:tabs>
              <w:jc w:val="right"/>
              <w:rPr>
                <w:rFonts w:ascii="Times New Roman" w:hAnsi="Times New Roman"/>
                <w:b/>
                <w:noProof w:val="0"/>
                <w:lang w:val="fr-FR"/>
              </w:rPr>
            </w:pPr>
            <w:r w:rsidRPr="00BB0BA9">
              <w:rPr>
                <w:rFonts w:ascii="Times New Roman" w:hAnsi="Times New Roman"/>
                <w:b/>
                <w:noProof w:val="0"/>
                <w:lang w:val="fr-FR"/>
              </w:rPr>
              <w:t>Conseil des personnes en cause</w:t>
            </w:r>
          </w:p>
        </w:tc>
      </w:tr>
      <w:tr w:rsidR="00EB3660" w:rsidRPr="003669D6" w14:paraId="59FA139F" w14:textId="326B6193" w:rsidTr="00135FDC">
        <w:trPr>
          <w:cantSplit/>
          <w:trHeight w:val="567"/>
          <w:jc w:val="center"/>
        </w:trPr>
        <w:tc>
          <w:tcPr>
            <w:tcW w:w="2268" w:type="dxa"/>
          </w:tcPr>
          <w:p w14:paraId="0C011575" w14:textId="77777777" w:rsidR="00135FDC" w:rsidRPr="00BB0BA9" w:rsidRDefault="00135FDC" w:rsidP="00135FDC">
            <w:pPr>
              <w:tabs>
                <w:tab w:val="clear" w:pos="576"/>
                <w:tab w:val="clear" w:pos="1008"/>
                <w:tab w:val="clear" w:pos="1440"/>
                <w:tab w:val="clear" w:pos="1872"/>
                <w:tab w:val="clear" w:pos="2304"/>
                <w:tab w:val="clear" w:pos="2736"/>
              </w:tabs>
              <w:spacing w:before="0" w:after="0"/>
              <w:jc w:val="left"/>
              <w:rPr>
                <w:rFonts w:cs="Times New Roman"/>
                <w:b/>
                <w:sz w:val="20"/>
                <w:highlight w:val="yellow"/>
                <w:lang w:val="fr-FR"/>
              </w:rPr>
            </w:pPr>
          </w:p>
        </w:tc>
        <w:tc>
          <w:tcPr>
            <w:tcW w:w="4678" w:type="dxa"/>
          </w:tcPr>
          <w:p w14:paraId="20A0E201" w14:textId="77777777" w:rsidR="00135FDC" w:rsidRPr="00BB0BA9" w:rsidRDefault="00135FDC" w:rsidP="00135FDC">
            <w:pPr>
              <w:tabs>
                <w:tab w:val="clear" w:pos="576"/>
                <w:tab w:val="clear" w:pos="1008"/>
                <w:tab w:val="clear" w:pos="1440"/>
                <w:tab w:val="clear" w:pos="1872"/>
                <w:tab w:val="clear" w:pos="2304"/>
                <w:tab w:val="clear" w:pos="2736"/>
              </w:tabs>
              <w:spacing w:before="0" w:after="0"/>
              <w:jc w:val="center"/>
              <w:rPr>
                <w:rFonts w:cs="Times New Roman"/>
                <w:szCs w:val="24"/>
                <w:lang w:val="fr-FR"/>
              </w:rPr>
            </w:pPr>
          </w:p>
        </w:tc>
        <w:tc>
          <w:tcPr>
            <w:tcW w:w="2414" w:type="dxa"/>
          </w:tcPr>
          <w:p w14:paraId="5C8B018B" w14:textId="77777777" w:rsidR="00135FDC" w:rsidRPr="00BB0BA9"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highlight w:val="yellow"/>
                <w:lang w:val="fr-FR"/>
              </w:rPr>
            </w:pPr>
          </w:p>
        </w:tc>
      </w:tr>
      <w:tr w:rsidR="00EB3660" w:rsidRPr="00EB3660" w14:paraId="17E9D71C" w14:textId="5BC713BA" w:rsidTr="00135FDC">
        <w:trPr>
          <w:cantSplit/>
          <w:trHeight w:val="567"/>
          <w:jc w:val="center"/>
        </w:trPr>
        <w:tc>
          <w:tcPr>
            <w:tcW w:w="2268" w:type="dxa"/>
          </w:tcPr>
          <w:p w14:paraId="69CFA216" w14:textId="2C4E8FF1" w:rsidR="00135FDC" w:rsidRPr="00EB3660" w:rsidRDefault="00135FDC" w:rsidP="00135FDC">
            <w:pPr>
              <w:tabs>
                <w:tab w:val="clear" w:pos="576"/>
                <w:tab w:val="clear" w:pos="1008"/>
                <w:tab w:val="clear" w:pos="1440"/>
                <w:tab w:val="clear" w:pos="1872"/>
                <w:tab w:val="clear" w:pos="2304"/>
                <w:tab w:val="clear" w:pos="2736"/>
              </w:tabs>
              <w:spacing w:before="0" w:after="0"/>
              <w:jc w:val="left"/>
              <w:rPr>
                <w:rFonts w:cs="Times New Roman"/>
                <w:b/>
                <w:sz w:val="20"/>
              </w:rPr>
            </w:pPr>
            <w:r w:rsidRPr="00EB3660">
              <w:rPr>
                <w:b/>
                <w:sz w:val="20"/>
              </w:rPr>
              <w:t>Designated representative</w:t>
            </w:r>
          </w:p>
        </w:tc>
        <w:tc>
          <w:tcPr>
            <w:tcW w:w="4678" w:type="dxa"/>
          </w:tcPr>
          <w:p w14:paraId="5D8A1256" w14:textId="32915072" w:rsidR="00135FDC" w:rsidRPr="003669D6" w:rsidRDefault="003669D6" w:rsidP="00135FDC">
            <w:pPr>
              <w:tabs>
                <w:tab w:val="clear" w:pos="576"/>
                <w:tab w:val="clear" w:pos="1008"/>
                <w:tab w:val="clear" w:pos="1440"/>
                <w:tab w:val="clear" w:pos="1872"/>
                <w:tab w:val="clear" w:pos="2304"/>
                <w:tab w:val="clear" w:pos="2736"/>
              </w:tabs>
              <w:spacing w:before="0" w:after="0"/>
              <w:jc w:val="center"/>
              <w:rPr>
                <w:rFonts w:cs="Times New Roman"/>
                <w:bCs/>
                <w:szCs w:val="24"/>
              </w:rPr>
            </w:pPr>
            <w:r>
              <w:t xml:space="preserve">XXXX </w:t>
            </w:r>
            <w:proofErr w:type="spellStart"/>
            <w:r>
              <w:t>XXXX</w:t>
            </w:r>
            <w:proofErr w:type="spellEnd"/>
          </w:p>
        </w:tc>
        <w:tc>
          <w:tcPr>
            <w:tcW w:w="2414" w:type="dxa"/>
          </w:tcPr>
          <w:p w14:paraId="7F4CA56D" w14:textId="35EDE250" w:rsidR="00135FDC" w:rsidRPr="00EB3660"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rPr>
            </w:pPr>
            <w:proofErr w:type="spellStart"/>
            <w:r w:rsidRPr="00EB3660">
              <w:rPr>
                <w:b/>
                <w:sz w:val="20"/>
              </w:rPr>
              <w:t>Représentant</w:t>
            </w:r>
            <w:proofErr w:type="spellEnd"/>
            <w:r w:rsidRPr="00EB3660">
              <w:rPr>
                <w:b/>
                <w:sz w:val="20"/>
              </w:rPr>
              <w:t xml:space="preserve">(e) </w:t>
            </w:r>
            <w:proofErr w:type="spellStart"/>
            <w:r w:rsidRPr="00EB3660">
              <w:rPr>
                <w:b/>
                <w:sz w:val="20"/>
              </w:rPr>
              <w:t>désigné</w:t>
            </w:r>
            <w:proofErr w:type="spellEnd"/>
            <w:r w:rsidRPr="00EB3660">
              <w:rPr>
                <w:b/>
                <w:sz w:val="20"/>
              </w:rPr>
              <w:t>(e)</w:t>
            </w:r>
          </w:p>
        </w:tc>
      </w:tr>
      <w:tr w:rsidR="00EB3660" w:rsidRPr="00EB3660" w14:paraId="54D885A9" w14:textId="3A734527" w:rsidTr="00135FDC">
        <w:trPr>
          <w:cantSplit/>
          <w:trHeight w:val="567"/>
          <w:jc w:val="center"/>
        </w:trPr>
        <w:tc>
          <w:tcPr>
            <w:tcW w:w="2268" w:type="dxa"/>
          </w:tcPr>
          <w:p w14:paraId="00EE04D9" w14:textId="77777777" w:rsidR="00135FDC" w:rsidRPr="00EB3660" w:rsidRDefault="00135FDC" w:rsidP="00135FDC">
            <w:pPr>
              <w:tabs>
                <w:tab w:val="clear" w:pos="576"/>
                <w:tab w:val="clear" w:pos="1008"/>
                <w:tab w:val="clear" w:pos="1440"/>
                <w:tab w:val="clear" w:pos="1872"/>
                <w:tab w:val="clear" w:pos="2304"/>
                <w:tab w:val="clear" w:pos="2736"/>
              </w:tabs>
              <w:spacing w:before="0" w:after="0"/>
              <w:rPr>
                <w:rFonts w:cs="Times New Roman"/>
                <w:b/>
                <w:sz w:val="20"/>
              </w:rPr>
            </w:pPr>
          </w:p>
        </w:tc>
        <w:tc>
          <w:tcPr>
            <w:tcW w:w="4678" w:type="dxa"/>
          </w:tcPr>
          <w:p w14:paraId="463CAABC"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7330BB10"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EB3660" w:rsidRPr="00EB3660" w14:paraId="2A38002D" w14:textId="2F85431C" w:rsidTr="00135FDC">
        <w:trPr>
          <w:cantSplit/>
          <w:trHeight w:val="567"/>
          <w:jc w:val="center"/>
        </w:trPr>
        <w:tc>
          <w:tcPr>
            <w:tcW w:w="2268" w:type="dxa"/>
          </w:tcPr>
          <w:p w14:paraId="118C891A" w14:textId="670FCBBE" w:rsidR="00135FDC" w:rsidRPr="00EB3660" w:rsidRDefault="00135FDC" w:rsidP="00135FDC">
            <w:pPr>
              <w:tabs>
                <w:tab w:val="clear" w:pos="576"/>
                <w:tab w:val="clear" w:pos="1008"/>
                <w:tab w:val="clear" w:pos="1440"/>
                <w:tab w:val="clear" w:pos="1872"/>
                <w:tab w:val="clear" w:pos="2304"/>
                <w:tab w:val="clear" w:pos="2736"/>
              </w:tabs>
              <w:spacing w:before="0" w:after="0"/>
              <w:jc w:val="left"/>
              <w:rPr>
                <w:rFonts w:cs="Times New Roman"/>
                <w:b/>
                <w:sz w:val="20"/>
              </w:rPr>
            </w:pPr>
            <w:r w:rsidRPr="00EB3660">
              <w:rPr>
                <w:b/>
                <w:sz w:val="20"/>
              </w:rPr>
              <w:t>Counsel for the Minister</w:t>
            </w:r>
          </w:p>
        </w:tc>
        <w:tc>
          <w:tcPr>
            <w:tcW w:w="4678" w:type="dxa"/>
          </w:tcPr>
          <w:p w14:paraId="577462B7" w14:textId="3987B9A0" w:rsidR="00135FDC" w:rsidRPr="00EB3660" w:rsidRDefault="00135FDC" w:rsidP="00135FDC">
            <w:pPr>
              <w:tabs>
                <w:tab w:val="clear" w:pos="576"/>
                <w:tab w:val="clear" w:pos="1008"/>
                <w:tab w:val="clear" w:pos="1440"/>
                <w:tab w:val="clear" w:pos="1872"/>
                <w:tab w:val="clear" w:pos="2304"/>
                <w:tab w:val="clear" w:pos="2736"/>
              </w:tabs>
              <w:spacing w:before="0" w:after="0"/>
              <w:jc w:val="center"/>
              <w:rPr>
                <w:rFonts w:cs="Times New Roman"/>
                <w:szCs w:val="24"/>
              </w:rPr>
            </w:pPr>
            <w:r w:rsidRPr="00EB3660">
              <w:t>N/A</w:t>
            </w:r>
          </w:p>
        </w:tc>
        <w:tc>
          <w:tcPr>
            <w:tcW w:w="2414" w:type="dxa"/>
          </w:tcPr>
          <w:p w14:paraId="266C4B09" w14:textId="46D833CF" w:rsidR="00135FDC" w:rsidRPr="00EB3660"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rPr>
            </w:pPr>
            <w:r w:rsidRPr="00EB3660">
              <w:rPr>
                <w:b/>
                <w:sz w:val="20"/>
              </w:rPr>
              <w:t xml:space="preserve">Conseil du </w:t>
            </w:r>
            <w:proofErr w:type="spellStart"/>
            <w:r w:rsidRPr="00EB3660">
              <w:rPr>
                <w:b/>
                <w:sz w:val="20"/>
              </w:rPr>
              <w:t>ministre</w:t>
            </w:r>
            <w:proofErr w:type="spellEnd"/>
          </w:p>
        </w:tc>
      </w:tr>
      <w:tr w:rsidR="00EB3660" w:rsidRPr="00EB3660" w14:paraId="634BFE2D" w14:textId="23876526" w:rsidTr="00135FDC">
        <w:trPr>
          <w:cantSplit/>
          <w:trHeight w:val="567"/>
          <w:jc w:val="center"/>
        </w:trPr>
        <w:tc>
          <w:tcPr>
            <w:tcW w:w="2268" w:type="dxa"/>
          </w:tcPr>
          <w:p w14:paraId="416B7E30" w14:textId="77777777" w:rsidR="00135FDC" w:rsidRPr="00EB3660" w:rsidRDefault="00135FDC" w:rsidP="00135FDC">
            <w:pPr>
              <w:tabs>
                <w:tab w:val="clear" w:pos="576"/>
                <w:tab w:val="clear" w:pos="1008"/>
                <w:tab w:val="clear" w:pos="1440"/>
                <w:tab w:val="clear" w:pos="1872"/>
                <w:tab w:val="clear" w:pos="2304"/>
                <w:tab w:val="clear" w:pos="2736"/>
              </w:tabs>
              <w:spacing w:before="0" w:after="0"/>
              <w:rPr>
                <w:rFonts w:cs="Times New Roman"/>
                <w:b/>
                <w:sz w:val="20"/>
              </w:rPr>
            </w:pPr>
          </w:p>
        </w:tc>
        <w:tc>
          <w:tcPr>
            <w:tcW w:w="4678" w:type="dxa"/>
          </w:tcPr>
          <w:p w14:paraId="53D4C7FC"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2414" w:type="dxa"/>
          </w:tcPr>
          <w:p w14:paraId="1C402438" w14:textId="77777777" w:rsidR="00135FDC" w:rsidRPr="00EB3660" w:rsidRDefault="00135FDC" w:rsidP="00135FDC">
            <w:pPr>
              <w:tabs>
                <w:tab w:val="clear" w:pos="576"/>
                <w:tab w:val="clear" w:pos="1008"/>
                <w:tab w:val="clear" w:pos="1440"/>
                <w:tab w:val="clear" w:pos="1872"/>
                <w:tab w:val="clear" w:pos="2304"/>
                <w:tab w:val="clear" w:pos="2736"/>
              </w:tabs>
              <w:spacing w:before="0" w:after="0"/>
              <w:jc w:val="right"/>
              <w:rPr>
                <w:rFonts w:cs="Times New Roman"/>
                <w:b/>
                <w:sz w:val="20"/>
              </w:rPr>
            </w:pPr>
          </w:p>
        </w:tc>
      </w:tr>
    </w:tbl>
    <w:p w14:paraId="7562F0D7" w14:textId="77777777" w:rsidR="008B5E77" w:rsidRPr="00EB3660" w:rsidRDefault="008B5E77">
      <w:pPr>
        <w:tabs>
          <w:tab w:val="clear" w:pos="576"/>
          <w:tab w:val="clear" w:pos="1008"/>
          <w:tab w:val="clear" w:pos="1440"/>
          <w:tab w:val="clear" w:pos="1872"/>
          <w:tab w:val="clear" w:pos="2304"/>
          <w:tab w:val="clear" w:pos="2736"/>
        </w:tabs>
        <w:spacing w:before="0" w:after="160" w:line="259" w:lineRule="auto"/>
        <w:jc w:val="left"/>
        <w:rPr>
          <w:rFonts w:cs="Times New Roman"/>
        </w:rPr>
      </w:pPr>
      <w:r w:rsidRPr="00EB3660">
        <w:br w:type="page"/>
      </w:r>
    </w:p>
    <w:p w14:paraId="6FBE68E8" w14:textId="77777777" w:rsidR="00B10E82" w:rsidRPr="00EB3660" w:rsidRDefault="00B10E82" w:rsidP="005917D9">
      <w:pPr>
        <w:spacing w:before="0" w:after="0"/>
      </w:pPr>
    </w:p>
    <w:p w14:paraId="76CB6F69" w14:textId="77777777" w:rsidR="00B10E82" w:rsidRPr="00EB3660" w:rsidRDefault="00B10E82" w:rsidP="005917D9">
      <w:pPr>
        <w:spacing w:before="0" w:after="0"/>
      </w:pPr>
    </w:p>
    <w:p w14:paraId="757DF4F8" w14:textId="77777777" w:rsidR="00B646B0" w:rsidRPr="00EB3660" w:rsidRDefault="00B646B0" w:rsidP="006E5528">
      <w:pPr>
        <w:pStyle w:val="Heading3"/>
        <w:spacing w:before="0" w:after="360" w:line="360" w:lineRule="auto"/>
        <w:jc w:val="center"/>
        <w:rPr>
          <w:rFonts w:ascii="Times New Roman" w:hAnsi="Times New Roman" w:cs="Times New Roman"/>
          <w:b/>
          <w:sz w:val="28"/>
          <w:szCs w:val="28"/>
        </w:rPr>
      </w:pPr>
      <w:r w:rsidRPr="00EB3660">
        <w:rPr>
          <w:rFonts w:ascii="Times New Roman" w:hAnsi="Times New Roman"/>
          <w:b/>
          <w:sz w:val="28"/>
        </w:rPr>
        <w:t>REASONS FOR DECISION</w:t>
      </w:r>
    </w:p>
    <w:p w14:paraId="7C2BC899" w14:textId="77777777" w:rsidR="004D5697" w:rsidRPr="00EB3660" w:rsidRDefault="00743B41" w:rsidP="006E5528">
      <w:pPr>
        <w:tabs>
          <w:tab w:val="clear" w:pos="576"/>
          <w:tab w:val="clear" w:pos="1008"/>
          <w:tab w:val="left" w:pos="0"/>
          <w:tab w:val="left" w:pos="5040"/>
        </w:tabs>
        <w:spacing w:before="0" w:line="360" w:lineRule="auto"/>
        <w:jc w:val="left"/>
        <w:outlineLvl w:val="2"/>
        <w:rPr>
          <w:rFonts w:cs="Times New Roman"/>
          <w:b/>
          <w:szCs w:val="24"/>
        </w:rPr>
      </w:pPr>
      <w:r w:rsidRPr="00EB3660">
        <w:rPr>
          <w:b/>
        </w:rPr>
        <w:t>OVERVIEW</w:t>
      </w:r>
    </w:p>
    <w:p w14:paraId="429F1FED" w14:textId="77777777" w:rsidR="009B67CD" w:rsidRPr="00EB3660" w:rsidRDefault="001728B7"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I dismiss the appeal.</w:t>
      </w:r>
    </w:p>
    <w:p w14:paraId="36BB9530" w14:textId="1922C111" w:rsidR="001728B7" w:rsidRPr="00EB3660" w:rsidRDefault="003669D6"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Pr>
          <w:rFonts w:ascii="Times New Roman" w:hAnsi="Times New Roman"/>
          <w:b/>
          <w:sz w:val="24"/>
        </w:rPr>
        <w:t xml:space="preserve">XXXX </w:t>
      </w:r>
      <w:proofErr w:type="spellStart"/>
      <w:r>
        <w:rPr>
          <w:rFonts w:ascii="Times New Roman" w:hAnsi="Times New Roman"/>
          <w:b/>
          <w:sz w:val="24"/>
        </w:rPr>
        <w:t>XXXX</w:t>
      </w:r>
      <w:proofErr w:type="spellEnd"/>
      <w:r w:rsidR="003E4148" w:rsidRPr="00EB3660">
        <w:rPr>
          <w:rFonts w:ascii="Times New Roman" w:hAnsi="Times New Roman"/>
          <w:sz w:val="24"/>
        </w:rPr>
        <w:t>, the principal appellant, and </w:t>
      </w:r>
      <w:r>
        <w:rPr>
          <w:rFonts w:ascii="Times New Roman" w:hAnsi="Times New Roman"/>
          <w:b/>
          <w:sz w:val="24"/>
        </w:rPr>
        <w:t xml:space="preserve">XXXX </w:t>
      </w:r>
      <w:proofErr w:type="spellStart"/>
      <w:r>
        <w:rPr>
          <w:rFonts w:ascii="Times New Roman" w:hAnsi="Times New Roman"/>
          <w:b/>
          <w:sz w:val="24"/>
        </w:rPr>
        <w:t>XXXX</w:t>
      </w:r>
      <w:proofErr w:type="spellEnd"/>
      <w:r w:rsidR="003E4148" w:rsidRPr="00EB3660">
        <w:rPr>
          <w:rFonts w:ascii="Times New Roman" w:hAnsi="Times New Roman"/>
          <w:sz w:val="24"/>
        </w:rPr>
        <w:t xml:space="preserve">, the associate appellant, are citizens of Haiti, </w:t>
      </w:r>
      <w:r w:rsidR="00F7725C" w:rsidRPr="00EB3660">
        <w:rPr>
          <w:rFonts w:ascii="Times New Roman" w:hAnsi="Times New Roman"/>
          <w:sz w:val="24"/>
        </w:rPr>
        <w:t xml:space="preserve">while </w:t>
      </w:r>
      <w:r>
        <w:rPr>
          <w:rFonts w:ascii="Times New Roman" w:hAnsi="Times New Roman"/>
          <w:b/>
          <w:sz w:val="24"/>
        </w:rPr>
        <w:t xml:space="preserve">XXXX </w:t>
      </w:r>
      <w:proofErr w:type="spellStart"/>
      <w:r>
        <w:rPr>
          <w:rFonts w:ascii="Times New Roman" w:hAnsi="Times New Roman"/>
          <w:b/>
          <w:sz w:val="24"/>
        </w:rPr>
        <w:t>XXXX</w:t>
      </w:r>
      <w:proofErr w:type="spellEnd"/>
      <w:r>
        <w:rPr>
          <w:rFonts w:ascii="Times New Roman" w:hAnsi="Times New Roman"/>
          <w:b/>
          <w:sz w:val="24"/>
        </w:rPr>
        <w:t xml:space="preserve"> </w:t>
      </w:r>
      <w:proofErr w:type="spellStart"/>
      <w:r>
        <w:rPr>
          <w:rFonts w:ascii="Times New Roman" w:hAnsi="Times New Roman"/>
          <w:b/>
          <w:sz w:val="24"/>
        </w:rPr>
        <w:t>XXXX</w:t>
      </w:r>
      <w:proofErr w:type="spellEnd"/>
      <w:r w:rsidR="00F7725C" w:rsidRPr="00EB3660">
        <w:rPr>
          <w:rFonts w:ascii="Times New Roman" w:hAnsi="Times New Roman"/>
          <w:sz w:val="24"/>
        </w:rPr>
        <w:t xml:space="preserve"> and</w:t>
      </w:r>
      <w:r w:rsidR="003E4148" w:rsidRPr="00EB3660">
        <w:rPr>
          <w:rFonts w:ascii="Times New Roman" w:hAnsi="Times New Roman"/>
          <w:sz w:val="24"/>
        </w:rPr>
        <w:t> </w:t>
      </w:r>
      <w:r>
        <w:rPr>
          <w:rFonts w:ascii="Times New Roman" w:hAnsi="Times New Roman"/>
          <w:b/>
          <w:sz w:val="24"/>
        </w:rPr>
        <w:t xml:space="preserve">XXXX </w:t>
      </w:r>
      <w:proofErr w:type="spellStart"/>
      <w:r>
        <w:rPr>
          <w:rFonts w:ascii="Times New Roman" w:hAnsi="Times New Roman"/>
          <w:b/>
          <w:sz w:val="24"/>
        </w:rPr>
        <w:t>XXXX</w:t>
      </w:r>
      <w:proofErr w:type="spellEnd"/>
      <w:r w:rsidR="003E4148" w:rsidRPr="00EB3660">
        <w:rPr>
          <w:rFonts w:ascii="Times New Roman" w:hAnsi="Times New Roman"/>
          <w:b/>
          <w:sz w:val="24"/>
        </w:rPr>
        <w:t xml:space="preserve"> </w:t>
      </w:r>
      <w:proofErr w:type="spellStart"/>
      <w:r>
        <w:rPr>
          <w:rFonts w:ascii="Times New Roman" w:hAnsi="Times New Roman"/>
          <w:b/>
          <w:sz w:val="24"/>
        </w:rPr>
        <w:t>XXXX</w:t>
      </w:r>
      <w:proofErr w:type="spellEnd"/>
      <w:r w:rsidR="003E4148" w:rsidRPr="00EB3660">
        <w:rPr>
          <w:rFonts w:ascii="Times New Roman" w:hAnsi="Times New Roman"/>
          <w:sz w:val="24"/>
        </w:rPr>
        <w:t>, the minor associate appellants, are citizens of Brazil.</w:t>
      </w:r>
    </w:p>
    <w:p w14:paraId="60ECB0F9" w14:textId="1B2012AE" w:rsidR="009B67CD" w:rsidRPr="00EB3660" w:rsidRDefault="009B67CD" w:rsidP="006E5528">
      <w:pPr>
        <w:pStyle w:val="ListParagraph"/>
        <w:numPr>
          <w:ilvl w:val="0"/>
          <w:numId w:val="1"/>
        </w:numPr>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The </w:t>
      </w:r>
      <w:r w:rsidR="00F7725C" w:rsidRPr="00EB3660">
        <w:rPr>
          <w:rFonts w:ascii="Times New Roman" w:hAnsi="Times New Roman"/>
          <w:sz w:val="24"/>
        </w:rPr>
        <w:t xml:space="preserve">male </w:t>
      </w:r>
      <w:r w:rsidRPr="00EB3660">
        <w:rPr>
          <w:rFonts w:ascii="Times New Roman" w:hAnsi="Times New Roman"/>
          <w:sz w:val="24"/>
        </w:rPr>
        <w:t xml:space="preserve">appellant alleges </w:t>
      </w:r>
      <w:r w:rsidR="001744DA" w:rsidRPr="00EB3660">
        <w:rPr>
          <w:rFonts w:ascii="Times New Roman" w:hAnsi="Times New Roman"/>
          <w:sz w:val="24"/>
        </w:rPr>
        <w:t xml:space="preserve">that he </w:t>
      </w:r>
      <w:r w:rsidRPr="00EB3660">
        <w:rPr>
          <w:rFonts w:ascii="Times New Roman" w:hAnsi="Times New Roman"/>
          <w:sz w:val="24"/>
        </w:rPr>
        <w:t xml:space="preserve">encountered problems </w:t>
      </w:r>
      <w:r w:rsidR="00AD3196">
        <w:rPr>
          <w:rFonts w:ascii="Times New Roman" w:hAnsi="Times New Roman"/>
          <w:sz w:val="24"/>
        </w:rPr>
        <w:t xml:space="preserve">as a result of </w:t>
      </w:r>
      <w:r w:rsidRPr="00EB3660">
        <w:rPr>
          <w:rFonts w:ascii="Times New Roman" w:hAnsi="Times New Roman"/>
          <w:sz w:val="24"/>
        </w:rPr>
        <w:t xml:space="preserve">a land dispute and </w:t>
      </w:r>
      <w:r w:rsidR="00403446" w:rsidRPr="00EB3660">
        <w:rPr>
          <w:rFonts w:ascii="Times New Roman" w:hAnsi="Times New Roman"/>
          <w:sz w:val="24"/>
        </w:rPr>
        <w:t>of</w:t>
      </w:r>
      <w:r w:rsidRPr="00EB3660">
        <w:rPr>
          <w:rFonts w:ascii="Times New Roman" w:hAnsi="Times New Roman"/>
          <w:sz w:val="24"/>
        </w:rPr>
        <w:t xml:space="preserve"> his and his </w:t>
      </w:r>
      <w:r w:rsidR="00AD3196">
        <w:rPr>
          <w:rFonts w:ascii="Times New Roman" w:hAnsi="Times New Roman"/>
          <w:sz w:val="24"/>
        </w:rPr>
        <w:t xml:space="preserve">father’s </w:t>
      </w:r>
      <w:r w:rsidRPr="00EB3660">
        <w:rPr>
          <w:rFonts w:ascii="Times New Roman" w:hAnsi="Times New Roman"/>
          <w:sz w:val="24"/>
        </w:rPr>
        <w:t>political involvement. He was allegedly persecuted by his father</w:t>
      </w:r>
      <w:r w:rsidR="00EB3660" w:rsidRPr="00EB3660">
        <w:rPr>
          <w:rFonts w:ascii="Times New Roman" w:hAnsi="Times New Roman"/>
          <w:sz w:val="24"/>
        </w:rPr>
        <w:t>’</w:t>
      </w:r>
      <w:r w:rsidRPr="00EB3660">
        <w:rPr>
          <w:rFonts w:ascii="Times New Roman" w:hAnsi="Times New Roman"/>
          <w:sz w:val="24"/>
        </w:rPr>
        <w:t xml:space="preserve">s rival and by a group of criminals </w:t>
      </w:r>
      <w:r w:rsidR="00403446" w:rsidRPr="00EB3660">
        <w:rPr>
          <w:rFonts w:ascii="Times New Roman" w:hAnsi="Times New Roman"/>
          <w:sz w:val="24"/>
        </w:rPr>
        <w:t xml:space="preserve">known as </w:t>
      </w:r>
      <w:r w:rsidRPr="00EB3660">
        <w:rPr>
          <w:rFonts w:ascii="Times New Roman" w:hAnsi="Times New Roman"/>
          <w:sz w:val="24"/>
        </w:rPr>
        <w:t xml:space="preserve">Groupe 72, </w:t>
      </w:r>
      <w:r w:rsidR="00A46B96">
        <w:rPr>
          <w:rFonts w:ascii="Times New Roman" w:hAnsi="Times New Roman"/>
          <w:sz w:val="24"/>
        </w:rPr>
        <w:t>led</w:t>
      </w:r>
      <w:r w:rsidRPr="00EB3660">
        <w:rPr>
          <w:rFonts w:ascii="Times New Roman" w:hAnsi="Times New Roman"/>
          <w:sz w:val="24"/>
        </w:rPr>
        <w:t xml:space="preserve"> by the </w:t>
      </w:r>
      <w:r w:rsidR="00703677" w:rsidRPr="00EB3660">
        <w:rPr>
          <w:rFonts w:ascii="Times New Roman" w:hAnsi="Times New Roman"/>
          <w:sz w:val="24"/>
        </w:rPr>
        <w:t xml:space="preserve">male </w:t>
      </w:r>
      <w:r w:rsidRPr="00EB3660">
        <w:rPr>
          <w:rFonts w:ascii="Times New Roman" w:hAnsi="Times New Roman"/>
          <w:sz w:val="24"/>
        </w:rPr>
        <w:t>appellant</w:t>
      </w:r>
      <w:r w:rsidR="00EB3660" w:rsidRPr="00EB3660">
        <w:rPr>
          <w:rFonts w:ascii="Times New Roman" w:hAnsi="Times New Roman"/>
          <w:sz w:val="24"/>
        </w:rPr>
        <w:t>’</w:t>
      </w:r>
      <w:r w:rsidRPr="00EB3660">
        <w:rPr>
          <w:rFonts w:ascii="Times New Roman" w:hAnsi="Times New Roman"/>
          <w:sz w:val="24"/>
        </w:rPr>
        <w:t xml:space="preserve">s </w:t>
      </w:r>
      <w:r w:rsidR="003669D6">
        <w:rPr>
          <w:rFonts w:ascii="Times New Roman" w:hAnsi="Times New Roman"/>
          <w:sz w:val="24"/>
        </w:rPr>
        <w:t>XXXX</w:t>
      </w:r>
      <w:r w:rsidRPr="00EB3660">
        <w:rPr>
          <w:rFonts w:ascii="Times New Roman" w:hAnsi="Times New Roman"/>
          <w:sz w:val="24"/>
        </w:rPr>
        <w:t>.</w:t>
      </w:r>
    </w:p>
    <w:p w14:paraId="734E2D53" w14:textId="2557D0BA" w:rsidR="009B67CD" w:rsidRPr="00EB3660" w:rsidRDefault="009B67CD" w:rsidP="006E5528">
      <w:pPr>
        <w:pStyle w:val="ListParagraph"/>
        <w:numPr>
          <w:ilvl w:val="0"/>
          <w:numId w:val="1"/>
        </w:numPr>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In </w:t>
      </w:r>
      <w:r w:rsidR="003669D6">
        <w:rPr>
          <w:rFonts w:ascii="Times New Roman" w:hAnsi="Times New Roman"/>
          <w:sz w:val="24"/>
        </w:rPr>
        <w:t>XXXX</w:t>
      </w:r>
      <w:r w:rsidRPr="00EB3660">
        <w:rPr>
          <w:rFonts w:ascii="Times New Roman" w:hAnsi="Times New Roman"/>
          <w:sz w:val="24"/>
        </w:rPr>
        <w:t xml:space="preserve"> 2013, the </w:t>
      </w:r>
      <w:r w:rsidR="00703677" w:rsidRPr="00EB3660">
        <w:rPr>
          <w:rFonts w:ascii="Times New Roman" w:hAnsi="Times New Roman"/>
          <w:sz w:val="24"/>
        </w:rPr>
        <w:t xml:space="preserve">male </w:t>
      </w:r>
      <w:r w:rsidRPr="00EB3660">
        <w:rPr>
          <w:rFonts w:ascii="Times New Roman" w:hAnsi="Times New Roman"/>
          <w:sz w:val="24"/>
        </w:rPr>
        <w:t>appellant left Haiti for Brazil. Following his departure, these same criminals allegedly continued to persecute his family in Haiti.</w:t>
      </w:r>
    </w:p>
    <w:p w14:paraId="192DC66F" w14:textId="2ECAA546" w:rsidR="009B67CD" w:rsidRPr="00EB3660" w:rsidRDefault="009B67CD" w:rsidP="006E5528">
      <w:pPr>
        <w:pStyle w:val="ListParagraph"/>
        <w:numPr>
          <w:ilvl w:val="0"/>
          <w:numId w:val="1"/>
        </w:numPr>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His father filed a complaint against Groupe 72, but a warrant was issued against his father for defamation. His father then filed a </w:t>
      </w:r>
      <w:r w:rsidR="00C736DD">
        <w:rPr>
          <w:rFonts w:ascii="Times New Roman" w:hAnsi="Times New Roman"/>
          <w:sz w:val="24"/>
        </w:rPr>
        <w:t>report</w:t>
      </w:r>
      <w:r w:rsidRPr="00EB3660">
        <w:rPr>
          <w:rFonts w:ascii="Times New Roman" w:hAnsi="Times New Roman"/>
          <w:sz w:val="24"/>
        </w:rPr>
        <w:t xml:space="preserve"> against the judge.</w:t>
      </w:r>
    </w:p>
    <w:p w14:paraId="0C225EC7" w14:textId="5A4DE13D" w:rsidR="009B67CD" w:rsidRPr="00EB3660" w:rsidRDefault="00446382" w:rsidP="006E5528">
      <w:pPr>
        <w:pStyle w:val="ListParagraph"/>
        <w:numPr>
          <w:ilvl w:val="0"/>
          <w:numId w:val="1"/>
        </w:numPr>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In Brazil, the </w:t>
      </w:r>
      <w:r w:rsidR="0027642A" w:rsidRPr="00EB3660">
        <w:rPr>
          <w:rFonts w:ascii="Times New Roman" w:hAnsi="Times New Roman"/>
          <w:sz w:val="24"/>
        </w:rPr>
        <w:t xml:space="preserve">male </w:t>
      </w:r>
      <w:r w:rsidRPr="00EB3660">
        <w:rPr>
          <w:rFonts w:ascii="Times New Roman" w:hAnsi="Times New Roman"/>
          <w:sz w:val="24"/>
        </w:rPr>
        <w:t>appellant was assaulted and threatened by criminals for refusing to join their group.</w:t>
      </w:r>
    </w:p>
    <w:p w14:paraId="1D9AB297" w14:textId="141F478E" w:rsidR="009B67CD" w:rsidRPr="00EB3660" w:rsidRDefault="002D2283" w:rsidP="006E5528">
      <w:pPr>
        <w:pStyle w:val="ListParagraph"/>
        <w:numPr>
          <w:ilvl w:val="0"/>
          <w:numId w:val="1"/>
        </w:numPr>
        <w:spacing w:before="240" w:after="240" w:line="360" w:lineRule="auto"/>
        <w:ind w:left="0" w:firstLine="0"/>
        <w:rPr>
          <w:rFonts w:ascii="Times New Roman" w:hAnsi="Times New Roman"/>
          <w:sz w:val="24"/>
          <w:szCs w:val="24"/>
        </w:rPr>
      </w:pPr>
      <w:r w:rsidRPr="00EB3660">
        <w:rPr>
          <w:rFonts w:ascii="Times New Roman" w:hAnsi="Times New Roman"/>
          <w:sz w:val="24"/>
        </w:rPr>
        <w:t>In 2016</w:t>
      </w:r>
      <w:r w:rsidR="009B67CD" w:rsidRPr="00EB3660">
        <w:rPr>
          <w:rFonts w:ascii="Times New Roman" w:hAnsi="Times New Roman"/>
          <w:sz w:val="24"/>
        </w:rPr>
        <w:t xml:space="preserve">, </w:t>
      </w:r>
      <w:r w:rsidR="001537AA">
        <w:rPr>
          <w:rFonts w:ascii="Times New Roman" w:hAnsi="Times New Roman"/>
          <w:sz w:val="24"/>
        </w:rPr>
        <w:t>because of</w:t>
      </w:r>
      <w:r w:rsidR="009B67CD" w:rsidRPr="00EB3660">
        <w:rPr>
          <w:rFonts w:ascii="Times New Roman" w:hAnsi="Times New Roman"/>
          <w:sz w:val="24"/>
        </w:rPr>
        <w:t xml:space="preserve"> the violence and prejudice against Haitians, the appellan</w:t>
      </w:r>
      <w:r w:rsidR="000E1CD6">
        <w:rPr>
          <w:rFonts w:ascii="Times New Roman" w:hAnsi="Times New Roman"/>
          <w:sz w:val="24"/>
        </w:rPr>
        <w:t>ts</w:t>
      </w:r>
      <w:r w:rsidR="009B67CD" w:rsidRPr="00EB3660">
        <w:rPr>
          <w:rFonts w:ascii="Times New Roman" w:hAnsi="Times New Roman"/>
          <w:sz w:val="24"/>
        </w:rPr>
        <w:t xml:space="preserve"> and </w:t>
      </w:r>
      <w:r w:rsidR="0029064B">
        <w:rPr>
          <w:rFonts w:ascii="Times New Roman" w:hAnsi="Times New Roman"/>
          <w:sz w:val="24"/>
        </w:rPr>
        <w:t xml:space="preserve">their </w:t>
      </w:r>
      <w:r w:rsidR="009B67CD" w:rsidRPr="00EB3660">
        <w:rPr>
          <w:rFonts w:ascii="Times New Roman" w:hAnsi="Times New Roman"/>
          <w:sz w:val="24"/>
        </w:rPr>
        <w:t>children left Brazil, travelling through several countries in order to reach the United States</w:t>
      </w:r>
      <w:r w:rsidRPr="00EB3660">
        <w:rPr>
          <w:rFonts w:ascii="Times New Roman" w:hAnsi="Times New Roman"/>
          <w:sz w:val="24"/>
        </w:rPr>
        <w:t> </w:t>
      </w:r>
      <w:r w:rsidR="009B67CD" w:rsidRPr="00EB3660">
        <w:rPr>
          <w:rFonts w:ascii="Times New Roman" w:hAnsi="Times New Roman"/>
          <w:sz w:val="24"/>
        </w:rPr>
        <w:t>(US).</w:t>
      </w:r>
    </w:p>
    <w:p w14:paraId="111524C1" w14:textId="5753BBAF" w:rsidR="009B67CD" w:rsidRPr="00EB3660" w:rsidRDefault="009B67CD" w:rsidP="006E5528">
      <w:pPr>
        <w:pStyle w:val="ListParagraph"/>
        <w:numPr>
          <w:ilvl w:val="0"/>
          <w:numId w:val="1"/>
        </w:numPr>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In </w:t>
      </w:r>
      <w:r w:rsidR="003669D6">
        <w:rPr>
          <w:rFonts w:ascii="Times New Roman" w:hAnsi="Times New Roman"/>
          <w:sz w:val="24"/>
        </w:rPr>
        <w:t>XXXX</w:t>
      </w:r>
      <w:r w:rsidRPr="00EB3660">
        <w:rPr>
          <w:rFonts w:ascii="Times New Roman" w:hAnsi="Times New Roman"/>
          <w:sz w:val="24"/>
        </w:rPr>
        <w:t xml:space="preserve"> 2017, </w:t>
      </w:r>
      <w:r w:rsidR="0027642A" w:rsidRPr="00EB3660">
        <w:rPr>
          <w:rFonts w:ascii="Times New Roman" w:hAnsi="Times New Roman"/>
          <w:sz w:val="24"/>
        </w:rPr>
        <w:t>as a result of</w:t>
      </w:r>
      <w:r w:rsidRPr="00EB3660">
        <w:rPr>
          <w:rFonts w:ascii="Times New Roman" w:hAnsi="Times New Roman"/>
          <w:sz w:val="24"/>
        </w:rPr>
        <w:t xml:space="preserve"> the </w:t>
      </w:r>
      <w:r w:rsidR="00741F67" w:rsidRPr="00EB3660">
        <w:rPr>
          <w:rFonts w:ascii="Times New Roman" w:hAnsi="Times New Roman"/>
          <w:sz w:val="24"/>
        </w:rPr>
        <w:t>Trump administration</w:t>
      </w:r>
      <w:r w:rsidR="00EB3660" w:rsidRPr="00EB3660">
        <w:rPr>
          <w:rFonts w:ascii="Times New Roman" w:hAnsi="Times New Roman"/>
          <w:sz w:val="24"/>
        </w:rPr>
        <w:t>’</w:t>
      </w:r>
      <w:r w:rsidR="00741F67" w:rsidRPr="00EB3660">
        <w:rPr>
          <w:rFonts w:ascii="Times New Roman" w:hAnsi="Times New Roman"/>
          <w:sz w:val="24"/>
        </w:rPr>
        <w:t xml:space="preserve">s </w:t>
      </w:r>
      <w:r w:rsidRPr="00EB3660">
        <w:rPr>
          <w:rFonts w:ascii="Times New Roman" w:hAnsi="Times New Roman"/>
          <w:sz w:val="24"/>
        </w:rPr>
        <w:t>anti-immigration policy, they left the US for Canada, where they filed their refugee protection claims.</w:t>
      </w:r>
    </w:p>
    <w:p w14:paraId="070DD293" w14:textId="14C6CABE" w:rsidR="009B67CD" w:rsidRPr="00EB3660" w:rsidRDefault="009B67CD" w:rsidP="006E5528">
      <w:pPr>
        <w:pStyle w:val="ListParagraph"/>
        <w:numPr>
          <w:ilvl w:val="0"/>
          <w:numId w:val="1"/>
        </w:numPr>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On </w:t>
      </w:r>
      <w:r w:rsidRPr="002470BA">
        <w:rPr>
          <w:rFonts w:ascii="Times New Roman" w:hAnsi="Times New Roman"/>
          <w:sz w:val="24"/>
        </w:rPr>
        <w:t>February 7,</w:t>
      </w:r>
      <w:r w:rsidRPr="00EB3660">
        <w:rPr>
          <w:rFonts w:ascii="Times New Roman" w:hAnsi="Times New Roman"/>
          <w:sz w:val="24"/>
        </w:rPr>
        <w:t xml:space="preserve"> 2020, the Refugee Protection Division</w:t>
      </w:r>
      <w:r w:rsidR="00DF3F53" w:rsidRPr="00EB3660">
        <w:rPr>
          <w:rFonts w:ascii="Times New Roman" w:hAnsi="Times New Roman"/>
          <w:sz w:val="24"/>
        </w:rPr>
        <w:t> </w:t>
      </w:r>
      <w:r w:rsidRPr="00EB3660">
        <w:rPr>
          <w:rFonts w:ascii="Times New Roman" w:hAnsi="Times New Roman"/>
          <w:sz w:val="24"/>
        </w:rPr>
        <w:t>(RPD) rejected the appellants</w:t>
      </w:r>
      <w:r w:rsidR="00EB3660" w:rsidRPr="00EB3660">
        <w:rPr>
          <w:rFonts w:ascii="Times New Roman" w:hAnsi="Times New Roman"/>
          <w:sz w:val="24"/>
        </w:rPr>
        <w:t>’</w:t>
      </w:r>
      <w:r w:rsidRPr="00EB3660">
        <w:rPr>
          <w:rFonts w:ascii="Times New Roman" w:hAnsi="Times New Roman"/>
          <w:sz w:val="24"/>
        </w:rPr>
        <w:t xml:space="preserve"> refugee protection claims on the grounds that they are neither Convention refugees nor persons in need of protection.</w:t>
      </w:r>
    </w:p>
    <w:p w14:paraId="76FB6AE2" w14:textId="1D1F1204" w:rsidR="009B67CD" w:rsidRPr="00EB3660" w:rsidRDefault="009B67CD" w:rsidP="006E5528">
      <w:pPr>
        <w:pStyle w:val="ListParagraph"/>
        <w:numPr>
          <w:ilvl w:val="0"/>
          <w:numId w:val="1"/>
        </w:numPr>
        <w:spacing w:before="240" w:after="240" w:line="360" w:lineRule="auto"/>
        <w:ind w:left="0" w:firstLine="0"/>
        <w:rPr>
          <w:rFonts w:ascii="Times New Roman" w:hAnsi="Times New Roman"/>
          <w:sz w:val="24"/>
          <w:szCs w:val="24"/>
        </w:rPr>
      </w:pPr>
      <w:r w:rsidRPr="00EB3660">
        <w:rPr>
          <w:rFonts w:ascii="Times New Roman" w:hAnsi="Times New Roman"/>
          <w:sz w:val="24"/>
        </w:rPr>
        <w:lastRenderedPageBreak/>
        <w:t>The determinative issue for the Refugee Appeal Division</w:t>
      </w:r>
      <w:r w:rsidR="00DF3F53" w:rsidRPr="00EB3660">
        <w:rPr>
          <w:rFonts w:ascii="Times New Roman" w:hAnsi="Times New Roman"/>
          <w:sz w:val="24"/>
        </w:rPr>
        <w:t> </w:t>
      </w:r>
      <w:r w:rsidRPr="00EB3660">
        <w:rPr>
          <w:rFonts w:ascii="Times New Roman" w:hAnsi="Times New Roman"/>
          <w:sz w:val="24"/>
        </w:rPr>
        <w:t>(RAD) is exclusion under Article 1E.</w:t>
      </w:r>
    </w:p>
    <w:p w14:paraId="6611FC34" w14:textId="77777777" w:rsidR="001728B7" w:rsidRPr="00EB3660" w:rsidRDefault="001728B7" w:rsidP="003B769B">
      <w:pPr>
        <w:tabs>
          <w:tab w:val="clear" w:pos="1440"/>
          <w:tab w:val="clear" w:pos="1872"/>
          <w:tab w:val="clear" w:pos="2304"/>
          <w:tab w:val="clear" w:pos="2736"/>
          <w:tab w:val="left" w:pos="2415"/>
        </w:tabs>
        <w:spacing w:before="240" w:line="360" w:lineRule="auto"/>
        <w:jc w:val="left"/>
        <w:outlineLvl w:val="2"/>
        <w:rPr>
          <w:rFonts w:cs="Times New Roman"/>
          <w:b/>
          <w:szCs w:val="24"/>
        </w:rPr>
      </w:pPr>
      <w:r w:rsidRPr="00EB3660">
        <w:rPr>
          <w:b/>
        </w:rPr>
        <w:t>DETERMINATION</w:t>
      </w:r>
    </w:p>
    <w:p w14:paraId="5B053A8B" w14:textId="15602C71" w:rsidR="001728B7" w:rsidRPr="00EB3660" w:rsidRDefault="001728B7" w:rsidP="006E5528">
      <w:pPr>
        <w:pStyle w:val="ListParagraph"/>
        <w:numPr>
          <w:ilvl w:val="0"/>
          <w:numId w:val="1"/>
        </w:numPr>
        <w:tabs>
          <w:tab w:val="clear" w:pos="720"/>
          <w:tab w:val="left" w:pos="709"/>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I dismiss the appeal. The RPD was correct </w:t>
      </w:r>
      <w:r w:rsidR="000E1CD6">
        <w:rPr>
          <w:rFonts w:ascii="Times New Roman" w:hAnsi="Times New Roman"/>
          <w:sz w:val="24"/>
        </w:rPr>
        <w:t>in determining</w:t>
      </w:r>
      <w:r w:rsidRPr="00EB3660">
        <w:rPr>
          <w:rFonts w:ascii="Times New Roman" w:hAnsi="Times New Roman"/>
          <w:sz w:val="24"/>
        </w:rPr>
        <w:t xml:space="preserve"> that the appellants are neither Convention refugees nor persons in need of protection.</w:t>
      </w:r>
    </w:p>
    <w:p w14:paraId="161DCA54" w14:textId="77777777" w:rsidR="001728B7" w:rsidRPr="00EB3660" w:rsidRDefault="001728B7" w:rsidP="00071A73">
      <w:pPr>
        <w:pStyle w:val="NormalParagNum"/>
        <w:tabs>
          <w:tab w:val="clear" w:pos="720"/>
        </w:tabs>
        <w:spacing w:before="240" w:after="120"/>
        <w:ind w:left="0" w:firstLine="0"/>
        <w:rPr>
          <w:b/>
          <w:szCs w:val="24"/>
        </w:rPr>
      </w:pPr>
      <w:r w:rsidRPr="00EB3660">
        <w:rPr>
          <w:b/>
        </w:rPr>
        <w:t>ANALYSIS</w:t>
      </w:r>
    </w:p>
    <w:p w14:paraId="6DA9A724" w14:textId="2FCE1D24" w:rsidR="00CA2D11" w:rsidRPr="00EB3660" w:rsidRDefault="008D4819"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My role is to review all the evidence and to determine whether the </w:t>
      </w:r>
      <w:r w:rsidR="005516B6">
        <w:rPr>
          <w:rFonts w:ascii="Times New Roman" w:hAnsi="Times New Roman"/>
          <w:sz w:val="24"/>
        </w:rPr>
        <w:t>RPD’s</w:t>
      </w:r>
      <w:r w:rsidRPr="00EB3660">
        <w:rPr>
          <w:rFonts w:ascii="Times New Roman" w:hAnsi="Times New Roman"/>
          <w:sz w:val="24"/>
        </w:rPr>
        <w:t xml:space="preserve"> decision is correct.</w:t>
      </w:r>
      <w:r w:rsidR="007A2EBF" w:rsidRPr="00EB3660">
        <w:rPr>
          <w:rStyle w:val="EndnoteReference"/>
          <w:rFonts w:ascii="Times New Roman" w:hAnsi="Times New Roman"/>
          <w:sz w:val="24"/>
          <w:szCs w:val="24"/>
        </w:rPr>
        <w:endnoteReference w:id="1"/>
      </w:r>
      <w:r w:rsidRPr="00EB3660">
        <w:rPr>
          <w:rStyle w:val="EndnoteReference"/>
          <w:rFonts w:ascii="Times New Roman" w:hAnsi="Times New Roman"/>
          <w:sz w:val="24"/>
        </w:rPr>
        <w:t xml:space="preserve"> </w:t>
      </w:r>
    </w:p>
    <w:p w14:paraId="348024C2" w14:textId="565A27B4" w:rsidR="008B01F1" w:rsidRPr="00EB3660" w:rsidRDefault="00A22739"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The appellants argue that the RPD </w:t>
      </w:r>
      <w:r w:rsidR="00DC07CF" w:rsidRPr="00EB3660">
        <w:rPr>
          <w:rFonts w:ascii="Times New Roman" w:hAnsi="Times New Roman"/>
          <w:sz w:val="24"/>
        </w:rPr>
        <w:t>incorrectly applied</w:t>
      </w:r>
      <w:r w:rsidRPr="00EB3660">
        <w:rPr>
          <w:rFonts w:ascii="Times New Roman" w:hAnsi="Times New Roman"/>
          <w:sz w:val="24"/>
        </w:rPr>
        <w:t xml:space="preserve"> the </w:t>
      </w:r>
      <w:r w:rsidRPr="00EB3660">
        <w:rPr>
          <w:rFonts w:ascii="Times New Roman" w:hAnsi="Times New Roman"/>
          <w:i/>
          <w:sz w:val="24"/>
        </w:rPr>
        <w:t xml:space="preserve">Zeng </w:t>
      </w:r>
      <w:r w:rsidRPr="00EB3660">
        <w:rPr>
          <w:rFonts w:ascii="Times New Roman" w:hAnsi="Times New Roman"/>
          <w:sz w:val="24"/>
        </w:rPr>
        <w:t>test.</w:t>
      </w:r>
      <w:r w:rsidRPr="00EB3660">
        <w:rPr>
          <w:rFonts w:ascii="Times New Roman" w:hAnsi="Times New Roman"/>
          <w:i/>
          <w:sz w:val="24"/>
        </w:rPr>
        <w:t xml:space="preserve"> </w:t>
      </w:r>
      <w:r w:rsidRPr="00EB3660">
        <w:rPr>
          <w:rFonts w:ascii="Times New Roman" w:hAnsi="Times New Roman"/>
          <w:sz w:val="24"/>
        </w:rPr>
        <w:t xml:space="preserve">The appellants maintain that the evidence submitted to the RPD establishes that they </w:t>
      </w:r>
      <w:r w:rsidR="005516B6">
        <w:rPr>
          <w:rFonts w:ascii="Times New Roman" w:hAnsi="Times New Roman"/>
          <w:sz w:val="24"/>
        </w:rPr>
        <w:t>did</w:t>
      </w:r>
      <w:r w:rsidRPr="00EB3660">
        <w:rPr>
          <w:rFonts w:ascii="Times New Roman" w:hAnsi="Times New Roman"/>
          <w:sz w:val="24"/>
        </w:rPr>
        <w:t xml:space="preserve"> not have substantially the same rights as Brazilian nationals and therefore</w:t>
      </w:r>
      <w:r w:rsidR="00DC07CF" w:rsidRPr="00EB3660">
        <w:rPr>
          <w:rFonts w:ascii="Times New Roman" w:hAnsi="Times New Roman"/>
          <w:sz w:val="24"/>
        </w:rPr>
        <w:t>,</w:t>
      </w:r>
      <w:r w:rsidR="00DF3F53" w:rsidRPr="00EB3660">
        <w:rPr>
          <w:rFonts w:ascii="Times New Roman" w:hAnsi="Times New Roman"/>
          <w:sz w:val="24"/>
        </w:rPr>
        <w:t xml:space="preserve"> section 98 </w:t>
      </w:r>
      <w:r w:rsidR="000F4DC0">
        <w:rPr>
          <w:rFonts w:ascii="Times New Roman" w:hAnsi="Times New Roman"/>
          <w:sz w:val="24"/>
        </w:rPr>
        <w:t xml:space="preserve">should not </w:t>
      </w:r>
      <w:proofErr w:type="gramStart"/>
      <w:r w:rsidR="000F4DC0">
        <w:rPr>
          <w:rFonts w:ascii="Times New Roman" w:hAnsi="Times New Roman"/>
          <w:sz w:val="24"/>
        </w:rPr>
        <w:t>apply</w:t>
      </w:r>
      <w:proofErr w:type="gramEnd"/>
      <w:r w:rsidR="000F4DC0">
        <w:rPr>
          <w:rFonts w:ascii="Times New Roman" w:hAnsi="Times New Roman"/>
          <w:sz w:val="24"/>
        </w:rPr>
        <w:t xml:space="preserve"> </w:t>
      </w:r>
      <w:r w:rsidR="00DF3F53" w:rsidRPr="00EB3660">
        <w:rPr>
          <w:rFonts w:ascii="Times New Roman" w:hAnsi="Times New Roman"/>
          <w:sz w:val="24"/>
        </w:rPr>
        <w:t>and</w:t>
      </w:r>
      <w:r w:rsidR="000F4DC0">
        <w:rPr>
          <w:rFonts w:ascii="Times New Roman" w:hAnsi="Times New Roman"/>
          <w:sz w:val="24"/>
        </w:rPr>
        <w:t xml:space="preserve"> they should not be excluded</w:t>
      </w:r>
      <w:r w:rsidRPr="00EB3660">
        <w:rPr>
          <w:rFonts w:ascii="Times New Roman" w:hAnsi="Times New Roman"/>
          <w:sz w:val="24"/>
        </w:rPr>
        <w:t xml:space="preserve">. They submit that the RPD did not correctly consider and analyze the </w:t>
      </w:r>
      <w:r w:rsidR="005C79E3" w:rsidRPr="00EB3660">
        <w:rPr>
          <w:rFonts w:ascii="Times New Roman" w:hAnsi="Times New Roman"/>
          <w:sz w:val="24"/>
        </w:rPr>
        <w:t xml:space="preserve">alleged </w:t>
      </w:r>
      <w:r w:rsidRPr="00EB3660">
        <w:rPr>
          <w:rFonts w:ascii="Times New Roman" w:hAnsi="Times New Roman"/>
          <w:sz w:val="24"/>
        </w:rPr>
        <w:t>violent events and discrimination as valid reasons for leaving Brazil for more than two</w:t>
      </w:r>
      <w:r w:rsidR="00DF3F53" w:rsidRPr="00EB3660">
        <w:rPr>
          <w:rFonts w:ascii="Times New Roman" w:hAnsi="Times New Roman"/>
          <w:sz w:val="24"/>
        </w:rPr>
        <w:t> </w:t>
      </w:r>
      <w:r w:rsidRPr="00EB3660">
        <w:rPr>
          <w:rFonts w:ascii="Times New Roman" w:hAnsi="Times New Roman"/>
          <w:sz w:val="24"/>
        </w:rPr>
        <w:t xml:space="preserve">years. The appellants </w:t>
      </w:r>
      <w:r w:rsidR="009E6EBD">
        <w:rPr>
          <w:rFonts w:ascii="Times New Roman" w:hAnsi="Times New Roman"/>
          <w:sz w:val="24"/>
        </w:rPr>
        <w:t>submit</w:t>
      </w:r>
      <w:r w:rsidRPr="00EB3660">
        <w:rPr>
          <w:rFonts w:ascii="Times New Roman" w:hAnsi="Times New Roman"/>
          <w:sz w:val="24"/>
        </w:rPr>
        <w:t xml:space="preserve"> that the RPD erred in transferring the burden of proof to them. The appellants argue that the RPD also </w:t>
      </w:r>
      <w:r w:rsidR="00DF3F53" w:rsidRPr="00EB3660">
        <w:rPr>
          <w:rFonts w:ascii="Times New Roman" w:hAnsi="Times New Roman"/>
          <w:sz w:val="24"/>
        </w:rPr>
        <w:t>failed to</w:t>
      </w:r>
      <w:r w:rsidRPr="00EB3660">
        <w:rPr>
          <w:rFonts w:ascii="Times New Roman" w:hAnsi="Times New Roman"/>
          <w:sz w:val="24"/>
        </w:rPr>
        <w:t xml:space="preserve"> consider the risk they would be subjected </w:t>
      </w:r>
      <w:r w:rsidR="001411C5">
        <w:rPr>
          <w:rFonts w:ascii="Times New Roman" w:hAnsi="Times New Roman"/>
          <w:sz w:val="24"/>
        </w:rPr>
        <w:t xml:space="preserve">to </w:t>
      </w:r>
      <w:r w:rsidRPr="00EB3660">
        <w:rPr>
          <w:rFonts w:ascii="Times New Roman" w:hAnsi="Times New Roman"/>
          <w:sz w:val="24"/>
        </w:rPr>
        <w:t>if they returned to Haiti.</w:t>
      </w:r>
    </w:p>
    <w:p w14:paraId="19E12397" w14:textId="3930C633" w:rsidR="008B01F1" w:rsidRPr="00EB3660" w:rsidRDefault="00CA2D11" w:rsidP="00071A73">
      <w:pPr>
        <w:pStyle w:val="ListParagraph"/>
        <w:numPr>
          <w:ilvl w:val="0"/>
          <w:numId w:val="1"/>
        </w:numPr>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I do not </w:t>
      </w:r>
      <w:r w:rsidR="00513AA0">
        <w:rPr>
          <w:rFonts w:ascii="Times New Roman" w:hAnsi="Times New Roman"/>
          <w:sz w:val="24"/>
        </w:rPr>
        <w:t>agree with</w:t>
      </w:r>
      <w:r w:rsidRPr="00EB3660">
        <w:rPr>
          <w:rFonts w:ascii="Times New Roman" w:hAnsi="Times New Roman"/>
          <w:sz w:val="24"/>
        </w:rPr>
        <w:t xml:space="preserve"> these allegations.</w:t>
      </w:r>
    </w:p>
    <w:p w14:paraId="75334A8D" w14:textId="37B82A64" w:rsidR="008B01F1" w:rsidRPr="00EB3660" w:rsidRDefault="008B01F1"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The RPD concluded that Article</w:t>
      </w:r>
      <w:r w:rsidR="00DF3F53" w:rsidRPr="00EB3660">
        <w:rPr>
          <w:rFonts w:ascii="Times New Roman" w:hAnsi="Times New Roman"/>
          <w:sz w:val="24"/>
        </w:rPr>
        <w:t> </w:t>
      </w:r>
      <w:r w:rsidRPr="00EB3660">
        <w:rPr>
          <w:rFonts w:ascii="Times New Roman" w:hAnsi="Times New Roman"/>
          <w:sz w:val="24"/>
        </w:rPr>
        <w:t>1E of the Convention</w:t>
      </w:r>
      <w:r w:rsidR="009C78E3">
        <w:rPr>
          <w:rFonts w:ascii="Times New Roman" w:hAnsi="Times New Roman"/>
          <w:sz w:val="24"/>
        </w:rPr>
        <w:t xml:space="preserve"> applies to the appellants</w:t>
      </w:r>
      <w:r w:rsidRPr="00EB3660">
        <w:rPr>
          <w:rFonts w:ascii="Times New Roman" w:hAnsi="Times New Roman"/>
          <w:sz w:val="24"/>
        </w:rPr>
        <w:t xml:space="preserve">. In order to analyze whether the exclusion clause applies, the RPD correctly relied on </w:t>
      </w:r>
      <w:r w:rsidRPr="00EB3660">
        <w:rPr>
          <w:rFonts w:ascii="Times New Roman" w:hAnsi="Times New Roman"/>
          <w:i/>
          <w:sz w:val="24"/>
        </w:rPr>
        <w:t>Zeng</w:t>
      </w:r>
      <w:r w:rsidRPr="00917651">
        <w:rPr>
          <w:rFonts w:ascii="Times New Roman" w:hAnsi="Times New Roman"/>
          <w:iCs/>
          <w:sz w:val="24"/>
        </w:rPr>
        <w:t xml:space="preserve">, </w:t>
      </w:r>
      <w:r w:rsidRPr="00EB3660">
        <w:rPr>
          <w:rFonts w:ascii="Times New Roman" w:hAnsi="Times New Roman"/>
          <w:sz w:val="24"/>
        </w:rPr>
        <w:t>which sets out the following test for exclusion under Article</w:t>
      </w:r>
      <w:r w:rsidR="00DF3F53" w:rsidRPr="00EB3660">
        <w:rPr>
          <w:rFonts w:ascii="Times New Roman" w:hAnsi="Times New Roman"/>
          <w:sz w:val="24"/>
        </w:rPr>
        <w:t> </w:t>
      </w:r>
      <w:r w:rsidRPr="00EB3660">
        <w:rPr>
          <w:rFonts w:ascii="Times New Roman" w:hAnsi="Times New Roman"/>
          <w:sz w:val="24"/>
        </w:rPr>
        <w:t>1E of the Convention.</w:t>
      </w:r>
    </w:p>
    <w:p w14:paraId="4BBFFDCE" w14:textId="50AC4BBE" w:rsidR="008B01F1" w:rsidRPr="00EB3660" w:rsidRDefault="008B01F1" w:rsidP="008B01F1">
      <w:pPr>
        <w:pStyle w:val="ListParagraph"/>
        <w:spacing w:before="240" w:after="240"/>
        <w:ind w:left="1134" w:right="856"/>
        <w:jc w:val="both"/>
        <w:rPr>
          <w:rFonts w:ascii="Times New Roman" w:hAnsi="Times New Roman"/>
          <w:sz w:val="24"/>
          <w:szCs w:val="24"/>
        </w:rPr>
      </w:pPr>
      <w:r w:rsidRPr="00EB3660">
        <w:rPr>
          <w:rFonts w:ascii="Times New Roman" w:hAnsi="Times New Roman"/>
          <w:sz w:val="24"/>
        </w:rPr>
        <w:t xml:space="preserve">Considering all relevant factors to the date of the hearing, does the claimant have status, substantially </w:t>
      </w:r>
      <w:proofErr w:type="gramStart"/>
      <w:r w:rsidRPr="00EB3660">
        <w:rPr>
          <w:rFonts w:ascii="Times New Roman" w:hAnsi="Times New Roman"/>
          <w:sz w:val="24"/>
        </w:rPr>
        <w:t>similar to</w:t>
      </w:r>
      <w:proofErr w:type="gramEnd"/>
      <w:r w:rsidRPr="00EB3660">
        <w:rPr>
          <w:rFonts w:ascii="Times New Roman" w:hAnsi="Times New Roman"/>
          <w:sz w:val="24"/>
        </w:rPr>
        <w:t xml:space="preserve"> that of its nationals, in the third country? If the answer is yes, the claimant is excluded. If the answer is no, the next question is whether the claimant previously had such status and lost </w:t>
      </w:r>
      <w:proofErr w:type="gramStart"/>
      <w:r w:rsidRPr="00EB3660">
        <w:rPr>
          <w:rFonts w:ascii="Times New Roman" w:hAnsi="Times New Roman"/>
          <w:sz w:val="24"/>
        </w:rPr>
        <w:t>it, or</w:t>
      </w:r>
      <w:proofErr w:type="gramEnd"/>
      <w:r w:rsidRPr="00EB3660">
        <w:rPr>
          <w:rFonts w:ascii="Times New Roman" w:hAnsi="Times New Roman"/>
          <w:sz w:val="24"/>
        </w:rPr>
        <w:t xml:space="preserve"> had access to such status and failed to acquire it. If the answer is no, the claimant is not excluded under Article 1E. If the answer is yes, the RPD must consider and balance various factors. These include, but are not limited to, the reason for the loss of status (voluntary or involuntary), whether the claimant could </w:t>
      </w:r>
      <w:r w:rsidRPr="00EB3660">
        <w:rPr>
          <w:rFonts w:ascii="Times New Roman" w:hAnsi="Times New Roman"/>
          <w:sz w:val="24"/>
        </w:rPr>
        <w:lastRenderedPageBreak/>
        <w:t>return to the third country, the risk the claimant would face in the home country, Canada</w:t>
      </w:r>
      <w:r w:rsidR="00EB3660" w:rsidRPr="00EB3660">
        <w:rPr>
          <w:rFonts w:ascii="Times New Roman" w:hAnsi="Times New Roman"/>
          <w:sz w:val="24"/>
        </w:rPr>
        <w:t>’</w:t>
      </w:r>
      <w:r w:rsidRPr="00EB3660">
        <w:rPr>
          <w:rFonts w:ascii="Times New Roman" w:hAnsi="Times New Roman"/>
          <w:sz w:val="24"/>
        </w:rPr>
        <w:t>s international obligations, and any other relevant facts.</w:t>
      </w:r>
    </w:p>
    <w:p w14:paraId="5E722D29" w14:textId="45CB5EA6" w:rsidR="00A22739" w:rsidRPr="00EB3660" w:rsidRDefault="008B01F1" w:rsidP="006E5528">
      <w:pPr>
        <w:pStyle w:val="ListParagraph"/>
        <w:numPr>
          <w:ilvl w:val="0"/>
          <w:numId w:val="1"/>
        </w:numPr>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I </w:t>
      </w:r>
      <w:proofErr w:type="gramStart"/>
      <w:r w:rsidRPr="00EB3660">
        <w:rPr>
          <w:rFonts w:ascii="Times New Roman" w:hAnsi="Times New Roman"/>
          <w:sz w:val="24"/>
        </w:rPr>
        <w:t>am of the opinion that</w:t>
      </w:r>
      <w:proofErr w:type="gramEnd"/>
      <w:r w:rsidRPr="00EB3660">
        <w:rPr>
          <w:rFonts w:ascii="Times New Roman" w:hAnsi="Times New Roman"/>
          <w:sz w:val="24"/>
        </w:rPr>
        <w:t xml:space="preserve"> the RPD was correct in </w:t>
      </w:r>
      <w:r w:rsidR="00DF3F53" w:rsidRPr="00EB3660">
        <w:rPr>
          <w:rFonts w:ascii="Times New Roman" w:hAnsi="Times New Roman"/>
          <w:sz w:val="24"/>
        </w:rPr>
        <w:t xml:space="preserve">concluding </w:t>
      </w:r>
      <w:r w:rsidRPr="00EB3660">
        <w:rPr>
          <w:rFonts w:ascii="Times New Roman" w:hAnsi="Times New Roman"/>
          <w:sz w:val="24"/>
        </w:rPr>
        <w:t xml:space="preserve">that permanent resident status in Brazil </w:t>
      </w:r>
      <w:r w:rsidR="00230198">
        <w:rPr>
          <w:rFonts w:ascii="Times New Roman" w:hAnsi="Times New Roman"/>
          <w:sz w:val="24"/>
        </w:rPr>
        <w:t>confers</w:t>
      </w:r>
      <w:r w:rsidRPr="00EB3660">
        <w:rPr>
          <w:rFonts w:ascii="Times New Roman" w:hAnsi="Times New Roman"/>
          <w:sz w:val="24"/>
        </w:rPr>
        <w:t xml:space="preserve"> </w:t>
      </w:r>
      <w:r w:rsidR="00893574">
        <w:rPr>
          <w:rFonts w:ascii="Times New Roman" w:hAnsi="Times New Roman"/>
          <w:sz w:val="24"/>
        </w:rPr>
        <w:t xml:space="preserve">the </w:t>
      </w:r>
      <w:r w:rsidRPr="00EB3660">
        <w:rPr>
          <w:rFonts w:ascii="Times New Roman" w:hAnsi="Times New Roman"/>
          <w:sz w:val="24"/>
        </w:rPr>
        <w:t xml:space="preserve">rights and obligations </w:t>
      </w:r>
      <w:r w:rsidR="003E06E5">
        <w:rPr>
          <w:rFonts w:ascii="Times New Roman" w:hAnsi="Times New Roman"/>
          <w:sz w:val="24"/>
        </w:rPr>
        <w:t xml:space="preserve">that are </w:t>
      </w:r>
      <w:r w:rsidRPr="00EB3660">
        <w:rPr>
          <w:rFonts w:ascii="Times New Roman" w:hAnsi="Times New Roman"/>
          <w:sz w:val="24"/>
        </w:rPr>
        <w:t>attached to nationality within the intended meaning of Article</w:t>
      </w:r>
      <w:r w:rsidR="00DF3F53" w:rsidRPr="00EB3660">
        <w:rPr>
          <w:rFonts w:ascii="Times New Roman" w:hAnsi="Times New Roman"/>
          <w:sz w:val="24"/>
        </w:rPr>
        <w:t> </w:t>
      </w:r>
      <w:r w:rsidRPr="00EB3660">
        <w:rPr>
          <w:rFonts w:ascii="Times New Roman" w:hAnsi="Times New Roman"/>
          <w:sz w:val="24"/>
        </w:rPr>
        <w:t xml:space="preserve">1E of the Convention. Even </w:t>
      </w:r>
      <w:proofErr w:type="gramStart"/>
      <w:r w:rsidRPr="00EB3660">
        <w:rPr>
          <w:rFonts w:ascii="Times New Roman" w:hAnsi="Times New Roman"/>
          <w:sz w:val="24"/>
        </w:rPr>
        <w:t>assuming that</w:t>
      </w:r>
      <w:proofErr w:type="gramEnd"/>
      <w:r w:rsidRPr="00EB3660">
        <w:rPr>
          <w:rFonts w:ascii="Times New Roman" w:hAnsi="Times New Roman"/>
          <w:sz w:val="24"/>
        </w:rPr>
        <w:t xml:space="preserve"> the appellants </w:t>
      </w:r>
      <w:r w:rsidR="00EF26EE">
        <w:rPr>
          <w:rFonts w:ascii="Times New Roman" w:hAnsi="Times New Roman"/>
          <w:sz w:val="24"/>
        </w:rPr>
        <w:t xml:space="preserve">have </w:t>
      </w:r>
      <w:r w:rsidRPr="00EB3660">
        <w:rPr>
          <w:rFonts w:ascii="Times New Roman" w:hAnsi="Times New Roman"/>
          <w:sz w:val="24"/>
        </w:rPr>
        <w:t>lost this status, I</w:t>
      </w:r>
      <w:r w:rsidR="00893574">
        <w:rPr>
          <w:rFonts w:ascii="Times New Roman" w:hAnsi="Times New Roman"/>
          <w:sz w:val="24"/>
        </w:rPr>
        <w:t> </w:t>
      </w:r>
      <w:r w:rsidRPr="00EB3660">
        <w:rPr>
          <w:rFonts w:ascii="Times New Roman" w:hAnsi="Times New Roman"/>
          <w:sz w:val="24"/>
        </w:rPr>
        <w:t>agree with the RPD that the appellants must still be excluded from protection under the</w:t>
      </w:r>
      <w:r w:rsidRPr="00EB3660">
        <w:rPr>
          <w:rFonts w:ascii="Times New Roman" w:hAnsi="Times New Roman"/>
          <w:i/>
          <w:iCs/>
          <w:sz w:val="24"/>
        </w:rPr>
        <w:t xml:space="preserve"> Immigration and Refugee Protection Act</w:t>
      </w:r>
      <w:r w:rsidR="00DF3F53" w:rsidRPr="00EB3660">
        <w:rPr>
          <w:rFonts w:ascii="Times New Roman" w:hAnsi="Times New Roman"/>
          <w:sz w:val="24"/>
        </w:rPr>
        <w:t> </w:t>
      </w:r>
      <w:r w:rsidRPr="00EB3660">
        <w:rPr>
          <w:rFonts w:ascii="Times New Roman" w:hAnsi="Times New Roman"/>
          <w:sz w:val="24"/>
        </w:rPr>
        <w:t>(the Act).</w:t>
      </w:r>
      <w:r w:rsidRPr="00EB3660">
        <w:rPr>
          <w:rFonts w:ascii="Times New Roman" w:hAnsi="Times New Roman"/>
          <w:i/>
          <w:sz w:val="24"/>
        </w:rPr>
        <w:t xml:space="preserve"> </w:t>
      </w:r>
      <w:r w:rsidRPr="00EB3660">
        <w:rPr>
          <w:rFonts w:ascii="Times New Roman" w:hAnsi="Times New Roman"/>
          <w:sz w:val="24"/>
        </w:rPr>
        <w:t xml:space="preserve">The RPD did not err in applying the factors to consider </w:t>
      </w:r>
      <w:r w:rsidR="001F2121" w:rsidRPr="00EB3660">
        <w:rPr>
          <w:rFonts w:ascii="Times New Roman" w:hAnsi="Times New Roman"/>
          <w:sz w:val="24"/>
        </w:rPr>
        <w:t xml:space="preserve">according to </w:t>
      </w:r>
      <w:r w:rsidRPr="00EB3660">
        <w:rPr>
          <w:rFonts w:ascii="Times New Roman" w:hAnsi="Times New Roman"/>
          <w:i/>
          <w:sz w:val="24"/>
        </w:rPr>
        <w:t>Zeng</w:t>
      </w:r>
      <w:r w:rsidRPr="00EB3660">
        <w:rPr>
          <w:rFonts w:ascii="Times New Roman" w:hAnsi="Times New Roman"/>
          <w:sz w:val="24"/>
        </w:rPr>
        <w:t xml:space="preserve">. The appellants also </w:t>
      </w:r>
      <w:r w:rsidR="0090553F" w:rsidRPr="00EB3660">
        <w:rPr>
          <w:rFonts w:ascii="Times New Roman" w:hAnsi="Times New Roman"/>
          <w:sz w:val="24"/>
        </w:rPr>
        <w:t>failed to</w:t>
      </w:r>
      <w:r w:rsidRPr="00EB3660">
        <w:rPr>
          <w:rFonts w:ascii="Times New Roman" w:hAnsi="Times New Roman"/>
          <w:sz w:val="24"/>
        </w:rPr>
        <w:t xml:space="preserve"> establish that</w:t>
      </w:r>
      <w:r w:rsidR="005C2F1A">
        <w:rPr>
          <w:rFonts w:ascii="Times New Roman" w:hAnsi="Times New Roman"/>
          <w:sz w:val="24"/>
        </w:rPr>
        <w:t xml:space="preserve"> it is likely that</w:t>
      </w:r>
      <w:r w:rsidRPr="00EB3660">
        <w:rPr>
          <w:rFonts w:ascii="Times New Roman" w:hAnsi="Times New Roman"/>
          <w:sz w:val="24"/>
        </w:rPr>
        <w:t xml:space="preserve"> they would be personally subjected to a </w:t>
      </w:r>
      <w:r w:rsidR="002D2283" w:rsidRPr="00EB3660">
        <w:rPr>
          <w:rFonts w:ascii="Times New Roman" w:hAnsi="Times New Roman"/>
          <w:sz w:val="24"/>
        </w:rPr>
        <w:t>risk</w:t>
      </w:r>
      <w:r w:rsidRPr="00EB3660">
        <w:rPr>
          <w:rFonts w:ascii="Times New Roman" w:hAnsi="Times New Roman"/>
          <w:sz w:val="24"/>
        </w:rPr>
        <w:t xml:space="preserve"> to their lives or to</w:t>
      </w:r>
      <w:r w:rsidR="002D2283" w:rsidRPr="00EB3660">
        <w:rPr>
          <w:rFonts w:ascii="Times New Roman" w:hAnsi="Times New Roman"/>
          <w:sz w:val="24"/>
        </w:rPr>
        <w:t xml:space="preserve"> a risk of</w:t>
      </w:r>
      <w:r w:rsidRPr="00EB3660">
        <w:rPr>
          <w:rFonts w:ascii="Times New Roman" w:hAnsi="Times New Roman"/>
          <w:sz w:val="24"/>
        </w:rPr>
        <w:t xml:space="preserve"> cruel and unusual treatment or punishment.</w:t>
      </w:r>
    </w:p>
    <w:p w14:paraId="5D3B54F6" w14:textId="77777777" w:rsidR="00A22739" w:rsidRPr="00EB3660" w:rsidRDefault="00A22739" w:rsidP="00A22739">
      <w:pPr>
        <w:pStyle w:val="ListParagraph"/>
        <w:tabs>
          <w:tab w:val="num" w:pos="862"/>
        </w:tabs>
        <w:spacing w:before="240" w:after="120" w:line="360" w:lineRule="auto"/>
        <w:ind w:left="0"/>
        <w:jc w:val="both"/>
        <w:rPr>
          <w:rFonts w:ascii="Times New Roman" w:hAnsi="Times New Roman"/>
          <w:sz w:val="24"/>
          <w:szCs w:val="24"/>
        </w:rPr>
      </w:pPr>
      <w:r w:rsidRPr="00EB3660">
        <w:rPr>
          <w:rFonts w:ascii="Times New Roman" w:hAnsi="Times New Roman"/>
          <w:b/>
          <w:sz w:val="24"/>
        </w:rPr>
        <w:t>The rights and obligations conferred by permanent residence in Brazil</w:t>
      </w:r>
    </w:p>
    <w:p w14:paraId="48373DC1" w14:textId="5E6225F8" w:rsidR="00A22739" w:rsidRPr="00EB3660" w:rsidRDefault="004E2094"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The appellants </w:t>
      </w:r>
      <w:r w:rsidR="00AC2D8A">
        <w:rPr>
          <w:rFonts w:ascii="Times New Roman" w:hAnsi="Times New Roman"/>
          <w:sz w:val="24"/>
        </w:rPr>
        <w:t>are basing</w:t>
      </w:r>
      <w:r w:rsidRPr="00EB3660">
        <w:rPr>
          <w:rFonts w:ascii="Times New Roman" w:hAnsi="Times New Roman"/>
          <w:sz w:val="24"/>
        </w:rPr>
        <w:t xml:space="preserve"> their argument that certain social services are not available to permanent residents in Brazil on their personal experience. This is false. </w:t>
      </w:r>
      <w:bookmarkStart w:id="0" w:name="_Hlk66092320"/>
      <w:r w:rsidRPr="00EB3660">
        <w:rPr>
          <w:rFonts w:ascii="Times New Roman" w:hAnsi="Times New Roman"/>
          <w:sz w:val="24"/>
        </w:rPr>
        <w:t>The Brazilian constitution</w:t>
      </w:r>
      <w:r w:rsidR="00A22739" w:rsidRPr="00EB3660">
        <w:rPr>
          <w:rStyle w:val="EndnoteReference"/>
          <w:rFonts w:ascii="Times New Roman" w:hAnsi="Times New Roman"/>
          <w:sz w:val="24"/>
          <w:szCs w:val="24"/>
        </w:rPr>
        <w:endnoteReference w:id="2"/>
      </w:r>
      <w:r w:rsidRPr="00EB3660">
        <w:rPr>
          <w:rFonts w:ascii="Times New Roman" w:hAnsi="Times New Roman"/>
          <w:sz w:val="24"/>
        </w:rPr>
        <w:t xml:space="preserve"> clearly states that permanent residents in Brazil have the same rights and obligations as Brazilian citizens, </w:t>
      </w:r>
      <w:proofErr w:type="gramStart"/>
      <w:r w:rsidRPr="00EB3660">
        <w:rPr>
          <w:rFonts w:ascii="Times New Roman" w:hAnsi="Times New Roman"/>
          <w:sz w:val="24"/>
        </w:rPr>
        <w:t>with the exception of</w:t>
      </w:r>
      <w:proofErr w:type="gramEnd"/>
      <w:r w:rsidRPr="00EB3660">
        <w:rPr>
          <w:rFonts w:ascii="Times New Roman" w:hAnsi="Times New Roman"/>
          <w:sz w:val="24"/>
        </w:rPr>
        <w:t xml:space="preserve"> the right to vote on such matters as health, education and access to the labour market.</w:t>
      </w:r>
      <w:bookmarkEnd w:id="0"/>
      <w:r w:rsidRPr="00EB3660">
        <w:rPr>
          <w:rFonts w:ascii="Times New Roman" w:hAnsi="Times New Roman"/>
          <w:sz w:val="24"/>
        </w:rPr>
        <w:t xml:space="preserve"> </w:t>
      </w:r>
      <w:r w:rsidR="00A069D7">
        <w:rPr>
          <w:rFonts w:ascii="Times New Roman" w:hAnsi="Times New Roman"/>
          <w:sz w:val="24"/>
        </w:rPr>
        <w:t xml:space="preserve">While </w:t>
      </w:r>
      <w:r w:rsidRPr="00EB3660">
        <w:rPr>
          <w:rFonts w:ascii="Times New Roman" w:hAnsi="Times New Roman"/>
          <w:sz w:val="24"/>
        </w:rPr>
        <w:t xml:space="preserve">this </w:t>
      </w:r>
      <w:r w:rsidR="00A069D7">
        <w:rPr>
          <w:rFonts w:ascii="Times New Roman" w:hAnsi="Times New Roman"/>
          <w:sz w:val="24"/>
        </w:rPr>
        <w:t xml:space="preserve">may </w:t>
      </w:r>
      <w:r w:rsidR="00683D9D">
        <w:rPr>
          <w:rFonts w:ascii="Times New Roman" w:hAnsi="Times New Roman"/>
          <w:sz w:val="24"/>
        </w:rPr>
        <w:t xml:space="preserve">not </w:t>
      </w:r>
      <w:r w:rsidR="00A069D7">
        <w:rPr>
          <w:rFonts w:ascii="Times New Roman" w:hAnsi="Times New Roman"/>
          <w:sz w:val="24"/>
        </w:rPr>
        <w:t xml:space="preserve">be </w:t>
      </w:r>
      <w:r w:rsidR="00683D9D">
        <w:rPr>
          <w:rFonts w:ascii="Times New Roman" w:hAnsi="Times New Roman"/>
          <w:sz w:val="24"/>
        </w:rPr>
        <w:t>consistent</w:t>
      </w:r>
      <w:r w:rsidRPr="00EB3660">
        <w:rPr>
          <w:rFonts w:ascii="Times New Roman" w:hAnsi="Times New Roman"/>
          <w:sz w:val="24"/>
        </w:rPr>
        <w:t xml:space="preserve"> with what the appellants experienced on </w:t>
      </w:r>
      <w:r w:rsidR="00A069D7">
        <w:rPr>
          <w:rFonts w:ascii="Times New Roman" w:hAnsi="Times New Roman"/>
          <w:sz w:val="24"/>
        </w:rPr>
        <w:t xml:space="preserve">various </w:t>
      </w:r>
      <w:r w:rsidRPr="00EB3660">
        <w:rPr>
          <w:rFonts w:ascii="Times New Roman" w:hAnsi="Times New Roman"/>
          <w:sz w:val="24"/>
        </w:rPr>
        <w:t xml:space="preserve">occasions, the fact remains that these are rights they could have </w:t>
      </w:r>
      <w:r w:rsidR="00882D64">
        <w:rPr>
          <w:rFonts w:ascii="Times New Roman" w:hAnsi="Times New Roman"/>
          <w:sz w:val="24"/>
        </w:rPr>
        <w:t>asserted</w:t>
      </w:r>
      <w:r w:rsidRPr="00EB3660">
        <w:rPr>
          <w:rFonts w:ascii="Times New Roman" w:hAnsi="Times New Roman"/>
          <w:sz w:val="24"/>
        </w:rPr>
        <w:t>.</w:t>
      </w:r>
    </w:p>
    <w:p w14:paraId="4CF3D577" w14:textId="1FA5ADD1" w:rsidR="006E0640" w:rsidRPr="00EB3660" w:rsidRDefault="004E2094"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The appellants do not </w:t>
      </w:r>
      <w:r w:rsidR="002929CA">
        <w:rPr>
          <w:rFonts w:ascii="Times New Roman" w:hAnsi="Times New Roman"/>
          <w:sz w:val="24"/>
        </w:rPr>
        <w:t>dispute</w:t>
      </w:r>
      <w:r w:rsidRPr="00EB3660">
        <w:rPr>
          <w:rFonts w:ascii="Times New Roman" w:hAnsi="Times New Roman"/>
          <w:sz w:val="24"/>
        </w:rPr>
        <w:t xml:space="preserve"> that their status allows them to return to Brazil. The appellants </w:t>
      </w:r>
      <w:r w:rsidR="002929CA">
        <w:rPr>
          <w:rFonts w:ascii="Times New Roman" w:hAnsi="Times New Roman"/>
          <w:sz w:val="24"/>
        </w:rPr>
        <w:t xml:space="preserve">are challenging </w:t>
      </w:r>
      <w:r w:rsidRPr="00EB3660">
        <w:rPr>
          <w:rFonts w:ascii="Times New Roman" w:hAnsi="Times New Roman"/>
          <w:sz w:val="24"/>
        </w:rPr>
        <w:t>the RPD</w:t>
      </w:r>
      <w:r w:rsidR="00EB3660" w:rsidRPr="00EB3660">
        <w:rPr>
          <w:rFonts w:ascii="Times New Roman" w:hAnsi="Times New Roman"/>
          <w:sz w:val="24"/>
        </w:rPr>
        <w:t>’</w:t>
      </w:r>
      <w:r w:rsidRPr="00EB3660">
        <w:rPr>
          <w:rFonts w:ascii="Times New Roman" w:hAnsi="Times New Roman"/>
          <w:sz w:val="24"/>
        </w:rPr>
        <w:t xml:space="preserve">s </w:t>
      </w:r>
      <w:r w:rsidR="004F3B88">
        <w:rPr>
          <w:rFonts w:ascii="Times New Roman" w:hAnsi="Times New Roman"/>
          <w:sz w:val="24"/>
        </w:rPr>
        <w:t xml:space="preserve">conclusion </w:t>
      </w:r>
      <w:r w:rsidRPr="00EB3660">
        <w:rPr>
          <w:rFonts w:ascii="Times New Roman" w:hAnsi="Times New Roman"/>
          <w:sz w:val="24"/>
        </w:rPr>
        <w:t>that they lost their status</w:t>
      </w:r>
      <w:r w:rsidR="006C7312" w:rsidRPr="006C7312">
        <w:rPr>
          <w:rFonts w:ascii="Times New Roman" w:hAnsi="Times New Roman"/>
          <w:sz w:val="24"/>
        </w:rPr>
        <w:t xml:space="preserve"> </w:t>
      </w:r>
      <w:r w:rsidR="006C7312" w:rsidRPr="00EB3660">
        <w:rPr>
          <w:rFonts w:ascii="Times New Roman" w:hAnsi="Times New Roman"/>
          <w:sz w:val="24"/>
        </w:rPr>
        <w:t>voluntarily</w:t>
      </w:r>
      <w:r w:rsidRPr="00EB3660">
        <w:rPr>
          <w:rFonts w:ascii="Times New Roman" w:hAnsi="Times New Roman"/>
          <w:sz w:val="24"/>
        </w:rPr>
        <w:t>.</w:t>
      </w:r>
    </w:p>
    <w:p w14:paraId="338BB892" w14:textId="124F8780" w:rsidR="0058398E" w:rsidRPr="00EB3660" w:rsidRDefault="0069328F" w:rsidP="00071A73">
      <w:pPr>
        <w:pStyle w:val="ListParagraph"/>
        <w:tabs>
          <w:tab w:val="num" w:pos="862"/>
        </w:tabs>
        <w:spacing w:before="240" w:after="120" w:line="360" w:lineRule="auto"/>
        <w:ind w:left="0"/>
        <w:jc w:val="both"/>
        <w:rPr>
          <w:rFonts w:ascii="Times New Roman" w:hAnsi="Times New Roman"/>
          <w:sz w:val="24"/>
          <w:szCs w:val="24"/>
        </w:rPr>
      </w:pPr>
      <w:r w:rsidRPr="00EB3660">
        <w:rPr>
          <w:rFonts w:ascii="Times New Roman" w:hAnsi="Times New Roman"/>
          <w:b/>
          <w:sz w:val="24"/>
        </w:rPr>
        <w:t>Appellants</w:t>
      </w:r>
      <w:r w:rsidR="00EB3660" w:rsidRPr="00EB3660">
        <w:rPr>
          <w:rFonts w:ascii="Times New Roman" w:hAnsi="Times New Roman"/>
          <w:b/>
          <w:sz w:val="24"/>
        </w:rPr>
        <w:t>’</w:t>
      </w:r>
      <w:r w:rsidRPr="00EB3660">
        <w:rPr>
          <w:rFonts w:ascii="Times New Roman" w:hAnsi="Times New Roman"/>
          <w:b/>
          <w:sz w:val="24"/>
        </w:rPr>
        <w:t xml:space="preserve"> fear in Brazil</w:t>
      </w:r>
    </w:p>
    <w:p w14:paraId="291910AB" w14:textId="76817665" w:rsidR="0058398E" w:rsidRPr="00EB3660" w:rsidRDefault="00DB4A67"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The appellants state</w:t>
      </w:r>
      <w:r w:rsidR="002D2283" w:rsidRPr="00EB3660">
        <w:rPr>
          <w:rFonts w:ascii="Times New Roman" w:hAnsi="Times New Roman"/>
          <w:sz w:val="24"/>
        </w:rPr>
        <w:t xml:space="preserve"> that</w:t>
      </w:r>
      <w:r w:rsidRPr="00EB3660">
        <w:rPr>
          <w:rFonts w:ascii="Times New Roman" w:hAnsi="Times New Roman"/>
          <w:sz w:val="24"/>
        </w:rPr>
        <w:t xml:space="preserve"> they fear returning to Brazil </w:t>
      </w:r>
      <w:r w:rsidR="006C7312">
        <w:rPr>
          <w:rFonts w:ascii="Times New Roman" w:hAnsi="Times New Roman"/>
          <w:sz w:val="24"/>
        </w:rPr>
        <w:t>because of</w:t>
      </w:r>
      <w:r w:rsidRPr="00EB3660">
        <w:rPr>
          <w:rFonts w:ascii="Times New Roman" w:hAnsi="Times New Roman"/>
          <w:sz w:val="24"/>
        </w:rPr>
        <w:t xml:space="preserve"> the racial discrimination and persecution or abuse they could be subjected</w:t>
      </w:r>
      <w:r w:rsidR="001A4E07">
        <w:rPr>
          <w:rFonts w:ascii="Times New Roman" w:hAnsi="Times New Roman"/>
          <w:sz w:val="24"/>
        </w:rPr>
        <w:t xml:space="preserve"> to</w:t>
      </w:r>
      <w:r w:rsidRPr="00EB3660">
        <w:rPr>
          <w:rFonts w:ascii="Times New Roman" w:hAnsi="Times New Roman"/>
          <w:sz w:val="24"/>
        </w:rPr>
        <w:t>.</w:t>
      </w:r>
    </w:p>
    <w:p w14:paraId="73E4C7A2" w14:textId="03542CF5" w:rsidR="00571797" w:rsidRPr="00EB3660" w:rsidRDefault="00571797"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According to the case law, persecution requires an affliction of repeated acts of cruelty or a particular course or period of systematic infliction of punishment.</w:t>
      </w:r>
      <w:r w:rsidRPr="00EB3660">
        <w:rPr>
          <w:rFonts w:ascii="Times New Roman" w:hAnsi="Times New Roman"/>
          <w:sz w:val="24"/>
          <w:szCs w:val="24"/>
          <w:vertAlign w:val="superscript"/>
        </w:rPr>
        <w:endnoteReference w:id="3"/>
      </w:r>
      <w:r w:rsidRPr="00EB3660">
        <w:rPr>
          <w:rFonts w:ascii="Times New Roman" w:hAnsi="Times New Roman"/>
          <w:sz w:val="24"/>
        </w:rPr>
        <w:t xml:space="preserve"> In order for discriminatory acts to constitute persecution, they must be “sufficiently serious and occur over such a long period of time that it can be said that the claimants</w:t>
      </w:r>
      <w:r w:rsidR="00EB3660" w:rsidRPr="00EB3660">
        <w:rPr>
          <w:rFonts w:ascii="Times New Roman" w:hAnsi="Times New Roman"/>
          <w:sz w:val="24"/>
        </w:rPr>
        <w:t>’</w:t>
      </w:r>
      <w:r w:rsidRPr="00EB3660">
        <w:rPr>
          <w:rFonts w:ascii="Times New Roman" w:hAnsi="Times New Roman"/>
          <w:sz w:val="24"/>
        </w:rPr>
        <w:t xml:space="preserve"> physical or moral integrity is threatened.”</w:t>
      </w:r>
      <w:r w:rsidRPr="00EB3660">
        <w:rPr>
          <w:rFonts w:ascii="Times New Roman" w:hAnsi="Times New Roman"/>
          <w:sz w:val="24"/>
          <w:szCs w:val="24"/>
          <w:vertAlign w:val="superscript"/>
        </w:rPr>
        <w:endnoteReference w:id="4"/>
      </w:r>
    </w:p>
    <w:p w14:paraId="7C430646" w14:textId="72A18803" w:rsidR="00571797" w:rsidRPr="00EB3660" w:rsidRDefault="009827D4"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lastRenderedPageBreak/>
        <w:t xml:space="preserve">During the hearing, the appellants testified that when </w:t>
      </w:r>
      <w:r w:rsidR="002D2283" w:rsidRPr="00EB3660">
        <w:rPr>
          <w:rFonts w:ascii="Times New Roman" w:hAnsi="Times New Roman"/>
          <w:sz w:val="24"/>
        </w:rPr>
        <w:t>they lived</w:t>
      </w:r>
      <w:r w:rsidRPr="00EB3660">
        <w:rPr>
          <w:rFonts w:ascii="Times New Roman" w:hAnsi="Times New Roman"/>
          <w:sz w:val="24"/>
        </w:rPr>
        <w:t xml:space="preserve"> in Brazil, Haitians were treated like pariahs. The </w:t>
      </w:r>
      <w:r w:rsidR="00703677" w:rsidRPr="00EB3660">
        <w:rPr>
          <w:rFonts w:ascii="Times New Roman" w:hAnsi="Times New Roman"/>
          <w:sz w:val="24"/>
        </w:rPr>
        <w:t xml:space="preserve">male </w:t>
      </w:r>
      <w:r w:rsidRPr="00EB3660">
        <w:rPr>
          <w:rFonts w:ascii="Times New Roman" w:hAnsi="Times New Roman"/>
          <w:sz w:val="24"/>
        </w:rPr>
        <w:t xml:space="preserve">appellant testified that where they were living, they were not allowed to approach a Brazilian. </w:t>
      </w:r>
      <w:r w:rsidR="000E338B">
        <w:rPr>
          <w:rFonts w:ascii="Times New Roman" w:hAnsi="Times New Roman"/>
          <w:sz w:val="24"/>
        </w:rPr>
        <w:t>As an</w:t>
      </w:r>
      <w:r w:rsidRPr="00EB3660">
        <w:rPr>
          <w:rFonts w:ascii="Times New Roman" w:hAnsi="Times New Roman"/>
          <w:sz w:val="24"/>
        </w:rPr>
        <w:t xml:space="preserve"> example</w:t>
      </w:r>
      <w:r w:rsidR="000E338B">
        <w:rPr>
          <w:rFonts w:ascii="Times New Roman" w:hAnsi="Times New Roman"/>
          <w:sz w:val="24"/>
        </w:rPr>
        <w:t>,</w:t>
      </w:r>
      <w:r w:rsidRPr="00EB3660">
        <w:rPr>
          <w:rFonts w:ascii="Times New Roman" w:hAnsi="Times New Roman"/>
          <w:sz w:val="24"/>
        </w:rPr>
        <w:t xml:space="preserve"> </w:t>
      </w:r>
      <w:r w:rsidR="000E338B">
        <w:rPr>
          <w:rFonts w:ascii="Times New Roman" w:hAnsi="Times New Roman"/>
          <w:sz w:val="24"/>
        </w:rPr>
        <w:t xml:space="preserve">he described an incident </w:t>
      </w:r>
      <w:r w:rsidRPr="00EB3660">
        <w:rPr>
          <w:rFonts w:ascii="Times New Roman" w:hAnsi="Times New Roman"/>
          <w:sz w:val="24"/>
        </w:rPr>
        <w:t xml:space="preserve">when he </w:t>
      </w:r>
      <w:r w:rsidR="000E338B">
        <w:rPr>
          <w:rFonts w:ascii="Times New Roman" w:hAnsi="Times New Roman"/>
          <w:sz w:val="24"/>
        </w:rPr>
        <w:t xml:space="preserve">and </w:t>
      </w:r>
      <w:r w:rsidRPr="00EB3660">
        <w:rPr>
          <w:rFonts w:ascii="Times New Roman" w:hAnsi="Times New Roman"/>
          <w:sz w:val="24"/>
        </w:rPr>
        <w:t>his wife and children</w:t>
      </w:r>
      <w:r w:rsidR="000E338B">
        <w:rPr>
          <w:rFonts w:ascii="Times New Roman" w:hAnsi="Times New Roman"/>
          <w:sz w:val="24"/>
        </w:rPr>
        <w:t xml:space="preserve"> were walking down the street and </w:t>
      </w:r>
      <w:r w:rsidRPr="00EB3660">
        <w:rPr>
          <w:rFonts w:ascii="Times New Roman" w:hAnsi="Times New Roman"/>
          <w:sz w:val="24"/>
        </w:rPr>
        <w:t>a little Brazilian girl said hello to them. The little girl</w:t>
      </w:r>
      <w:r w:rsidR="00EB3660" w:rsidRPr="00EB3660">
        <w:rPr>
          <w:rFonts w:ascii="Times New Roman" w:hAnsi="Times New Roman"/>
          <w:sz w:val="24"/>
        </w:rPr>
        <w:t>’</w:t>
      </w:r>
      <w:r w:rsidRPr="00EB3660">
        <w:rPr>
          <w:rFonts w:ascii="Times New Roman" w:hAnsi="Times New Roman"/>
          <w:sz w:val="24"/>
        </w:rPr>
        <w:t xml:space="preserve">s mother allegedly told her </w:t>
      </w:r>
      <w:r w:rsidR="000E338B">
        <w:rPr>
          <w:rFonts w:ascii="Times New Roman" w:hAnsi="Times New Roman"/>
          <w:sz w:val="24"/>
        </w:rPr>
        <w:t>not to</w:t>
      </w:r>
      <w:r w:rsidRPr="00EB3660">
        <w:rPr>
          <w:rFonts w:ascii="Times New Roman" w:hAnsi="Times New Roman"/>
          <w:sz w:val="24"/>
        </w:rPr>
        <w:t xml:space="preserve"> play with this group of dogs.</w:t>
      </w:r>
      <w:r w:rsidR="00CF2ABA" w:rsidRPr="00EB3660">
        <w:rPr>
          <w:rStyle w:val="EndnoteReference"/>
          <w:rFonts w:ascii="Times New Roman" w:hAnsi="Times New Roman"/>
          <w:bCs/>
          <w:sz w:val="24"/>
          <w:szCs w:val="24"/>
        </w:rPr>
        <w:endnoteReference w:id="5"/>
      </w:r>
      <w:r w:rsidRPr="00EB3660">
        <w:rPr>
          <w:rFonts w:ascii="Times New Roman" w:hAnsi="Times New Roman"/>
          <w:sz w:val="24"/>
        </w:rPr>
        <w:t xml:space="preserve"> The </w:t>
      </w:r>
      <w:r w:rsidR="00703677" w:rsidRPr="00EB3660">
        <w:rPr>
          <w:rFonts w:ascii="Times New Roman" w:hAnsi="Times New Roman"/>
          <w:sz w:val="24"/>
        </w:rPr>
        <w:t xml:space="preserve">male </w:t>
      </w:r>
      <w:r w:rsidRPr="00EB3660">
        <w:rPr>
          <w:rFonts w:ascii="Times New Roman" w:hAnsi="Times New Roman"/>
          <w:sz w:val="24"/>
        </w:rPr>
        <w:t xml:space="preserve">appellant </w:t>
      </w:r>
      <w:r w:rsidR="00CD2504">
        <w:rPr>
          <w:rFonts w:ascii="Times New Roman" w:hAnsi="Times New Roman"/>
          <w:sz w:val="24"/>
        </w:rPr>
        <w:t>also</w:t>
      </w:r>
      <w:r w:rsidRPr="00EB3660">
        <w:rPr>
          <w:rFonts w:ascii="Times New Roman" w:hAnsi="Times New Roman"/>
          <w:sz w:val="24"/>
        </w:rPr>
        <w:t xml:space="preserve"> stated that he earned far less than a Brazilian </w:t>
      </w:r>
      <w:r w:rsidR="000A68E0">
        <w:rPr>
          <w:rFonts w:ascii="Times New Roman" w:hAnsi="Times New Roman"/>
          <w:sz w:val="24"/>
        </w:rPr>
        <w:t xml:space="preserve">woman who was doing </w:t>
      </w:r>
      <w:r w:rsidRPr="00EB3660">
        <w:rPr>
          <w:rFonts w:ascii="Times New Roman" w:hAnsi="Times New Roman"/>
          <w:sz w:val="24"/>
        </w:rPr>
        <w:t>the same job</w:t>
      </w:r>
      <w:r w:rsidR="000A68E0">
        <w:rPr>
          <w:rFonts w:ascii="Times New Roman" w:hAnsi="Times New Roman"/>
          <w:sz w:val="24"/>
        </w:rPr>
        <w:t xml:space="preserve"> as him</w:t>
      </w:r>
      <w:r w:rsidRPr="00EB3660">
        <w:rPr>
          <w:rFonts w:ascii="Times New Roman" w:hAnsi="Times New Roman"/>
          <w:sz w:val="24"/>
        </w:rPr>
        <w:t>. The fact that the principal appellant earned a lower salary stems from several factors, especially considering the economic slump in Brazil in 2016, and cannot be characterized as persecution. I</w:t>
      </w:r>
      <w:r w:rsidR="00251F2B">
        <w:rPr>
          <w:rFonts w:ascii="Times New Roman" w:hAnsi="Times New Roman"/>
          <w:sz w:val="24"/>
        </w:rPr>
        <w:t> </w:t>
      </w:r>
      <w:r w:rsidRPr="00EB3660">
        <w:rPr>
          <w:rFonts w:ascii="Times New Roman" w:hAnsi="Times New Roman"/>
          <w:sz w:val="24"/>
        </w:rPr>
        <w:t>note that the appellants had living accommodations.</w:t>
      </w:r>
    </w:p>
    <w:p w14:paraId="4DBA3BEE" w14:textId="4E12A0AB" w:rsidR="006812CD" w:rsidRPr="00EB3660" w:rsidRDefault="006812CD"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The </w:t>
      </w:r>
      <w:r w:rsidR="00703677" w:rsidRPr="00EB3660">
        <w:rPr>
          <w:rFonts w:ascii="Times New Roman" w:hAnsi="Times New Roman"/>
          <w:sz w:val="24"/>
        </w:rPr>
        <w:t xml:space="preserve">male </w:t>
      </w:r>
      <w:r w:rsidRPr="00EB3660">
        <w:rPr>
          <w:rFonts w:ascii="Times New Roman" w:hAnsi="Times New Roman"/>
          <w:sz w:val="24"/>
        </w:rPr>
        <w:t xml:space="preserve">appellant stated that there is systemic discrimination against Haitians at all levels. He testified that the texture of their hair and their </w:t>
      </w:r>
      <w:r w:rsidR="002D2283" w:rsidRPr="00EB3660">
        <w:rPr>
          <w:rFonts w:ascii="Times New Roman" w:hAnsi="Times New Roman"/>
          <w:sz w:val="24"/>
        </w:rPr>
        <w:t>accents gave</w:t>
      </w:r>
      <w:r w:rsidRPr="00EB3660">
        <w:rPr>
          <w:rFonts w:ascii="Times New Roman" w:hAnsi="Times New Roman"/>
          <w:sz w:val="24"/>
        </w:rPr>
        <w:t xml:space="preserve"> them away and </w:t>
      </w:r>
      <w:r w:rsidR="00B00C2A">
        <w:rPr>
          <w:rFonts w:ascii="Times New Roman" w:hAnsi="Times New Roman"/>
          <w:sz w:val="24"/>
        </w:rPr>
        <w:t xml:space="preserve">that </w:t>
      </w:r>
      <w:r w:rsidRPr="00EB3660">
        <w:rPr>
          <w:rFonts w:ascii="Times New Roman" w:hAnsi="Times New Roman"/>
          <w:sz w:val="24"/>
        </w:rPr>
        <w:t>they were discriminated against. I</w:t>
      </w:r>
      <w:r w:rsidR="00B00C2A">
        <w:rPr>
          <w:rFonts w:ascii="Times New Roman" w:hAnsi="Times New Roman"/>
          <w:sz w:val="24"/>
        </w:rPr>
        <w:t> </w:t>
      </w:r>
      <w:proofErr w:type="gramStart"/>
      <w:r w:rsidRPr="00EB3660">
        <w:rPr>
          <w:rFonts w:ascii="Times New Roman" w:hAnsi="Times New Roman"/>
          <w:sz w:val="24"/>
        </w:rPr>
        <w:t>am of the opinion that</w:t>
      </w:r>
      <w:proofErr w:type="gramEnd"/>
      <w:r w:rsidRPr="00EB3660">
        <w:rPr>
          <w:rFonts w:ascii="Times New Roman" w:hAnsi="Times New Roman"/>
          <w:sz w:val="24"/>
        </w:rPr>
        <w:t xml:space="preserve"> the racist insults and abuse the </w:t>
      </w:r>
      <w:r w:rsidR="00703677" w:rsidRPr="00EB3660">
        <w:rPr>
          <w:rFonts w:ascii="Times New Roman" w:hAnsi="Times New Roman"/>
          <w:sz w:val="24"/>
        </w:rPr>
        <w:t xml:space="preserve">male </w:t>
      </w:r>
      <w:r w:rsidRPr="00EB3660">
        <w:rPr>
          <w:rFonts w:ascii="Times New Roman" w:hAnsi="Times New Roman"/>
          <w:sz w:val="24"/>
        </w:rPr>
        <w:t xml:space="preserve">appellant was subjected to at work, while unfortunate, </w:t>
      </w:r>
      <w:r w:rsidR="002D2283" w:rsidRPr="00EB3660">
        <w:rPr>
          <w:rFonts w:ascii="Times New Roman" w:hAnsi="Times New Roman"/>
          <w:sz w:val="24"/>
        </w:rPr>
        <w:t>do</w:t>
      </w:r>
      <w:r w:rsidRPr="00EB3660">
        <w:rPr>
          <w:rFonts w:ascii="Times New Roman" w:hAnsi="Times New Roman"/>
          <w:sz w:val="24"/>
        </w:rPr>
        <w:t xml:space="preserve"> not amount to persecution.</w:t>
      </w:r>
    </w:p>
    <w:p w14:paraId="0E8AD3C8" w14:textId="2B8BB294" w:rsidR="00340E6A" w:rsidRPr="00EB3660" w:rsidRDefault="0088238F"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In his Basis of Claim Form (BOC Form), the </w:t>
      </w:r>
      <w:r w:rsidR="00703677" w:rsidRPr="00EB3660">
        <w:rPr>
          <w:rFonts w:ascii="Times New Roman" w:hAnsi="Times New Roman"/>
          <w:sz w:val="24"/>
        </w:rPr>
        <w:t xml:space="preserve">male </w:t>
      </w:r>
      <w:r w:rsidRPr="00EB3660">
        <w:rPr>
          <w:rFonts w:ascii="Times New Roman" w:hAnsi="Times New Roman"/>
          <w:sz w:val="24"/>
        </w:rPr>
        <w:t xml:space="preserve">appellant states that he left Brazil on </w:t>
      </w:r>
      <w:r w:rsidR="003669D6">
        <w:rPr>
          <w:rFonts w:ascii="Times New Roman" w:hAnsi="Times New Roman"/>
          <w:sz w:val="24"/>
        </w:rPr>
        <w:t xml:space="preserve">XXXX </w:t>
      </w:r>
      <w:proofErr w:type="spellStart"/>
      <w:r w:rsidR="003669D6">
        <w:rPr>
          <w:rFonts w:ascii="Times New Roman" w:hAnsi="Times New Roman"/>
          <w:sz w:val="24"/>
        </w:rPr>
        <w:t>XXXX</w:t>
      </w:r>
      <w:proofErr w:type="spellEnd"/>
      <w:r w:rsidRPr="00EB3660">
        <w:rPr>
          <w:rFonts w:ascii="Times New Roman" w:hAnsi="Times New Roman"/>
          <w:sz w:val="24"/>
        </w:rPr>
        <w:t xml:space="preserve">, 2016, because criminals living in </w:t>
      </w:r>
      <w:r w:rsidR="006A55A6">
        <w:rPr>
          <w:rFonts w:ascii="Times New Roman" w:hAnsi="Times New Roman"/>
          <w:sz w:val="24"/>
        </w:rPr>
        <w:t xml:space="preserve">his </w:t>
      </w:r>
      <w:r w:rsidRPr="00EB3660">
        <w:rPr>
          <w:rFonts w:ascii="Times New Roman" w:hAnsi="Times New Roman"/>
          <w:sz w:val="24"/>
        </w:rPr>
        <w:t xml:space="preserve">area </w:t>
      </w:r>
      <w:r w:rsidR="00247771">
        <w:rPr>
          <w:rFonts w:ascii="Times New Roman" w:hAnsi="Times New Roman"/>
          <w:sz w:val="24"/>
        </w:rPr>
        <w:t xml:space="preserve">had </w:t>
      </w:r>
      <w:r w:rsidRPr="00EB3660">
        <w:rPr>
          <w:rFonts w:ascii="Times New Roman" w:hAnsi="Times New Roman"/>
          <w:sz w:val="24"/>
        </w:rPr>
        <w:t xml:space="preserve">asked him on several occasions to join their group. I note that the RPD asked the </w:t>
      </w:r>
      <w:r w:rsidR="00703677" w:rsidRPr="00EB3660">
        <w:rPr>
          <w:rFonts w:ascii="Times New Roman" w:hAnsi="Times New Roman"/>
          <w:sz w:val="24"/>
        </w:rPr>
        <w:t xml:space="preserve">male </w:t>
      </w:r>
      <w:r w:rsidRPr="00EB3660">
        <w:rPr>
          <w:rFonts w:ascii="Times New Roman" w:hAnsi="Times New Roman"/>
          <w:sz w:val="24"/>
        </w:rPr>
        <w:t xml:space="preserve">appellant to explain why the criminals wanted to recruit him, and he replied that it </w:t>
      </w:r>
      <w:r w:rsidR="00524EF8">
        <w:rPr>
          <w:rFonts w:ascii="Times New Roman" w:hAnsi="Times New Roman"/>
          <w:sz w:val="24"/>
        </w:rPr>
        <w:t>was</w:t>
      </w:r>
      <w:r w:rsidRPr="00EB3660">
        <w:rPr>
          <w:rFonts w:ascii="Times New Roman" w:hAnsi="Times New Roman"/>
          <w:sz w:val="24"/>
        </w:rPr>
        <w:t xml:space="preserve"> because Haitians in Brazil are considered vulnerable, </w:t>
      </w:r>
      <w:r w:rsidR="00524EF8">
        <w:rPr>
          <w:rFonts w:ascii="Times New Roman" w:hAnsi="Times New Roman"/>
          <w:sz w:val="24"/>
        </w:rPr>
        <w:t xml:space="preserve">and because we’re vulnerable, </w:t>
      </w:r>
      <w:r w:rsidR="00711180">
        <w:rPr>
          <w:rFonts w:ascii="Times New Roman" w:hAnsi="Times New Roman"/>
          <w:sz w:val="24"/>
        </w:rPr>
        <w:t>we’re at everyone’s mercy</w:t>
      </w:r>
      <w:r w:rsidRPr="00EB3660">
        <w:rPr>
          <w:rFonts w:ascii="Times New Roman" w:hAnsi="Times New Roman"/>
          <w:sz w:val="24"/>
        </w:rPr>
        <w:t>.</w:t>
      </w:r>
      <w:r w:rsidR="002F5A03" w:rsidRPr="00EB3660">
        <w:rPr>
          <w:rStyle w:val="EndnoteReference"/>
          <w:rFonts w:ascii="Times New Roman" w:hAnsi="Times New Roman"/>
          <w:bCs/>
          <w:sz w:val="24"/>
          <w:szCs w:val="24"/>
        </w:rPr>
        <w:endnoteReference w:id="6"/>
      </w:r>
      <w:r w:rsidRPr="00EB3660">
        <w:rPr>
          <w:rFonts w:ascii="Times New Roman" w:hAnsi="Times New Roman"/>
          <w:sz w:val="24"/>
        </w:rPr>
        <w:t xml:space="preserve"> Although the </w:t>
      </w:r>
      <w:r w:rsidR="00703677" w:rsidRPr="00EB3660">
        <w:rPr>
          <w:rFonts w:ascii="Times New Roman" w:hAnsi="Times New Roman"/>
          <w:sz w:val="24"/>
        </w:rPr>
        <w:t xml:space="preserve">male </w:t>
      </w:r>
      <w:r w:rsidRPr="00EB3660">
        <w:rPr>
          <w:rFonts w:ascii="Times New Roman" w:hAnsi="Times New Roman"/>
          <w:sz w:val="24"/>
        </w:rPr>
        <w:t xml:space="preserve">appellant testified that he was recruited because he was vulnerable, the evidence on the record does not support the conclusion that this </w:t>
      </w:r>
      <w:r w:rsidR="005250CA">
        <w:rPr>
          <w:rFonts w:ascii="Times New Roman" w:hAnsi="Times New Roman"/>
          <w:sz w:val="24"/>
        </w:rPr>
        <w:t>was because</w:t>
      </w:r>
      <w:r w:rsidRPr="00EB3660">
        <w:rPr>
          <w:rFonts w:ascii="Times New Roman" w:hAnsi="Times New Roman"/>
          <w:sz w:val="24"/>
        </w:rPr>
        <w:t xml:space="preserve"> he is Haitian. On a balance of probabilities, this could have </w:t>
      </w:r>
      <w:r w:rsidR="0050191F">
        <w:rPr>
          <w:rFonts w:ascii="Times New Roman" w:hAnsi="Times New Roman"/>
          <w:sz w:val="24"/>
        </w:rPr>
        <w:t>happened</w:t>
      </w:r>
      <w:r w:rsidRPr="00EB3660">
        <w:rPr>
          <w:rFonts w:ascii="Times New Roman" w:hAnsi="Times New Roman"/>
          <w:sz w:val="24"/>
        </w:rPr>
        <w:t xml:space="preserve"> to any vulnerable person, regardless of their origin or nationality. This is therefore not persecution.</w:t>
      </w:r>
    </w:p>
    <w:p w14:paraId="39A55D06" w14:textId="57E7D3DD" w:rsidR="00AC464C" w:rsidRPr="00EB3660" w:rsidRDefault="009827D4"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The </w:t>
      </w:r>
      <w:r w:rsidR="00703677" w:rsidRPr="00EB3660">
        <w:rPr>
          <w:rFonts w:ascii="Times New Roman" w:hAnsi="Times New Roman"/>
          <w:sz w:val="24"/>
        </w:rPr>
        <w:t xml:space="preserve">male </w:t>
      </w:r>
      <w:r w:rsidRPr="00EB3660">
        <w:rPr>
          <w:rFonts w:ascii="Times New Roman" w:hAnsi="Times New Roman"/>
          <w:sz w:val="24"/>
        </w:rPr>
        <w:t xml:space="preserve">appellant testified that the female appellant did not have full access to health services and received inadequate care when she had complications with one of her pregnancies. He stated that Brazilians are entitled to a card that gives them access to free medication, but not Haitians. The female appellant gave birth to their child at home and the umbilical cord was still attached. He stated that he called an ambulance, but </w:t>
      </w:r>
      <w:r w:rsidR="00FF6C62">
        <w:rPr>
          <w:rFonts w:ascii="Times New Roman" w:hAnsi="Times New Roman"/>
          <w:sz w:val="24"/>
        </w:rPr>
        <w:t>in vain</w:t>
      </w:r>
      <w:r w:rsidRPr="00EB3660">
        <w:rPr>
          <w:rFonts w:ascii="Times New Roman" w:hAnsi="Times New Roman"/>
          <w:sz w:val="24"/>
        </w:rPr>
        <w:t>. He testified that he could not find a taxi as he was refused because of his Haitian accent. A Haitian with a small car drove the female appellant to the hospital.</w:t>
      </w:r>
    </w:p>
    <w:p w14:paraId="00323E77" w14:textId="60697A65" w:rsidR="00433091" w:rsidRPr="00EB3660" w:rsidRDefault="00196AD5"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lastRenderedPageBreak/>
        <w:t xml:space="preserve"> </w:t>
      </w:r>
      <w:r w:rsidR="004D4BA9">
        <w:rPr>
          <w:rFonts w:ascii="Times New Roman" w:hAnsi="Times New Roman"/>
          <w:sz w:val="24"/>
        </w:rPr>
        <w:t>T</w:t>
      </w:r>
      <w:r w:rsidRPr="00EB3660">
        <w:rPr>
          <w:rFonts w:ascii="Times New Roman" w:hAnsi="Times New Roman"/>
          <w:sz w:val="24"/>
        </w:rPr>
        <w:t xml:space="preserve">he RPD </w:t>
      </w:r>
      <w:r w:rsidR="004D4BA9">
        <w:rPr>
          <w:rFonts w:ascii="Times New Roman" w:hAnsi="Times New Roman"/>
          <w:sz w:val="24"/>
        </w:rPr>
        <w:t xml:space="preserve">asked him </w:t>
      </w:r>
      <w:r w:rsidRPr="00EB3660">
        <w:rPr>
          <w:rFonts w:ascii="Times New Roman" w:hAnsi="Times New Roman"/>
          <w:sz w:val="24"/>
        </w:rPr>
        <w:t xml:space="preserve">whether he </w:t>
      </w:r>
      <w:r w:rsidR="004D4BA9">
        <w:rPr>
          <w:rFonts w:ascii="Times New Roman" w:hAnsi="Times New Roman"/>
          <w:sz w:val="24"/>
        </w:rPr>
        <w:t xml:space="preserve">had </w:t>
      </w:r>
      <w:r w:rsidRPr="00EB3660">
        <w:rPr>
          <w:rFonts w:ascii="Times New Roman" w:hAnsi="Times New Roman"/>
          <w:sz w:val="24"/>
        </w:rPr>
        <w:t xml:space="preserve">filed a complaint, </w:t>
      </w:r>
      <w:r w:rsidR="002C299A">
        <w:rPr>
          <w:rFonts w:ascii="Times New Roman" w:hAnsi="Times New Roman"/>
          <w:sz w:val="24"/>
        </w:rPr>
        <w:t xml:space="preserve">and </w:t>
      </w:r>
      <w:r w:rsidRPr="00EB3660">
        <w:rPr>
          <w:rFonts w:ascii="Times New Roman" w:hAnsi="Times New Roman"/>
          <w:sz w:val="24"/>
        </w:rPr>
        <w:t xml:space="preserve">he replied </w:t>
      </w:r>
      <w:r w:rsidR="002C299A">
        <w:rPr>
          <w:rFonts w:ascii="Times New Roman" w:hAnsi="Times New Roman"/>
          <w:sz w:val="24"/>
        </w:rPr>
        <w:t xml:space="preserve">that he had not </w:t>
      </w:r>
      <w:r w:rsidRPr="00EB3660">
        <w:rPr>
          <w:rFonts w:ascii="Times New Roman" w:hAnsi="Times New Roman"/>
          <w:sz w:val="24"/>
        </w:rPr>
        <w:t xml:space="preserve">because even if he had, it would not have been </w:t>
      </w:r>
      <w:r w:rsidR="00866FCD">
        <w:rPr>
          <w:rFonts w:ascii="Times New Roman" w:hAnsi="Times New Roman"/>
          <w:sz w:val="24"/>
        </w:rPr>
        <w:t>considered</w:t>
      </w:r>
      <w:r w:rsidRPr="00EB3660">
        <w:rPr>
          <w:rFonts w:ascii="Times New Roman" w:hAnsi="Times New Roman"/>
          <w:sz w:val="24"/>
        </w:rPr>
        <w:t>.</w:t>
      </w:r>
      <w:r w:rsidR="00AC464C" w:rsidRPr="00EB3660">
        <w:rPr>
          <w:rStyle w:val="EndnoteReference"/>
          <w:rFonts w:ascii="Times New Roman" w:hAnsi="Times New Roman"/>
          <w:sz w:val="24"/>
          <w:szCs w:val="24"/>
        </w:rPr>
        <w:endnoteReference w:id="7"/>
      </w:r>
      <w:r w:rsidRPr="00EB3660">
        <w:rPr>
          <w:rFonts w:ascii="Times New Roman" w:hAnsi="Times New Roman"/>
          <w:sz w:val="24"/>
        </w:rPr>
        <w:t xml:space="preserve"> In such a situation, I</w:t>
      </w:r>
      <w:r w:rsidR="004C24DE">
        <w:rPr>
          <w:rFonts w:ascii="Times New Roman" w:hAnsi="Times New Roman"/>
          <w:sz w:val="24"/>
        </w:rPr>
        <w:t> </w:t>
      </w:r>
      <w:r w:rsidRPr="00EB3660">
        <w:rPr>
          <w:rFonts w:ascii="Times New Roman" w:hAnsi="Times New Roman"/>
          <w:sz w:val="24"/>
        </w:rPr>
        <w:t xml:space="preserve">would have expected the </w:t>
      </w:r>
      <w:r w:rsidR="00703677" w:rsidRPr="00EB3660">
        <w:rPr>
          <w:rFonts w:ascii="Times New Roman" w:hAnsi="Times New Roman"/>
          <w:sz w:val="24"/>
        </w:rPr>
        <w:t xml:space="preserve">male </w:t>
      </w:r>
      <w:r w:rsidRPr="00EB3660">
        <w:rPr>
          <w:rFonts w:ascii="Times New Roman" w:hAnsi="Times New Roman"/>
          <w:sz w:val="24"/>
        </w:rPr>
        <w:t xml:space="preserve">appellant to take measures by contacting the authorities to obtain help, which he did not do. In addition, </w:t>
      </w:r>
      <w:r w:rsidR="00291AC8">
        <w:rPr>
          <w:rFonts w:ascii="Times New Roman" w:hAnsi="Times New Roman"/>
          <w:sz w:val="24"/>
        </w:rPr>
        <w:t>his failure to take these steps</w:t>
      </w:r>
      <w:r w:rsidRPr="00EB3660">
        <w:rPr>
          <w:rFonts w:ascii="Times New Roman" w:hAnsi="Times New Roman"/>
          <w:sz w:val="24"/>
        </w:rPr>
        <w:t xml:space="preserve"> is not consistent with a fear for the </w:t>
      </w:r>
      <w:r w:rsidR="007404AA">
        <w:rPr>
          <w:rFonts w:ascii="Times New Roman" w:hAnsi="Times New Roman"/>
          <w:sz w:val="24"/>
        </w:rPr>
        <w:t>lives</w:t>
      </w:r>
      <w:r w:rsidRPr="00EB3660">
        <w:rPr>
          <w:rFonts w:ascii="Times New Roman" w:hAnsi="Times New Roman"/>
          <w:sz w:val="24"/>
        </w:rPr>
        <w:t xml:space="preserve"> of his </w:t>
      </w:r>
      <w:r w:rsidR="007404AA">
        <w:rPr>
          <w:rFonts w:ascii="Times New Roman" w:hAnsi="Times New Roman"/>
          <w:sz w:val="24"/>
        </w:rPr>
        <w:t xml:space="preserve">wife and </w:t>
      </w:r>
      <w:r w:rsidRPr="00EB3660">
        <w:rPr>
          <w:rFonts w:ascii="Times New Roman" w:hAnsi="Times New Roman"/>
          <w:sz w:val="24"/>
        </w:rPr>
        <w:t>child, and this undermines his credibility.</w:t>
      </w:r>
    </w:p>
    <w:p w14:paraId="2D694760" w14:textId="796C513A" w:rsidR="00571797" w:rsidRPr="00EB3660" w:rsidRDefault="00CE0F9B"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In addition, I note that the RPD asked </w:t>
      </w:r>
      <w:r w:rsidR="001F2696">
        <w:rPr>
          <w:rFonts w:ascii="Times New Roman" w:hAnsi="Times New Roman"/>
          <w:sz w:val="24"/>
        </w:rPr>
        <w:t xml:space="preserve">him </w:t>
      </w:r>
      <w:r w:rsidRPr="00EB3660">
        <w:rPr>
          <w:rFonts w:ascii="Times New Roman" w:hAnsi="Times New Roman"/>
          <w:sz w:val="24"/>
        </w:rPr>
        <w:t xml:space="preserve">whether they </w:t>
      </w:r>
      <w:r w:rsidR="0037329E">
        <w:rPr>
          <w:rFonts w:ascii="Times New Roman" w:hAnsi="Times New Roman"/>
          <w:sz w:val="24"/>
        </w:rPr>
        <w:t xml:space="preserve">had gone </w:t>
      </w:r>
      <w:r w:rsidRPr="00EB3660">
        <w:rPr>
          <w:rFonts w:ascii="Times New Roman" w:hAnsi="Times New Roman"/>
          <w:sz w:val="24"/>
        </w:rPr>
        <w:t xml:space="preserve">to the hospital and whether they </w:t>
      </w:r>
      <w:r w:rsidR="00C834A8">
        <w:rPr>
          <w:rFonts w:ascii="Times New Roman" w:hAnsi="Times New Roman"/>
          <w:sz w:val="24"/>
        </w:rPr>
        <w:t>had been</w:t>
      </w:r>
      <w:r w:rsidRPr="00EB3660">
        <w:rPr>
          <w:rFonts w:ascii="Times New Roman" w:hAnsi="Times New Roman"/>
          <w:sz w:val="24"/>
        </w:rPr>
        <w:t xml:space="preserve"> treated by a doctor, and the </w:t>
      </w:r>
      <w:r w:rsidR="00703677" w:rsidRPr="00EB3660">
        <w:rPr>
          <w:rFonts w:ascii="Times New Roman" w:hAnsi="Times New Roman"/>
          <w:sz w:val="24"/>
        </w:rPr>
        <w:t xml:space="preserve">male </w:t>
      </w:r>
      <w:r w:rsidRPr="00EB3660">
        <w:rPr>
          <w:rFonts w:ascii="Times New Roman" w:hAnsi="Times New Roman"/>
          <w:sz w:val="24"/>
        </w:rPr>
        <w:t xml:space="preserve">appellant testified that they </w:t>
      </w:r>
      <w:r w:rsidR="005B45FD">
        <w:rPr>
          <w:rFonts w:ascii="Times New Roman" w:hAnsi="Times New Roman"/>
          <w:sz w:val="24"/>
        </w:rPr>
        <w:t>had</w:t>
      </w:r>
      <w:r w:rsidRPr="00EB3660">
        <w:rPr>
          <w:rFonts w:ascii="Times New Roman" w:hAnsi="Times New Roman"/>
          <w:sz w:val="24"/>
        </w:rPr>
        <w:t xml:space="preserve">, but that they </w:t>
      </w:r>
      <w:r w:rsidR="005B45FD">
        <w:rPr>
          <w:rFonts w:ascii="Times New Roman" w:hAnsi="Times New Roman"/>
          <w:sz w:val="24"/>
        </w:rPr>
        <w:t xml:space="preserve">had </w:t>
      </w:r>
      <w:r w:rsidRPr="00EB3660">
        <w:rPr>
          <w:rFonts w:ascii="Times New Roman" w:hAnsi="Times New Roman"/>
          <w:sz w:val="24"/>
        </w:rPr>
        <w:t>waited for some time, which is why the child is sick</w:t>
      </w:r>
      <w:r w:rsidR="0085282E">
        <w:rPr>
          <w:rFonts w:ascii="Times New Roman" w:hAnsi="Times New Roman"/>
          <w:sz w:val="24"/>
        </w:rPr>
        <w:t xml:space="preserve"> so often now</w:t>
      </w:r>
      <w:r w:rsidRPr="00EB3660">
        <w:rPr>
          <w:rFonts w:ascii="Times New Roman" w:hAnsi="Times New Roman"/>
          <w:sz w:val="24"/>
        </w:rPr>
        <w:t>.</w:t>
      </w:r>
      <w:r w:rsidR="00703890" w:rsidRPr="00EB3660">
        <w:rPr>
          <w:rStyle w:val="EndnoteReference"/>
          <w:rFonts w:ascii="Times New Roman" w:hAnsi="Times New Roman"/>
          <w:bCs/>
          <w:sz w:val="24"/>
          <w:szCs w:val="24"/>
        </w:rPr>
        <w:endnoteReference w:id="8"/>
      </w:r>
      <w:r w:rsidRPr="00EB3660">
        <w:rPr>
          <w:rFonts w:ascii="Times New Roman" w:hAnsi="Times New Roman"/>
          <w:sz w:val="24"/>
        </w:rPr>
        <w:t xml:space="preserve"> The RPD also asked the female appellant whether she </w:t>
      </w:r>
      <w:r w:rsidR="0020614F">
        <w:rPr>
          <w:rFonts w:ascii="Times New Roman" w:hAnsi="Times New Roman"/>
          <w:sz w:val="24"/>
        </w:rPr>
        <w:t xml:space="preserve">had </w:t>
      </w:r>
      <w:r w:rsidRPr="00EB3660">
        <w:rPr>
          <w:rFonts w:ascii="Times New Roman" w:hAnsi="Times New Roman"/>
          <w:sz w:val="24"/>
        </w:rPr>
        <w:t xml:space="preserve">filed a complaint against the doctor, but she answered </w:t>
      </w:r>
      <w:r w:rsidR="001B7A0C">
        <w:rPr>
          <w:rFonts w:ascii="Times New Roman" w:hAnsi="Times New Roman"/>
          <w:sz w:val="24"/>
        </w:rPr>
        <w:t>that she had not</w:t>
      </w:r>
      <w:r w:rsidRPr="00EB3660">
        <w:rPr>
          <w:rFonts w:ascii="Times New Roman" w:hAnsi="Times New Roman"/>
          <w:sz w:val="24"/>
        </w:rPr>
        <w:t xml:space="preserve"> because she knew that she would not obtain justice.</w:t>
      </w:r>
      <w:r w:rsidR="006812CD" w:rsidRPr="00EB3660">
        <w:rPr>
          <w:rStyle w:val="EndnoteReference"/>
          <w:rFonts w:ascii="Times New Roman" w:hAnsi="Times New Roman"/>
          <w:bCs/>
          <w:sz w:val="24"/>
          <w:szCs w:val="24"/>
        </w:rPr>
        <w:endnoteReference w:id="9"/>
      </w:r>
      <w:r w:rsidRPr="00EB3660">
        <w:rPr>
          <w:rFonts w:ascii="Times New Roman" w:hAnsi="Times New Roman"/>
          <w:sz w:val="24"/>
        </w:rPr>
        <w:t xml:space="preserve"> The evidence on the record shows that the female appellant had access to health services at the time her child was born</w:t>
      </w:r>
      <w:r w:rsidR="003703BA">
        <w:rPr>
          <w:rFonts w:ascii="Times New Roman" w:hAnsi="Times New Roman"/>
          <w:sz w:val="24"/>
        </w:rPr>
        <w:t>,</w:t>
      </w:r>
      <w:r w:rsidRPr="00EB3660">
        <w:rPr>
          <w:rFonts w:ascii="Times New Roman" w:hAnsi="Times New Roman"/>
          <w:sz w:val="24"/>
        </w:rPr>
        <w:t xml:space="preserve"> as well as afterwards when her child received follow-up treatment. While the documentary evidence shows that t</w:t>
      </w:r>
      <w:r w:rsidR="003703BA">
        <w:rPr>
          <w:rFonts w:ascii="Times New Roman" w:hAnsi="Times New Roman"/>
          <w:sz w:val="24"/>
        </w:rPr>
        <w:t>he</w:t>
      </w:r>
      <w:r w:rsidRPr="00EB3660">
        <w:rPr>
          <w:rFonts w:ascii="Times New Roman" w:hAnsi="Times New Roman"/>
          <w:sz w:val="24"/>
        </w:rPr>
        <w:t xml:space="preserve"> health system</w:t>
      </w:r>
      <w:r w:rsidR="003703BA">
        <w:rPr>
          <w:rFonts w:ascii="Times New Roman" w:hAnsi="Times New Roman"/>
          <w:sz w:val="24"/>
        </w:rPr>
        <w:t xml:space="preserve"> has two tiers</w:t>
      </w:r>
      <w:r w:rsidRPr="00EB3660">
        <w:rPr>
          <w:rFonts w:ascii="Times New Roman" w:hAnsi="Times New Roman"/>
          <w:sz w:val="24"/>
        </w:rPr>
        <w:t>, private and public, the evidence does not show that there is a different system for Haitians with permanent resident status. This is therefore not persecution.</w:t>
      </w:r>
    </w:p>
    <w:p w14:paraId="037061B3" w14:textId="6A980D38" w:rsidR="00571797" w:rsidRPr="00EB3660" w:rsidRDefault="00D21175"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In addition, the </w:t>
      </w:r>
      <w:r w:rsidR="00703677" w:rsidRPr="00EB3660">
        <w:rPr>
          <w:rFonts w:ascii="Times New Roman" w:hAnsi="Times New Roman"/>
          <w:sz w:val="24"/>
        </w:rPr>
        <w:t xml:space="preserve">male </w:t>
      </w:r>
      <w:r w:rsidRPr="00EB3660">
        <w:rPr>
          <w:rFonts w:ascii="Times New Roman" w:hAnsi="Times New Roman"/>
          <w:sz w:val="24"/>
        </w:rPr>
        <w:t xml:space="preserve">appellant testified that although </w:t>
      </w:r>
      <w:r w:rsidR="00FD132D">
        <w:rPr>
          <w:rFonts w:ascii="Times New Roman" w:hAnsi="Times New Roman"/>
          <w:sz w:val="24"/>
        </w:rPr>
        <w:t xml:space="preserve">they are </w:t>
      </w:r>
      <w:r w:rsidRPr="00EB3660">
        <w:rPr>
          <w:rFonts w:ascii="Times New Roman" w:hAnsi="Times New Roman"/>
          <w:sz w:val="24"/>
        </w:rPr>
        <w:t xml:space="preserve">Brazilian, their children </w:t>
      </w:r>
      <w:r w:rsidR="009A3574">
        <w:rPr>
          <w:rFonts w:ascii="Times New Roman" w:hAnsi="Times New Roman"/>
          <w:sz w:val="24"/>
        </w:rPr>
        <w:t>do</w:t>
      </w:r>
      <w:r w:rsidRPr="00EB3660">
        <w:rPr>
          <w:rFonts w:ascii="Times New Roman" w:hAnsi="Times New Roman"/>
          <w:sz w:val="24"/>
        </w:rPr>
        <w:t xml:space="preserve"> not have health cards. When the RPD asked why the children did not have health cards</w:t>
      </w:r>
      <w:r w:rsidR="00B06474">
        <w:rPr>
          <w:rFonts w:ascii="Times New Roman" w:hAnsi="Times New Roman"/>
          <w:sz w:val="24"/>
        </w:rPr>
        <w:t>,</w:t>
      </w:r>
      <w:r w:rsidRPr="00EB3660">
        <w:rPr>
          <w:rFonts w:ascii="Times New Roman" w:hAnsi="Times New Roman"/>
          <w:sz w:val="24"/>
        </w:rPr>
        <w:t xml:space="preserve"> given that they are Brazilian nationals, he replied that although they are </w:t>
      </w:r>
      <w:r w:rsidR="00DB7258">
        <w:rPr>
          <w:rFonts w:ascii="Times New Roman" w:hAnsi="Times New Roman"/>
          <w:sz w:val="24"/>
        </w:rPr>
        <w:t>Brazilian</w:t>
      </w:r>
      <w:r w:rsidRPr="00EB3660">
        <w:rPr>
          <w:rFonts w:ascii="Times New Roman" w:hAnsi="Times New Roman"/>
          <w:sz w:val="24"/>
        </w:rPr>
        <w:t>, they do not have the same rights as Brazilians because they are of Haitian origin and are black.</w:t>
      </w:r>
      <w:r w:rsidR="008C7CF5" w:rsidRPr="00EB3660">
        <w:rPr>
          <w:rStyle w:val="EndnoteReference"/>
          <w:rFonts w:ascii="Times New Roman" w:hAnsi="Times New Roman"/>
          <w:bCs/>
          <w:sz w:val="24"/>
          <w:szCs w:val="24"/>
        </w:rPr>
        <w:endnoteReference w:id="10"/>
      </w:r>
      <w:r w:rsidRPr="00EB3660">
        <w:rPr>
          <w:rFonts w:ascii="Times New Roman" w:hAnsi="Times New Roman"/>
          <w:sz w:val="24"/>
        </w:rPr>
        <w:t xml:space="preserve"> I </w:t>
      </w:r>
      <w:proofErr w:type="gramStart"/>
      <w:r w:rsidRPr="00EB3660">
        <w:rPr>
          <w:rFonts w:ascii="Times New Roman" w:hAnsi="Times New Roman"/>
          <w:sz w:val="24"/>
        </w:rPr>
        <w:t>am of the opinion that</w:t>
      </w:r>
      <w:proofErr w:type="gramEnd"/>
      <w:r w:rsidRPr="00EB3660">
        <w:rPr>
          <w:rFonts w:ascii="Times New Roman" w:hAnsi="Times New Roman"/>
          <w:sz w:val="24"/>
        </w:rPr>
        <w:t xml:space="preserve"> as Brazilian nationals, the children have the same rights as other Brazilian citizens. In sum, the evidence on the record does not support </w:t>
      </w:r>
      <w:r w:rsidR="008408C5">
        <w:rPr>
          <w:rFonts w:ascii="Times New Roman" w:hAnsi="Times New Roman"/>
          <w:sz w:val="24"/>
        </w:rPr>
        <w:t>the</w:t>
      </w:r>
      <w:r w:rsidRPr="00EB3660">
        <w:rPr>
          <w:rFonts w:ascii="Times New Roman" w:hAnsi="Times New Roman"/>
          <w:sz w:val="24"/>
        </w:rPr>
        <w:t xml:space="preserve"> conclusion that the appellants were persecuted or that </w:t>
      </w:r>
      <w:r w:rsidR="003002E4">
        <w:rPr>
          <w:rFonts w:ascii="Times New Roman" w:hAnsi="Times New Roman"/>
          <w:sz w:val="24"/>
        </w:rPr>
        <w:t xml:space="preserve">they face </w:t>
      </w:r>
      <w:r w:rsidRPr="00EB3660">
        <w:rPr>
          <w:rFonts w:ascii="Times New Roman" w:hAnsi="Times New Roman"/>
          <w:sz w:val="24"/>
        </w:rPr>
        <w:t>a serious possibility of persecution in Brazil.</w:t>
      </w:r>
    </w:p>
    <w:p w14:paraId="306ED997" w14:textId="02E13AE7" w:rsidR="00DB4A67" w:rsidRPr="00EB3660" w:rsidRDefault="00A158CD"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Pr>
          <w:rFonts w:ascii="Times New Roman" w:hAnsi="Times New Roman"/>
          <w:sz w:val="24"/>
        </w:rPr>
        <w:t>Having</w:t>
      </w:r>
      <w:r w:rsidR="00DB4A67" w:rsidRPr="00EB3660">
        <w:rPr>
          <w:rFonts w:ascii="Times New Roman" w:hAnsi="Times New Roman"/>
          <w:sz w:val="24"/>
        </w:rPr>
        <w:t xml:space="preserve"> permanent resident status requires </w:t>
      </w:r>
      <w:r>
        <w:rPr>
          <w:rFonts w:ascii="Times New Roman" w:hAnsi="Times New Roman"/>
          <w:sz w:val="24"/>
        </w:rPr>
        <w:t xml:space="preserve">some </w:t>
      </w:r>
      <w:r w:rsidR="00DB4A67" w:rsidRPr="00EB3660">
        <w:rPr>
          <w:rFonts w:ascii="Times New Roman" w:hAnsi="Times New Roman"/>
          <w:sz w:val="24"/>
        </w:rPr>
        <w:t>effort to</w:t>
      </w:r>
      <w:r>
        <w:rPr>
          <w:rFonts w:ascii="Times New Roman" w:hAnsi="Times New Roman"/>
          <w:sz w:val="24"/>
        </w:rPr>
        <w:t xml:space="preserve"> maintain its validity</w:t>
      </w:r>
      <w:r w:rsidR="00DB4A67" w:rsidRPr="00EB3660">
        <w:rPr>
          <w:rFonts w:ascii="Times New Roman" w:hAnsi="Times New Roman"/>
          <w:sz w:val="24"/>
        </w:rPr>
        <w:t xml:space="preserve">. </w:t>
      </w:r>
      <w:proofErr w:type="gramStart"/>
      <w:r w:rsidR="00DB4A67" w:rsidRPr="00EB3660">
        <w:rPr>
          <w:rFonts w:ascii="Times New Roman" w:hAnsi="Times New Roman"/>
          <w:sz w:val="24"/>
        </w:rPr>
        <w:t>As long as</w:t>
      </w:r>
      <w:proofErr w:type="gramEnd"/>
      <w:r w:rsidR="00DB4A67" w:rsidRPr="00EB3660">
        <w:rPr>
          <w:rFonts w:ascii="Times New Roman" w:hAnsi="Times New Roman"/>
          <w:sz w:val="24"/>
        </w:rPr>
        <w:t xml:space="preserve"> it is valid, the resident </w:t>
      </w:r>
      <w:r w:rsidR="00A175DD">
        <w:rPr>
          <w:rFonts w:ascii="Times New Roman" w:hAnsi="Times New Roman"/>
          <w:sz w:val="24"/>
        </w:rPr>
        <w:t xml:space="preserve">is </w:t>
      </w:r>
      <w:r w:rsidR="00DB4A67" w:rsidRPr="00EB3660">
        <w:rPr>
          <w:rFonts w:ascii="Times New Roman" w:hAnsi="Times New Roman"/>
          <w:sz w:val="24"/>
        </w:rPr>
        <w:t>demonstrat</w:t>
      </w:r>
      <w:r w:rsidR="00A175DD">
        <w:rPr>
          <w:rFonts w:ascii="Times New Roman" w:hAnsi="Times New Roman"/>
          <w:sz w:val="24"/>
        </w:rPr>
        <w:t>ing</w:t>
      </w:r>
      <w:r w:rsidR="00DB4A67" w:rsidRPr="00EB3660">
        <w:rPr>
          <w:rFonts w:ascii="Times New Roman" w:hAnsi="Times New Roman"/>
          <w:sz w:val="24"/>
        </w:rPr>
        <w:t xml:space="preserve"> a continued interest in living in the host country permanently.</w:t>
      </w:r>
      <w:r w:rsidR="00EB3660" w:rsidRPr="00EB3660">
        <w:rPr>
          <w:rFonts w:ascii="Times New Roman" w:hAnsi="Times New Roman"/>
          <w:sz w:val="24"/>
        </w:rPr>
        <w:t xml:space="preserve"> </w:t>
      </w:r>
      <w:r w:rsidR="00272B05">
        <w:rPr>
          <w:rFonts w:ascii="Times New Roman" w:hAnsi="Times New Roman"/>
          <w:sz w:val="24"/>
        </w:rPr>
        <w:t>The result of l</w:t>
      </w:r>
      <w:r w:rsidR="00DB4A67" w:rsidRPr="00EB3660">
        <w:rPr>
          <w:rFonts w:ascii="Times New Roman" w:hAnsi="Times New Roman"/>
          <w:sz w:val="24"/>
        </w:rPr>
        <w:t xml:space="preserve">eaving the country for </w:t>
      </w:r>
      <w:r w:rsidR="00DF3172">
        <w:rPr>
          <w:rFonts w:ascii="Times New Roman" w:hAnsi="Times New Roman"/>
          <w:sz w:val="24"/>
        </w:rPr>
        <w:t>longer</w:t>
      </w:r>
      <w:r w:rsidR="00DB4A67" w:rsidRPr="00EB3660">
        <w:rPr>
          <w:rFonts w:ascii="Times New Roman" w:hAnsi="Times New Roman"/>
          <w:sz w:val="24"/>
        </w:rPr>
        <w:t xml:space="preserve"> than a </w:t>
      </w:r>
      <w:r w:rsidR="002F5C16">
        <w:rPr>
          <w:rFonts w:ascii="Times New Roman" w:hAnsi="Times New Roman"/>
          <w:sz w:val="24"/>
        </w:rPr>
        <w:t>specified</w:t>
      </w:r>
      <w:r w:rsidR="00DB4A67" w:rsidRPr="00EB3660">
        <w:rPr>
          <w:rFonts w:ascii="Times New Roman" w:hAnsi="Times New Roman"/>
          <w:sz w:val="24"/>
        </w:rPr>
        <w:t xml:space="preserve"> period, without a justification that is recognized </w:t>
      </w:r>
      <w:r w:rsidR="00B13FB4">
        <w:rPr>
          <w:rFonts w:ascii="Times New Roman" w:hAnsi="Times New Roman"/>
          <w:sz w:val="24"/>
        </w:rPr>
        <w:t>under the law</w:t>
      </w:r>
      <w:r w:rsidR="00DB4A67" w:rsidRPr="00EB3660">
        <w:rPr>
          <w:rFonts w:ascii="Times New Roman" w:hAnsi="Times New Roman"/>
          <w:sz w:val="24"/>
        </w:rPr>
        <w:t xml:space="preserve">, </w:t>
      </w:r>
      <w:r w:rsidR="00272B05">
        <w:rPr>
          <w:rFonts w:ascii="Times New Roman" w:hAnsi="Times New Roman"/>
          <w:sz w:val="24"/>
        </w:rPr>
        <w:t xml:space="preserve">is </w:t>
      </w:r>
      <w:r w:rsidR="00F57260">
        <w:rPr>
          <w:rFonts w:ascii="Times New Roman" w:hAnsi="Times New Roman"/>
          <w:sz w:val="24"/>
        </w:rPr>
        <w:t>forfeiture of</w:t>
      </w:r>
      <w:r w:rsidR="00DB4A67" w:rsidRPr="00EB3660">
        <w:rPr>
          <w:rFonts w:ascii="Times New Roman" w:hAnsi="Times New Roman"/>
          <w:sz w:val="24"/>
        </w:rPr>
        <w:t xml:space="preserve"> the right </w:t>
      </w:r>
      <w:r w:rsidR="00F4700A">
        <w:rPr>
          <w:rFonts w:ascii="Times New Roman" w:hAnsi="Times New Roman"/>
          <w:sz w:val="24"/>
        </w:rPr>
        <w:t xml:space="preserve">conferred </w:t>
      </w:r>
      <w:r w:rsidR="00DB4A67" w:rsidRPr="00EB3660">
        <w:rPr>
          <w:rFonts w:ascii="Times New Roman" w:hAnsi="Times New Roman"/>
          <w:sz w:val="24"/>
        </w:rPr>
        <w:t>by Brazil.</w:t>
      </w:r>
    </w:p>
    <w:p w14:paraId="0BA23BDB" w14:textId="3BAC8643" w:rsidR="009827D4" w:rsidRPr="00EB3660" w:rsidRDefault="00571797"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Having obtained permanent resident status, the male and female appellants could have </w:t>
      </w:r>
      <w:r w:rsidR="0089364A">
        <w:rPr>
          <w:rFonts w:ascii="Times New Roman" w:hAnsi="Times New Roman"/>
          <w:sz w:val="24"/>
        </w:rPr>
        <w:t>retained it</w:t>
      </w:r>
      <w:r w:rsidRPr="00EB3660">
        <w:rPr>
          <w:rFonts w:ascii="Times New Roman" w:hAnsi="Times New Roman"/>
          <w:sz w:val="24"/>
        </w:rPr>
        <w:t xml:space="preserve"> and, if it </w:t>
      </w:r>
      <w:r w:rsidR="006E0FEE">
        <w:rPr>
          <w:rFonts w:ascii="Times New Roman" w:hAnsi="Times New Roman"/>
          <w:sz w:val="24"/>
        </w:rPr>
        <w:t>became</w:t>
      </w:r>
      <w:r w:rsidRPr="00EB3660">
        <w:rPr>
          <w:rFonts w:ascii="Times New Roman" w:hAnsi="Times New Roman"/>
          <w:sz w:val="24"/>
        </w:rPr>
        <w:t xml:space="preserve"> impossible for them to avail themselves of that status because they were outside of the country, it was </w:t>
      </w:r>
      <w:r w:rsidR="006A4F80">
        <w:rPr>
          <w:rFonts w:ascii="Times New Roman" w:hAnsi="Times New Roman"/>
          <w:sz w:val="24"/>
        </w:rPr>
        <w:t xml:space="preserve">their </w:t>
      </w:r>
      <w:r w:rsidRPr="00EB3660">
        <w:rPr>
          <w:rFonts w:ascii="Times New Roman" w:hAnsi="Times New Roman"/>
          <w:sz w:val="24"/>
        </w:rPr>
        <w:t xml:space="preserve">own actions that jeopardized their status. Considering </w:t>
      </w:r>
      <w:r w:rsidRPr="00EB3660">
        <w:rPr>
          <w:rFonts w:ascii="Times New Roman" w:hAnsi="Times New Roman"/>
          <w:sz w:val="24"/>
        </w:rPr>
        <w:lastRenderedPageBreak/>
        <w:t>that the</w:t>
      </w:r>
      <w:r w:rsidR="006A4F80">
        <w:rPr>
          <w:rFonts w:ascii="Times New Roman" w:hAnsi="Times New Roman"/>
          <w:sz w:val="24"/>
        </w:rPr>
        <w:t>ir</w:t>
      </w:r>
      <w:r w:rsidRPr="00EB3660">
        <w:rPr>
          <w:rFonts w:ascii="Times New Roman" w:hAnsi="Times New Roman"/>
          <w:sz w:val="24"/>
        </w:rPr>
        <w:t xml:space="preserve"> reasons for leaving Brazil do not amount to persecution, I</w:t>
      </w:r>
      <w:r w:rsidR="006A4F80">
        <w:rPr>
          <w:rFonts w:ascii="Times New Roman" w:hAnsi="Times New Roman"/>
          <w:sz w:val="24"/>
        </w:rPr>
        <w:t> </w:t>
      </w:r>
      <w:r w:rsidRPr="00EB3660">
        <w:rPr>
          <w:rFonts w:ascii="Times New Roman" w:hAnsi="Times New Roman"/>
          <w:sz w:val="24"/>
        </w:rPr>
        <w:t xml:space="preserve">agree with the RPD that the male appellant and the associate appellant left Brazil voluntarily and chose to remain outside the country for more than two years. The loss of their permanent resident status was therefore voluntary and </w:t>
      </w:r>
      <w:r w:rsidR="002D2283" w:rsidRPr="00EB3660">
        <w:rPr>
          <w:rFonts w:ascii="Times New Roman" w:hAnsi="Times New Roman"/>
          <w:sz w:val="24"/>
        </w:rPr>
        <w:t>weighs</w:t>
      </w:r>
      <w:r w:rsidRPr="00EB3660">
        <w:rPr>
          <w:rFonts w:ascii="Times New Roman" w:hAnsi="Times New Roman"/>
          <w:sz w:val="24"/>
        </w:rPr>
        <w:t xml:space="preserve"> in favour of exclusion. The RPD did not err.</w:t>
      </w:r>
    </w:p>
    <w:p w14:paraId="28BA9284" w14:textId="1E1E0405" w:rsidR="00A22739" w:rsidRPr="00EB3660" w:rsidRDefault="00A22739" w:rsidP="00A22739">
      <w:pPr>
        <w:pStyle w:val="ListParagraph"/>
        <w:tabs>
          <w:tab w:val="num" w:pos="862"/>
        </w:tabs>
        <w:spacing w:before="240" w:after="120" w:line="360" w:lineRule="auto"/>
        <w:ind w:left="0"/>
        <w:jc w:val="both"/>
        <w:rPr>
          <w:rFonts w:ascii="Times New Roman" w:hAnsi="Times New Roman"/>
          <w:sz w:val="24"/>
          <w:szCs w:val="24"/>
        </w:rPr>
      </w:pPr>
      <w:r w:rsidRPr="00EB3660">
        <w:rPr>
          <w:rFonts w:ascii="Times New Roman" w:hAnsi="Times New Roman"/>
          <w:b/>
          <w:sz w:val="24"/>
        </w:rPr>
        <w:t>Possibility of returning to Brazil</w:t>
      </w:r>
    </w:p>
    <w:p w14:paraId="189393E5" w14:textId="2849F5A5" w:rsidR="00A22739" w:rsidRPr="00EB3660" w:rsidRDefault="00A22739"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The appellants do not contest the RPD</w:t>
      </w:r>
      <w:r w:rsidR="00EB3660" w:rsidRPr="00EB3660">
        <w:rPr>
          <w:rFonts w:ascii="Times New Roman" w:hAnsi="Times New Roman"/>
          <w:sz w:val="24"/>
        </w:rPr>
        <w:t>’</w:t>
      </w:r>
      <w:r w:rsidRPr="00EB3660">
        <w:rPr>
          <w:rFonts w:ascii="Times New Roman" w:hAnsi="Times New Roman"/>
          <w:sz w:val="24"/>
        </w:rPr>
        <w:t xml:space="preserve">s interpretation of the Brazilian </w:t>
      </w:r>
      <w:r w:rsidR="0098318D">
        <w:rPr>
          <w:rFonts w:ascii="Times New Roman" w:hAnsi="Times New Roman"/>
          <w:sz w:val="24"/>
        </w:rPr>
        <w:t xml:space="preserve">legal </w:t>
      </w:r>
      <w:r w:rsidRPr="00EB3660">
        <w:rPr>
          <w:rFonts w:ascii="Times New Roman" w:hAnsi="Times New Roman"/>
          <w:sz w:val="24"/>
        </w:rPr>
        <w:t xml:space="preserve">provisions concerning the family reunification program. In my opinion, it is </w:t>
      </w:r>
      <w:r w:rsidR="00CD4E98">
        <w:rPr>
          <w:rFonts w:ascii="Times New Roman" w:hAnsi="Times New Roman"/>
          <w:sz w:val="24"/>
        </w:rPr>
        <w:t xml:space="preserve">accurate </w:t>
      </w:r>
      <w:r w:rsidRPr="00EB3660">
        <w:rPr>
          <w:rFonts w:ascii="Times New Roman" w:hAnsi="Times New Roman"/>
          <w:sz w:val="24"/>
        </w:rPr>
        <w:t>to say that the adult appellants could qualify for a visa allowing them to return to live in Brazil</w:t>
      </w:r>
      <w:r w:rsidR="00154B4E">
        <w:rPr>
          <w:rFonts w:ascii="Times New Roman" w:hAnsi="Times New Roman"/>
          <w:sz w:val="24"/>
        </w:rPr>
        <w:t>,</w:t>
      </w:r>
      <w:r w:rsidRPr="00EB3660">
        <w:rPr>
          <w:rFonts w:ascii="Times New Roman" w:hAnsi="Times New Roman"/>
          <w:sz w:val="24"/>
        </w:rPr>
        <w:t xml:space="preserve"> given that the</w:t>
      </w:r>
      <w:r w:rsidR="00154B4E">
        <w:rPr>
          <w:rFonts w:ascii="Times New Roman" w:hAnsi="Times New Roman"/>
          <w:sz w:val="24"/>
        </w:rPr>
        <w:t>ir</w:t>
      </w:r>
      <w:r w:rsidRPr="00EB3660">
        <w:rPr>
          <w:rFonts w:ascii="Times New Roman" w:hAnsi="Times New Roman"/>
          <w:sz w:val="24"/>
        </w:rPr>
        <w:t xml:space="preserve"> children have Brazilian citizenship.</w:t>
      </w:r>
      <w:r w:rsidRPr="00EB3660">
        <w:rPr>
          <w:rStyle w:val="EndnoteReference"/>
          <w:rFonts w:ascii="Times New Roman" w:hAnsi="Times New Roman"/>
          <w:sz w:val="24"/>
          <w:szCs w:val="24"/>
        </w:rPr>
        <w:endnoteReference w:id="11"/>
      </w:r>
      <w:r w:rsidRPr="00EB3660">
        <w:rPr>
          <w:rFonts w:ascii="Times New Roman" w:hAnsi="Times New Roman"/>
          <w:sz w:val="24"/>
        </w:rPr>
        <w:t xml:space="preserve"> This factor therefore </w:t>
      </w:r>
      <w:r w:rsidR="002D2283" w:rsidRPr="00EB3660">
        <w:rPr>
          <w:rFonts w:ascii="Times New Roman" w:hAnsi="Times New Roman"/>
          <w:sz w:val="24"/>
        </w:rPr>
        <w:t>weighs</w:t>
      </w:r>
      <w:r w:rsidRPr="00EB3660">
        <w:rPr>
          <w:rFonts w:ascii="Times New Roman" w:hAnsi="Times New Roman"/>
          <w:sz w:val="24"/>
        </w:rPr>
        <w:t xml:space="preserve"> in favour of exclusion.</w:t>
      </w:r>
    </w:p>
    <w:p w14:paraId="709D65AC" w14:textId="0B4FE955" w:rsidR="00A22739" w:rsidRPr="00EB3660" w:rsidRDefault="00A22739" w:rsidP="00A22739">
      <w:pPr>
        <w:pStyle w:val="ListParagraph"/>
        <w:tabs>
          <w:tab w:val="left" w:pos="709"/>
          <w:tab w:val="num" w:pos="862"/>
        </w:tabs>
        <w:spacing w:before="240" w:after="120" w:line="360" w:lineRule="auto"/>
        <w:ind w:left="0"/>
        <w:jc w:val="both"/>
        <w:rPr>
          <w:rFonts w:ascii="Times New Roman" w:hAnsi="Times New Roman"/>
          <w:sz w:val="24"/>
          <w:szCs w:val="24"/>
        </w:rPr>
      </w:pPr>
      <w:r w:rsidRPr="00EB3660">
        <w:rPr>
          <w:rFonts w:ascii="Times New Roman" w:hAnsi="Times New Roman"/>
          <w:b/>
          <w:sz w:val="24"/>
        </w:rPr>
        <w:t>Canada</w:t>
      </w:r>
      <w:r w:rsidR="00EB3660" w:rsidRPr="00EB3660">
        <w:rPr>
          <w:rFonts w:ascii="Times New Roman" w:hAnsi="Times New Roman"/>
          <w:b/>
          <w:sz w:val="24"/>
        </w:rPr>
        <w:t>’</w:t>
      </w:r>
      <w:r w:rsidRPr="00EB3660">
        <w:rPr>
          <w:rFonts w:ascii="Times New Roman" w:hAnsi="Times New Roman"/>
          <w:b/>
          <w:sz w:val="24"/>
        </w:rPr>
        <w:t>s international obligations</w:t>
      </w:r>
    </w:p>
    <w:p w14:paraId="61525B23" w14:textId="5767F3FE" w:rsidR="00A22739" w:rsidRPr="00EB3660" w:rsidRDefault="007A239E" w:rsidP="00EC6C7E">
      <w:pPr>
        <w:pStyle w:val="ListParagraph"/>
        <w:numPr>
          <w:ilvl w:val="0"/>
          <w:numId w:val="1"/>
        </w:numPr>
        <w:spacing w:before="240" w:after="240" w:line="360" w:lineRule="auto"/>
        <w:ind w:left="0" w:firstLine="0"/>
        <w:rPr>
          <w:rFonts w:ascii="Times New Roman" w:hAnsi="Times New Roman"/>
          <w:sz w:val="24"/>
          <w:szCs w:val="24"/>
        </w:rPr>
      </w:pPr>
      <w:r>
        <w:rPr>
          <w:rFonts w:ascii="Times New Roman" w:hAnsi="Times New Roman"/>
          <w:sz w:val="24"/>
        </w:rPr>
        <w:t>C</w:t>
      </w:r>
      <w:r w:rsidRPr="00EB3660">
        <w:rPr>
          <w:rFonts w:ascii="Times New Roman" w:hAnsi="Times New Roman"/>
          <w:sz w:val="24"/>
        </w:rPr>
        <w:t xml:space="preserve">oncerning the possibility that they would be subjected to </w:t>
      </w:r>
      <w:proofErr w:type="gramStart"/>
      <w:r w:rsidRPr="00EB3660">
        <w:rPr>
          <w:rFonts w:ascii="Times New Roman" w:hAnsi="Times New Roman"/>
          <w:sz w:val="24"/>
        </w:rPr>
        <w:t>discrimination,</w:t>
      </w:r>
      <w:proofErr w:type="gramEnd"/>
      <w:r w:rsidRPr="00EB3660">
        <w:rPr>
          <w:rFonts w:ascii="Times New Roman" w:hAnsi="Times New Roman"/>
          <w:sz w:val="24"/>
        </w:rPr>
        <w:t xml:space="preserve"> </w:t>
      </w:r>
      <w:r>
        <w:rPr>
          <w:rFonts w:ascii="Times New Roman" w:hAnsi="Times New Roman"/>
          <w:sz w:val="24"/>
        </w:rPr>
        <w:t>i</w:t>
      </w:r>
      <w:r w:rsidR="00C61840" w:rsidRPr="00EB3660">
        <w:rPr>
          <w:rFonts w:ascii="Times New Roman" w:hAnsi="Times New Roman"/>
          <w:sz w:val="24"/>
        </w:rPr>
        <w:t xml:space="preserve">t is important to note </w:t>
      </w:r>
      <w:r w:rsidR="004D75F3">
        <w:rPr>
          <w:rFonts w:ascii="Times New Roman" w:hAnsi="Times New Roman"/>
          <w:sz w:val="24"/>
        </w:rPr>
        <w:t xml:space="preserve">that </w:t>
      </w:r>
      <w:r w:rsidR="00C61840" w:rsidRPr="00EB3660">
        <w:rPr>
          <w:rFonts w:ascii="Times New Roman" w:hAnsi="Times New Roman"/>
          <w:sz w:val="24"/>
        </w:rPr>
        <w:t>Canada has never made a commitment to the international community to refuse to return refugee protection claimants on this specific ground. I</w:t>
      </w:r>
      <w:r w:rsidR="008039DA">
        <w:rPr>
          <w:rFonts w:ascii="Times New Roman" w:hAnsi="Times New Roman"/>
          <w:sz w:val="24"/>
        </w:rPr>
        <w:t> </w:t>
      </w:r>
      <w:r w:rsidR="00C61840" w:rsidRPr="00EB3660">
        <w:rPr>
          <w:rFonts w:ascii="Times New Roman" w:hAnsi="Times New Roman"/>
          <w:sz w:val="24"/>
        </w:rPr>
        <w:t>believe that Canada</w:t>
      </w:r>
      <w:r w:rsidR="00EB3660" w:rsidRPr="00EB3660">
        <w:rPr>
          <w:rFonts w:ascii="Times New Roman" w:hAnsi="Times New Roman"/>
          <w:sz w:val="24"/>
        </w:rPr>
        <w:t>’</w:t>
      </w:r>
      <w:r w:rsidR="00C61840" w:rsidRPr="00EB3660">
        <w:rPr>
          <w:rFonts w:ascii="Times New Roman" w:hAnsi="Times New Roman"/>
          <w:sz w:val="24"/>
        </w:rPr>
        <w:t>s international obligations would be upheld if the exclusion under Article 1E of the Convention were applied</w:t>
      </w:r>
      <w:proofErr w:type="gramStart"/>
      <w:r w:rsidR="00C61840" w:rsidRPr="00EB3660">
        <w:rPr>
          <w:rFonts w:ascii="Times New Roman" w:hAnsi="Times New Roman"/>
          <w:sz w:val="24"/>
        </w:rPr>
        <w:t>, in particular, the</w:t>
      </w:r>
      <w:proofErr w:type="gramEnd"/>
      <w:r w:rsidR="00C61840" w:rsidRPr="00EB3660">
        <w:rPr>
          <w:rFonts w:ascii="Times New Roman" w:hAnsi="Times New Roman"/>
          <w:sz w:val="24"/>
        </w:rPr>
        <w:t xml:space="preserve"> obligation to protect individuals who have a well‑founded fear of persecution and individuals who would be subjected to a risk within the meaning of subsection 97(1) if they were to return to their country of origin</w:t>
      </w:r>
      <w:r w:rsidR="002D2283" w:rsidRPr="00EB3660">
        <w:rPr>
          <w:rFonts w:ascii="Times New Roman" w:hAnsi="Times New Roman"/>
          <w:sz w:val="24"/>
        </w:rPr>
        <w:t>.</w:t>
      </w:r>
    </w:p>
    <w:p w14:paraId="2F7F3E09" w14:textId="77777777" w:rsidR="00A22739" w:rsidRPr="00EB3660" w:rsidRDefault="00A22739" w:rsidP="00A22739">
      <w:pPr>
        <w:pStyle w:val="ListParagraph"/>
        <w:tabs>
          <w:tab w:val="num" w:pos="862"/>
        </w:tabs>
        <w:spacing w:before="240" w:after="120" w:line="360" w:lineRule="auto"/>
        <w:ind w:left="0"/>
        <w:jc w:val="both"/>
        <w:rPr>
          <w:rFonts w:ascii="Times New Roman" w:hAnsi="Times New Roman"/>
          <w:sz w:val="24"/>
          <w:szCs w:val="24"/>
        </w:rPr>
      </w:pPr>
      <w:r w:rsidRPr="00EB3660">
        <w:rPr>
          <w:rFonts w:ascii="Times New Roman" w:hAnsi="Times New Roman"/>
          <w:b/>
          <w:sz w:val="24"/>
        </w:rPr>
        <w:t>Failure to assess the risk in the country of origin</w:t>
      </w:r>
    </w:p>
    <w:p w14:paraId="3F7B9D76" w14:textId="0D2390BB" w:rsidR="00A22739" w:rsidRPr="00EB3660" w:rsidRDefault="00861C25" w:rsidP="00EC6C7E">
      <w:pPr>
        <w:pStyle w:val="ListParagraph"/>
        <w:numPr>
          <w:ilvl w:val="0"/>
          <w:numId w:val="1"/>
        </w:numPr>
        <w:spacing w:before="240" w:after="120" w:line="360" w:lineRule="auto"/>
        <w:ind w:left="0" w:firstLine="0"/>
      </w:pPr>
      <w:r>
        <w:rPr>
          <w:rFonts w:ascii="Times New Roman" w:hAnsi="Times New Roman"/>
          <w:sz w:val="24"/>
        </w:rPr>
        <w:t>In my opinion, i</w:t>
      </w:r>
      <w:r w:rsidR="000C1A05" w:rsidRPr="00EB3660">
        <w:rPr>
          <w:rFonts w:ascii="Times New Roman" w:hAnsi="Times New Roman"/>
          <w:sz w:val="24"/>
        </w:rPr>
        <w:t xml:space="preserve">n order to properly weigh the factors in </w:t>
      </w:r>
      <w:r w:rsidR="000C1A05" w:rsidRPr="00EB3660">
        <w:rPr>
          <w:rFonts w:ascii="Times New Roman" w:hAnsi="Times New Roman"/>
          <w:i/>
          <w:iCs/>
          <w:sz w:val="24"/>
        </w:rPr>
        <w:t>Zeng</w:t>
      </w:r>
      <w:r w:rsidR="000C1A05" w:rsidRPr="00EB3660">
        <w:rPr>
          <w:rFonts w:ascii="Times New Roman" w:hAnsi="Times New Roman"/>
          <w:sz w:val="24"/>
        </w:rPr>
        <w:t xml:space="preserve">, the RPD </w:t>
      </w:r>
      <w:r w:rsidR="00192CCF">
        <w:rPr>
          <w:rFonts w:ascii="Times New Roman" w:hAnsi="Times New Roman"/>
          <w:sz w:val="24"/>
        </w:rPr>
        <w:t>must</w:t>
      </w:r>
      <w:r w:rsidR="000C1A05" w:rsidRPr="00EB3660">
        <w:rPr>
          <w:rFonts w:ascii="Times New Roman" w:hAnsi="Times New Roman"/>
          <w:sz w:val="24"/>
        </w:rPr>
        <w:t xml:space="preserve"> have assessed the risk the </w:t>
      </w:r>
      <w:r w:rsidR="00703677" w:rsidRPr="00EB3660">
        <w:rPr>
          <w:rFonts w:ascii="Times New Roman" w:hAnsi="Times New Roman"/>
          <w:sz w:val="24"/>
        </w:rPr>
        <w:t xml:space="preserve">male </w:t>
      </w:r>
      <w:r w:rsidR="000C1A05" w:rsidRPr="00EB3660">
        <w:rPr>
          <w:rFonts w:ascii="Times New Roman" w:hAnsi="Times New Roman"/>
          <w:sz w:val="24"/>
        </w:rPr>
        <w:t xml:space="preserve">appellant </w:t>
      </w:r>
      <w:r w:rsidR="00C403EC">
        <w:rPr>
          <w:rFonts w:ascii="Times New Roman" w:hAnsi="Times New Roman"/>
          <w:sz w:val="24"/>
        </w:rPr>
        <w:t xml:space="preserve">would allegedly </w:t>
      </w:r>
      <w:r w:rsidR="000C1A05" w:rsidRPr="00EB3660">
        <w:rPr>
          <w:rFonts w:ascii="Times New Roman" w:hAnsi="Times New Roman"/>
          <w:sz w:val="24"/>
        </w:rPr>
        <w:t xml:space="preserve">face in Haiti. </w:t>
      </w:r>
      <w:r w:rsidR="00C403EC">
        <w:rPr>
          <w:rFonts w:ascii="Times New Roman" w:hAnsi="Times New Roman"/>
          <w:sz w:val="24"/>
        </w:rPr>
        <w:t>T</w:t>
      </w:r>
      <w:r w:rsidR="000C1A05" w:rsidRPr="00EB3660">
        <w:rPr>
          <w:rFonts w:ascii="Times New Roman" w:hAnsi="Times New Roman"/>
          <w:sz w:val="24"/>
        </w:rPr>
        <w:t>herefore</w:t>
      </w:r>
      <w:r w:rsidR="00C403EC">
        <w:rPr>
          <w:rFonts w:ascii="Times New Roman" w:hAnsi="Times New Roman"/>
          <w:sz w:val="24"/>
        </w:rPr>
        <w:t>,</w:t>
      </w:r>
      <w:r w:rsidR="000C1A05" w:rsidRPr="00EB3660">
        <w:rPr>
          <w:rFonts w:ascii="Times New Roman" w:hAnsi="Times New Roman"/>
          <w:sz w:val="24"/>
        </w:rPr>
        <w:t xml:space="preserve"> </w:t>
      </w:r>
      <w:r w:rsidR="00C403EC">
        <w:rPr>
          <w:rFonts w:ascii="Times New Roman" w:hAnsi="Times New Roman"/>
          <w:sz w:val="24"/>
        </w:rPr>
        <w:t>I </w:t>
      </w:r>
      <w:r w:rsidR="000C1A05" w:rsidRPr="00EB3660">
        <w:rPr>
          <w:rFonts w:ascii="Times New Roman" w:hAnsi="Times New Roman"/>
          <w:sz w:val="24"/>
        </w:rPr>
        <w:t xml:space="preserve">assume that the allegations of risk in Haiti are credible, which </w:t>
      </w:r>
      <w:r w:rsidR="002D2283" w:rsidRPr="00EB3660">
        <w:rPr>
          <w:rFonts w:ascii="Times New Roman" w:hAnsi="Times New Roman"/>
          <w:sz w:val="24"/>
        </w:rPr>
        <w:t>weighs</w:t>
      </w:r>
      <w:r w:rsidR="000C1A05" w:rsidRPr="00EB3660">
        <w:rPr>
          <w:rFonts w:ascii="Times New Roman" w:hAnsi="Times New Roman"/>
          <w:sz w:val="24"/>
        </w:rPr>
        <w:t xml:space="preserve"> against exclusion.</w:t>
      </w:r>
    </w:p>
    <w:p w14:paraId="04548892" w14:textId="6687243A" w:rsidR="00A22739" w:rsidRPr="00EB3660" w:rsidRDefault="00A22739" w:rsidP="00C8004A">
      <w:pPr>
        <w:pStyle w:val="ListParagraph"/>
        <w:tabs>
          <w:tab w:val="num" w:pos="862"/>
        </w:tabs>
        <w:spacing w:before="240" w:after="120" w:line="360" w:lineRule="auto"/>
        <w:ind w:left="0"/>
        <w:jc w:val="both"/>
        <w:rPr>
          <w:rFonts w:ascii="Times New Roman" w:hAnsi="Times New Roman"/>
          <w:sz w:val="24"/>
          <w:szCs w:val="24"/>
        </w:rPr>
      </w:pPr>
      <w:r w:rsidRPr="00EB3660">
        <w:rPr>
          <w:rFonts w:ascii="Times New Roman" w:hAnsi="Times New Roman"/>
          <w:b/>
          <w:sz w:val="24"/>
        </w:rPr>
        <w:t xml:space="preserve">Assessment of the risk the appellants </w:t>
      </w:r>
      <w:r w:rsidR="00B63050">
        <w:rPr>
          <w:rFonts w:ascii="Times New Roman" w:hAnsi="Times New Roman"/>
          <w:b/>
          <w:sz w:val="24"/>
        </w:rPr>
        <w:t xml:space="preserve">would </w:t>
      </w:r>
      <w:r w:rsidRPr="00EB3660">
        <w:rPr>
          <w:rFonts w:ascii="Times New Roman" w:hAnsi="Times New Roman"/>
          <w:b/>
          <w:sz w:val="24"/>
        </w:rPr>
        <w:t xml:space="preserve">face if </w:t>
      </w:r>
      <w:r w:rsidR="00687348">
        <w:rPr>
          <w:rFonts w:ascii="Times New Roman" w:hAnsi="Times New Roman"/>
          <w:b/>
          <w:sz w:val="24"/>
        </w:rPr>
        <w:t xml:space="preserve">they </w:t>
      </w:r>
      <w:r w:rsidR="00201F6F">
        <w:rPr>
          <w:rFonts w:ascii="Times New Roman" w:hAnsi="Times New Roman"/>
          <w:b/>
          <w:sz w:val="24"/>
        </w:rPr>
        <w:t xml:space="preserve">were </w:t>
      </w:r>
      <w:r w:rsidRPr="00EB3660">
        <w:rPr>
          <w:rFonts w:ascii="Times New Roman" w:hAnsi="Times New Roman"/>
          <w:b/>
          <w:sz w:val="24"/>
        </w:rPr>
        <w:t>returned to Brazil</w:t>
      </w:r>
    </w:p>
    <w:p w14:paraId="3A07EE34" w14:textId="10001D50" w:rsidR="00A22739" w:rsidRPr="00EB3660" w:rsidRDefault="00A22739" w:rsidP="006E5528">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Before I can conclude that the </w:t>
      </w:r>
      <w:r w:rsidR="00703677" w:rsidRPr="00EB3660">
        <w:rPr>
          <w:rFonts w:ascii="Times New Roman" w:hAnsi="Times New Roman"/>
          <w:sz w:val="24"/>
        </w:rPr>
        <w:t xml:space="preserve">male </w:t>
      </w:r>
      <w:r w:rsidRPr="00EB3660">
        <w:rPr>
          <w:rFonts w:ascii="Times New Roman" w:hAnsi="Times New Roman"/>
          <w:sz w:val="24"/>
        </w:rPr>
        <w:t xml:space="preserve">appellant </w:t>
      </w:r>
      <w:r w:rsidR="004664F1">
        <w:rPr>
          <w:rFonts w:ascii="Times New Roman" w:hAnsi="Times New Roman"/>
          <w:sz w:val="24"/>
        </w:rPr>
        <w:t>is</w:t>
      </w:r>
      <w:r w:rsidRPr="00EB3660">
        <w:rPr>
          <w:rFonts w:ascii="Times New Roman" w:hAnsi="Times New Roman"/>
          <w:sz w:val="24"/>
        </w:rPr>
        <w:t xml:space="preserve"> excluded from protection under the Act, I</w:t>
      </w:r>
      <w:r w:rsidR="004664F1">
        <w:rPr>
          <w:rFonts w:ascii="Times New Roman" w:hAnsi="Times New Roman"/>
          <w:sz w:val="24"/>
        </w:rPr>
        <w:t> </w:t>
      </w:r>
      <w:r w:rsidRPr="00EB3660">
        <w:rPr>
          <w:rFonts w:ascii="Times New Roman" w:hAnsi="Times New Roman"/>
          <w:sz w:val="24"/>
        </w:rPr>
        <w:t xml:space="preserve">must consider whether </w:t>
      </w:r>
      <w:r w:rsidR="000967C8">
        <w:rPr>
          <w:rFonts w:ascii="Times New Roman" w:hAnsi="Times New Roman"/>
          <w:sz w:val="24"/>
        </w:rPr>
        <w:t>he</w:t>
      </w:r>
      <w:r w:rsidRPr="00EB3660">
        <w:rPr>
          <w:rFonts w:ascii="Times New Roman" w:hAnsi="Times New Roman"/>
          <w:sz w:val="24"/>
        </w:rPr>
        <w:t xml:space="preserve"> would </w:t>
      </w:r>
      <w:r w:rsidR="008D59FF">
        <w:rPr>
          <w:rFonts w:ascii="Times New Roman" w:hAnsi="Times New Roman"/>
          <w:sz w:val="24"/>
        </w:rPr>
        <w:t>face</w:t>
      </w:r>
      <w:r w:rsidRPr="00EB3660">
        <w:rPr>
          <w:rFonts w:ascii="Times New Roman" w:hAnsi="Times New Roman"/>
          <w:sz w:val="24"/>
        </w:rPr>
        <w:t xml:space="preserve"> a serious possibility of persecution on one of the five</w:t>
      </w:r>
      <w:r w:rsidR="008D59FF">
        <w:rPr>
          <w:rFonts w:ascii="Times New Roman" w:hAnsi="Times New Roman"/>
          <w:sz w:val="24"/>
        </w:rPr>
        <w:t> </w:t>
      </w:r>
      <w:r w:rsidRPr="00EB3660">
        <w:rPr>
          <w:rFonts w:ascii="Times New Roman" w:hAnsi="Times New Roman"/>
          <w:sz w:val="24"/>
        </w:rPr>
        <w:t>grounds set out in section</w:t>
      </w:r>
      <w:r w:rsidR="008D59FF">
        <w:rPr>
          <w:rFonts w:ascii="Times New Roman" w:hAnsi="Times New Roman"/>
          <w:sz w:val="24"/>
        </w:rPr>
        <w:t> </w:t>
      </w:r>
      <w:r w:rsidRPr="00EB3660">
        <w:rPr>
          <w:rFonts w:ascii="Times New Roman" w:hAnsi="Times New Roman"/>
          <w:sz w:val="24"/>
        </w:rPr>
        <w:t>96 of</w:t>
      </w:r>
      <w:r w:rsidRPr="00EB3660">
        <w:rPr>
          <w:rFonts w:ascii="Times New Roman" w:hAnsi="Times New Roman"/>
          <w:i/>
          <w:sz w:val="24"/>
        </w:rPr>
        <w:t xml:space="preserve"> </w:t>
      </w:r>
      <w:r w:rsidRPr="00EB3660">
        <w:rPr>
          <w:rFonts w:ascii="Times New Roman" w:hAnsi="Times New Roman"/>
          <w:sz w:val="24"/>
        </w:rPr>
        <w:t xml:space="preserve">the Act (race, religion, nationality, membership in a particular social group, </w:t>
      </w:r>
      <w:r w:rsidR="00BF481A">
        <w:rPr>
          <w:rFonts w:ascii="Times New Roman" w:hAnsi="Times New Roman"/>
          <w:sz w:val="24"/>
        </w:rPr>
        <w:t xml:space="preserve">and </w:t>
      </w:r>
      <w:r w:rsidRPr="00EB3660">
        <w:rPr>
          <w:rFonts w:ascii="Times New Roman" w:hAnsi="Times New Roman"/>
          <w:sz w:val="24"/>
        </w:rPr>
        <w:t xml:space="preserve">political opinion). This question is also relevant to consider in the </w:t>
      </w:r>
      <w:r w:rsidRPr="00EB3660">
        <w:rPr>
          <w:rFonts w:ascii="Times New Roman" w:hAnsi="Times New Roman"/>
          <w:sz w:val="24"/>
        </w:rPr>
        <w:lastRenderedPageBreak/>
        <w:t xml:space="preserve">case of the associate appellant. None of the appellants </w:t>
      </w:r>
      <w:r w:rsidR="00897C47">
        <w:rPr>
          <w:rFonts w:ascii="Times New Roman" w:hAnsi="Times New Roman"/>
          <w:sz w:val="24"/>
        </w:rPr>
        <w:t xml:space="preserve">have </w:t>
      </w:r>
      <w:r w:rsidRPr="00EB3660">
        <w:rPr>
          <w:rFonts w:ascii="Times New Roman" w:hAnsi="Times New Roman"/>
          <w:sz w:val="24"/>
        </w:rPr>
        <w:t>invoke</w:t>
      </w:r>
      <w:r w:rsidR="00897C47">
        <w:rPr>
          <w:rFonts w:ascii="Times New Roman" w:hAnsi="Times New Roman"/>
          <w:sz w:val="24"/>
        </w:rPr>
        <w:t>d</w:t>
      </w:r>
      <w:r w:rsidRPr="00EB3660">
        <w:rPr>
          <w:rFonts w:ascii="Times New Roman" w:hAnsi="Times New Roman"/>
          <w:sz w:val="24"/>
        </w:rPr>
        <w:t xml:space="preserve"> a risk based on section</w:t>
      </w:r>
      <w:r w:rsidR="00897C47">
        <w:rPr>
          <w:rFonts w:ascii="Times New Roman" w:hAnsi="Times New Roman"/>
          <w:sz w:val="24"/>
        </w:rPr>
        <w:t> </w:t>
      </w:r>
      <w:r w:rsidRPr="00EB3660">
        <w:rPr>
          <w:rFonts w:ascii="Times New Roman" w:hAnsi="Times New Roman"/>
          <w:sz w:val="24"/>
        </w:rPr>
        <w:t xml:space="preserve">97 of the Act, that is, the </w:t>
      </w:r>
      <w:r w:rsidR="003105D2">
        <w:rPr>
          <w:rFonts w:ascii="Times New Roman" w:hAnsi="Times New Roman"/>
          <w:sz w:val="24"/>
        </w:rPr>
        <w:t>likelihood</w:t>
      </w:r>
      <w:r w:rsidRPr="00EB3660">
        <w:rPr>
          <w:rFonts w:ascii="Times New Roman" w:hAnsi="Times New Roman"/>
          <w:sz w:val="24"/>
        </w:rPr>
        <w:t xml:space="preserve"> that they would be personally subjected to a risk to their </w:t>
      </w:r>
      <w:r w:rsidR="00897C47">
        <w:rPr>
          <w:rFonts w:ascii="Times New Roman" w:hAnsi="Times New Roman"/>
          <w:sz w:val="24"/>
        </w:rPr>
        <w:t>lives</w:t>
      </w:r>
      <w:r w:rsidR="006A21E6">
        <w:rPr>
          <w:rFonts w:ascii="Times New Roman" w:hAnsi="Times New Roman"/>
          <w:sz w:val="24"/>
        </w:rPr>
        <w:t xml:space="preserve">, </w:t>
      </w:r>
      <w:r w:rsidR="00492CE3">
        <w:rPr>
          <w:rFonts w:ascii="Times New Roman" w:hAnsi="Times New Roman"/>
          <w:sz w:val="24"/>
        </w:rPr>
        <w:t xml:space="preserve">to </w:t>
      </w:r>
      <w:r w:rsidR="006A21E6">
        <w:rPr>
          <w:rFonts w:ascii="Times New Roman" w:hAnsi="Times New Roman"/>
          <w:sz w:val="24"/>
        </w:rPr>
        <w:t>a danger of torture,</w:t>
      </w:r>
      <w:r w:rsidRPr="00EB3660">
        <w:rPr>
          <w:rFonts w:ascii="Times New Roman" w:hAnsi="Times New Roman"/>
          <w:sz w:val="24"/>
        </w:rPr>
        <w:t xml:space="preserve"> or </w:t>
      </w:r>
      <w:r w:rsidR="00492CE3">
        <w:rPr>
          <w:rFonts w:ascii="Times New Roman" w:hAnsi="Times New Roman"/>
          <w:sz w:val="24"/>
        </w:rPr>
        <w:t xml:space="preserve">to </w:t>
      </w:r>
      <w:r w:rsidRPr="00EB3660">
        <w:rPr>
          <w:rFonts w:ascii="Times New Roman" w:hAnsi="Times New Roman"/>
          <w:sz w:val="24"/>
        </w:rPr>
        <w:t>a risk of cruel and unusual treatment or punishment. I</w:t>
      </w:r>
      <w:r w:rsidR="00056FFD">
        <w:rPr>
          <w:rFonts w:ascii="Times New Roman" w:hAnsi="Times New Roman"/>
          <w:sz w:val="24"/>
        </w:rPr>
        <w:t xml:space="preserve"> will therefore not </w:t>
      </w:r>
      <w:proofErr w:type="gramStart"/>
      <w:r w:rsidR="00056FFD">
        <w:rPr>
          <w:rFonts w:ascii="Times New Roman" w:hAnsi="Times New Roman"/>
          <w:sz w:val="24"/>
        </w:rPr>
        <w:t>make a determination</w:t>
      </w:r>
      <w:proofErr w:type="gramEnd"/>
      <w:r w:rsidR="00056FFD">
        <w:rPr>
          <w:rFonts w:ascii="Times New Roman" w:hAnsi="Times New Roman"/>
          <w:sz w:val="24"/>
        </w:rPr>
        <w:t xml:space="preserve"> on that point.</w:t>
      </w:r>
    </w:p>
    <w:p w14:paraId="31A017FB" w14:textId="61496F88" w:rsidR="00E661BA" w:rsidRPr="00EB3660" w:rsidRDefault="00A22739" w:rsidP="00994FB6">
      <w:pPr>
        <w:pStyle w:val="ListParagraph"/>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 xml:space="preserve">I do not consider that the RPD erred in assessing the risk of persecution. I will not deny that there is a serious possibility that the appellants could face discrimination at some point in time. However, </w:t>
      </w:r>
      <w:proofErr w:type="gramStart"/>
      <w:r w:rsidRPr="00EB3660">
        <w:rPr>
          <w:rFonts w:ascii="Times New Roman" w:hAnsi="Times New Roman"/>
          <w:sz w:val="24"/>
        </w:rPr>
        <w:t>in order for</w:t>
      </w:r>
      <w:proofErr w:type="gramEnd"/>
      <w:r w:rsidRPr="00EB3660">
        <w:rPr>
          <w:rFonts w:ascii="Times New Roman" w:hAnsi="Times New Roman"/>
          <w:sz w:val="24"/>
        </w:rPr>
        <w:t xml:space="preserve"> discrimination to be considered persecution, it must be sustained or affect basic human rights.</w:t>
      </w:r>
      <w:r w:rsidRPr="00EB3660">
        <w:rPr>
          <w:rStyle w:val="EndnoteReference"/>
          <w:rFonts w:ascii="Times New Roman" w:hAnsi="Times New Roman"/>
          <w:sz w:val="24"/>
          <w:szCs w:val="24"/>
        </w:rPr>
        <w:endnoteReference w:id="12"/>
      </w:r>
      <w:r w:rsidRPr="00EB3660">
        <w:rPr>
          <w:rFonts w:ascii="Times New Roman" w:hAnsi="Times New Roman"/>
          <w:sz w:val="24"/>
        </w:rPr>
        <w:t xml:space="preserve"> The experiences of the </w:t>
      </w:r>
      <w:r w:rsidR="00703677" w:rsidRPr="00EB3660">
        <w:rPr>
          <w:rFonts w:ascii="Times New Roman" w:hAnsi="Times New Roman"/>
          <w:sz w:val="24"/>
        </w:rPr>
        <w:t xml:space="preserve">male </w:t>
      </w:r>
      <w:r w:rsidRPr="00EB3660">
        <w:rPr>
          <w:rFonts w:ascii="Times New Roman" w:hAnsi="Times New Roman"/>
          <w:sz w:val="24"/>
        </w:rPr>
        <w:t xml:space="preserve">appellant and associate appellant in Brazil are not sufficient to </w:t>
      </w:r>
      <w:r w:rsidR="00C33B37">
        <w:rPr>
          <w:rFonts w:ascii="Times New Roman" w:hAnsi="Times New Roman"/>
          <w:sz w:val="24"/>
        </w:rPr>
        <w:t>represent</w:t>
      </w:r>
      <w:r w:rsidRPr="00EB3660">
        <w:rPr>
          <w:rFonts w:ascii="Times New Roman" w:hAnsi="Times New Roman"/>
          <w:sz w:val="24"/>
        </w:rPr>
        <w:t xml:space="preserve"> a serious possibility that the level of discrimination to which they would be subjected in the future is serious enough to </w:t>
      </w:r>
      <w:r w:rsidR="00437A4B">
        <w:rPr>
          <w:rFonts w:ascii="Times New Roman" w:hAnsi="Times New Roman"/>
          <w:sz w:val="24"/>
        </w:rPr>
        <w:t>amount to</w:t>
      </w:r>
      <w:r w:rsidRPr="00EB3660">
        <w:rPr>
          <w:rFonts w:ascii="Times New Roman" w:hAnsi="Times New Roman"/>
          <w:sz w:val="24"/>
        </w:rPr>
        <w:t xml:space="preserve"> persecution. After weighing all the factors in </w:t>
      </w:r>
      <w:r w:rsidRPr="00EB3660">
        <w:rPr>
          <w:rFonts w:ascii="Times New Roman" w:hAnsi="Times New Roman"/>
          <w:i/>
          <w:iCs/>
          <w:sz w:val="24"/>
        </w:rPr>
        <w:t>Zeng</w:t>
      </w:r>
      <w:r w:rsidRPr="00EB3660">
        <w:rPr>
          <w:rFonts w:ascii="Times New Roman" w:hAnsi="Times New Roman"/>
          <w:sz w:val="24"/>
        </w:rPr>
        <w:t xml:space="preserve">, although the risk in Haiti </w:t>
      </w:r>
      <w:r w:rsidR="002D2283" w:rsidRPr="00EB3660">
        <w:rPr>
          <w:rFonts w:ascii="Times New Roman" w:hAnsi="Times New Roman"/>
          <w:sz w:val="24"/>
        </w:rPr>
        <w:t>weighs</w:t>
      </w:r>
      <w:r w:rsidRPr="00EB3660">
        <w:rPr>
          <w:rFonts w:ascii="Times New Roman" w:hAnsi="Times New Roman"/>
          <w:sz w:val="24"/>
        </w:rPr>
        <w:t xml:space="preserve"> against </w:t>
      </w:r>
      <w:r w:rsidR="00F562DC" w:rsidRPr="00EB3660">
        <w:rPr>
          <w:rFonts w:ascii="Times New Roman" w:hAnsi="Times New Roman"/>
          <w:sz w:val="24"/>
        </w:rPr>
        <w:t>exclusion</w:t>
      </w:r>
      <w:r w:rsidR="00502F90">
        <w:rPr>
          <w:rFonts w:ascii="Times New Roman" w:hAnsi="Times New Roman"/>
          <w:iCs/>
          <w:sz w:val="24"/>
        </w:rPr>
        <w:t xml:space="preserve">, the appellants </w:t>
      </w:r>
      <w:r w:rsidRPr="00EB3660">
        <w:rPr>
          <w:rFonts w:ascii="Times New Roman" w:hAnsi="Times New Roman"/>
          <w:sz w:val="24"/>
        </w:rPr>
        <w:t xml:space="preserve">lost their status </w:t>
      </w:r>
      <w:r w:rsidR="00502F90" w:rsidRPr="00EB3660">
        <w:rPr>
          <w:rFonts w:ascii="Times New Roman" w:hAnsi="Times New Roman"/>
          <w:sz w:val="24"/>
        </w:rPr>
        <w:t xml:space="preserve">voluntarily </w:t>
      </w:r>
      <w:r w:rsidRPr="00EB3660">
        <w:rPr>
          <w:rFonts w:ascii="Times New Roman" w:hAnsi="Times New Roman"/>
          <w:sz w:val="24"/>
        </w:rPr>
        <w:t xml:space="preserve">and can return to Brazil. In addition, they would not face a serious possibility of persecution by reason of their race or nationality should they return to Brazil. Under the circumstances, Canada </w:t>
      </w:r>
      <w:r w:rsidR="007B49A4">
        <w:rPr>
          <w:rFonts w:ascii="Times New Roman" w:hAnsi="Times New Roman"/>
          <w:sz w:val="24"/>
        </w:rPr>
        <w:t>is</w:t>
      </w:r>
      <w:r w:rsidRPr="00EB3660">
        <w:rPr>
          <w:rFonts w:ascii="Times New Roman" w:hAnsi="Times New Roman"/>
          <w:sz w:val="24"/>
        </w:rPr>
        <w:t xml:space="preserve"> not violating its international obligations by excluding the appellants from the protection of the Act. The R</w:t>
      </w:r>
      <w:r w:rsidR="00A0245A">
        <w:rPr>
          <w:rFonts w:ascii="Times New Roman" w:hAnsi="Times New Roman"/>
          <w:sz w:val="24"/>
        </w:rPr>
        <w:t>A</w:t>
      </w:r>
      <w:r w:rsidRPr="00EB3660">
        <w:rPr>
          <w:rFonts w:ascii="Times New Roman" w:hAnsi="Times New Roman"/>
          <w:sz w:val="24"/>
        </w:rPr>
        <w:t xml:space="preserve">D </w:t>
      </w:r>
      <w:r w:rsidR="00CD55C0">
        <w:rPr>
          <w:rFonts w:ascii="Times New Roman" w:hAnsi="Times New Roman"/>
          <w:sz w:val="24"/>
        </w:rPr>
        <w:t xml:space="preserve">has </w:t>
      </w:r>
      <w:r w:rsidRPr="00EB3660">
        <w:rPr>
          <w:rFonts w:ascii="Times New Roman" w:hAnsi="Times New Roman"/>
          <w:sz w:val="24"/>
        </w:rPr>
        <w:t xml:space="preserve">weighed all the factors in </w:t>
      </w:r>
      <w:r w:rsidRPr="00EB3660">
        <w:rPr>
          <w:rFonts w:ascii="Times New Roman" w:hAnsi="Times New Roman"/>
          <w:i/>
          <w:sz w:val="24"/>
        </w:rPr>
        <w:t>Zeng</w:t>
      </w:r>
      <w:r w:rsidRPr="00EB3660">
        <w:rPr>
          <w:rFonts w:ascii="Times New Roman" w:hAnsi="Times New Roman"/>
          <w:sz w:val="24"/>
        </w:rPr>
        <w:t xml:space="preserve"> and they </w:t>
      </w:r>
      <w:r w:rsidR="002D2283" w:rsidRPr="00EB3660">
        <w:rPr>
          <w:rFonts w:ascii="Times New Roman" w:hAnsi="Times New Roman"/>
          <w:sz w:val="24"/>
        </w:rPr>
        <w:t>weigh</w:t>
      </w:r>
      <w:r w:rsidRPr="00EB3660">
        <w:rPr>
          <w:rFonts w:ascii="Times New Roman" w:hAnsi="Times New Roman"/>
          <w:sz w:val="24"/>
        </w:rPr>
        <w:t xml:space="preserve"> in favour of </w:t>
      </w:r>
      <w:r w:rsidR="00CD55C0">
        <w:rPr>
          <w:rFonts w:ascii="Times New Roman" w:hAnsi="Times New Roman"/>
          <w:sz w:val="24"/>
        </w:rPr>
        <w:t xml:space="preserve">excluding </w:t>
      </w:r>
      <w:r w:rsidRPr="00EB3660">
        <w:rPr>
          <w:rFonts w:ascii="Times New Roman" w:hAnsi="Times New Roman"/>
          <w:sz w:val="24"/>
        </w:rPr>
        <w:t xml:space="preserve">the </w:t>
      </w:r>
      <w:r w:rsidR="00703677" w:rsidRPr="00EB3660">
        <w:rPr>
          <w:rFonts w:ascii="Times New Roman" w:hAnsi="Times New Roman"/>
          <w:sz w:val="24"/>
        </w:rPr>
        <w:t xml:space="preserve">male </w:t>
      </w:r>
      <w:r w:rsidRPr="00EB3660">
        <w:rPr>
          <w:rFonts w:ascii="Times New Roman" w:hAnsi="Times New Roman"/>
          <w:sz w:val="24"/>
        </w:rPr>
        <w:t xml:space="preserve">appellant under Article 1E of the Convention. Consequently, the </w:t>
      </w:r>
      <w:r w:rsidR="00703677" w:rsidRPr="00EB3660">
        <w:rPr>
          <w:rFonts w:ascii="Times New Roman" w:hAnsi="Times New Roman"/>
          <w:sz w:val="24"/>
        </w:rPr>
        <w:t xml:space="preserve">male </w:t>
      </w:r>
      <w:r w:rsidRPr="00EB3660">
        <w:rPr>
          <w:rFonts w:ascii="Times New Roman" w:hAnsi="Times New Roman"/>
          <w:sz w:val="24"/>
        </w:rPr>
        <w:t xml:space="preserve">appellant and the associate appellant are persons </w:t>
      </w:r>
      <w:r w:rsidR="00703677" w:rsidRPr="00EB3660">
        <w:rPr>
          <w:rFonts w:ascii="Times New Roman" w:hAnsi="Times New Roman"/>
          <w:sz w:val="24"/>
        </w:rPr>
        <w:t>described</w:t>
      </w:r>
      <w:r w:rsidRPr="00EB3660">
        <w:rPr>
          <w:rFonts w:ascii="Times New Roman" w:hAnsi="Times New Roman"/>
          <w:sz w:val="24"/>
        </w:rPr>
        <w:t xml:space="preserve"> in Article 1E and are excluded from protection </w:t>
      </w:r>
      <w:r w:rsidR="00372C10">
        <w:rPr>
          <w:rFonts w:ascii="Times New Roman" w:hAnsi="Times New Roman"/>
          <w:sz w:val="24"/>
        </w:rPr>
        <w:t>in</w:t>
      </w:r>
      <w:r w:rsidRPr="00EB3660">
        <w:rPr>
          <w:rFonts w:ascii="Times New Roman" w:hAnsi="Times New Roman"/>
          <w:sz w:val="24"/>
        </w:rPr>
        <w:t xml:space="preserve"> Canada.</w:t>
      </w:r>
    </w:p>
    <w:p w14:paraId="54B8BBF0" w14:textId="64DB1A1E" w:rsidR="00C61840" w:rsidRPr="00EB3660" w:rsidRDefault="00C61840" w:rsidP="00C8004A">
      <w:pPr>
        <w:tabs>
          <w:tab w:val="left" w:pos="709"/>
        </w:tabs>
        <w:spacing w:before="240" w:line="360" w:lineRule="auto"/>
        <w:rPr>
          <w:rFonts w:cs="Times New Roman"/>
          <w:b/>
          <w:bCs/>
          <w:szCs w:val="24"/>
        </w:rPr>
      </w:pPr>
      <w:r w:rsidRPr="00EB3660">
        <w:rPr>
          <w:b/>
        </w:rPr>
        <w:t>The minor children</w:t>
      </w:r>
    </w:p>
    <w:p w14:paraId="6B8BDE6D" w14:textId="4DB92CEE" w:rsidR="00C844B1" w:rsidRPr="00EB3660" w:rsidRDefault="00C61840" w:rsidP="006E5528">
      <w:pPr>
        <w:pStyle w:val="ListParagraph"/>
        <w:numPr>
          <w:ilvl w:val="0"/>
          <w:numId w:val="1"/>
        </w:numPr>
        <w:tabs>
          <w:tab w:val="clear" w:pos="720"/>
          <w:tab w:val="left" w:pos="709"/>
          <w:tab w:val="num" w:pos="862"/>
        </w:tabs>
        <w:spacing w:before="240" w:after="240" w:line="360" w:lineRule="auto"/>
        <w:ind w:left="0" w:firstLine="0"/>
        <w:rPr>
          <w:rFonts w:ascii="Times New Roman" w:hAnsi="Times New Roman"/>
          <w:b/>
          <w:sz w:val="24"/>
          <w:szCs w:val="24"/>
        </w:rPr>
      </w:pPr>
      <w:r w:rsidRPr="00EB3660">
        <w:rPr>
          <w:rFonts w:ascii="Times New Roman" w:hAnsi="Times New Roman"/>
          <w:sz w:val="24"/>
        </w:rPr>
        <w:t xml:space="preserve">The minor children are Brazilian citizens. </w:t>
      </w:r>
      <w:r w:rsidR="00237692">
        <w:rPr>
          <w:rFonts w:ascii="Times New Roman" w:hAnsi="Times New Roman"/>
          <w:sz w:val="24"/>
        </w:rPr>
        <w:t>T</w:t>
      </w:r>
      <w:r w:rsidRPr="00EB3660">
        <w:rPr>
          <w:rFonts w:ascii="Times New Roman" w:hAnsi="Times New Roman"/>
          <w:sz w:val="24"/>
        </w:rPr>
        <w:t xml:space="preserve">he principal </w:t>
      </w:r>
      <w:r w:rsidR="00EE0B9A">
        <w:rPr>
          <w:rFonts w:ascii="Times New Roman" w:hAnsi="Times New Roman"/>
          <w:sz w:val="24"/>
        </w:rPr>
        <w:t>appellant</w:t>
      </w:r>
      <w:r w:rsidR="00237692">
        <w:rPr>
          <w:rFonts w:ascii="Times New Roman" w:hAnsi="Times New Roman"/>
          <w:sz w:val="24"/>
        </w:rPr>
        <w:t xml:space="preserve">, as their designated representative, </w:t>
      </w:r>
      <w:r w:rsidRPr="00EB3660">
        <w:rPr>
          <w:rFonts w:ascii="Times New Roman" w:hAnsi="Times New Roman"/>
          <w:sz w:val="24"/>
        </w:rPr>
        <w:t>did not present evidence or testimony that the minor children would fear persecution or would personally be subjected to a danger of torture, to a risk to their lives or to a risk of cruel and unusual treatment or punishment in Brazil.</w:t>
      </w:r>
    </w:p>
    <w:p w14:paraId="7F29E2D7" w14:textId="508244B2" w:rsidR="00C4485B" w:rsidRPr="00EB3660" w:rsidRDefault="00C4485B" w:rsidP="006E5528">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b/>
          <w:bCs/>
          <w:spacing w:val="0"/>
          <w:szCs w:val="24"/>
        </w:rPr>
      </w:pPr>
      <w:r w:rsidRPr="00EB3660">
        <w:t>In this case, after reviewing all the evidence, the RPD decision</w:t>
      </w:r>
      <w:r w:rsidR="00FD58A5">
        <w:t xml:space="preserve"> and </w:t>
      </w:r>
      <w:r w:rsidRPr="00EB3660">
        <w:t>the recording of the hearing</w:t>
      </w:r>
      <w:r w:rsidR="00FD58A5">
        <w:t>,</w:t>
      </w:r>
      <w:r w:rsidRPr="00EB3660">
        <w:t xml:space="preserve"> and having considered the arguments presented on appeal, I </w:t>
      </w:r>
      <w:r w:rsidR="005B4A2A">
        <w:t>conclude</w:t>
      </w:r>
      <w:r w:rsidRPr="00EB3660">
        <w:t xml:space="preserve"> that the decision to reject the refugee protection claim was correct.</w:t>
      </w:r>
    </w:p>
    <w:p w14:paraId="48DD1CFE" w14:textId="1258AA91" w:rsidR="001728B7" w:rsidRPr="00EB3660" w:rsidRDefault="001728B7" w:rsidP="005B4A2A">
      <w:pPr>
        <w:pStyle w:val="NormalParagNum"/>
        <w:keepNext/>
        <w:keepLines/>
        <w:tabs>
          <w:tab w:val="clear" w:pos="720"/>
        </w:tabs>
        <w:spacing w:before="240" w:after="120"/>
        <w:ind w:left="0" w:firstLine="0"/>
        <w:rPr>
          <w:b/>
          <w:szCs w:val="24"/>
        </w:rPr>
      </w:pPr>
      <w:r w:rsidRPr="00EB3660">
        <w:rPr>
          <w:b/>
        </w:rPr>
        <w:lastRenderedPageBreak/>
        <w:t>CONCLUSION</w:t>
      </w:r>
    </w:p>
    <w:p w14:paraId="65AE1AE8" w14:textId="7A0B98D8" w:rsidR="001728B7" w:rsidRPr="00EB3660" w:rsidRDefault="001728B7" w:rsidP="005B4A2A">
      <w:pPr>
        <w:pStyle w:val="ListParagraph"/>
        <w:keepNext/>
        <w:keepLines/>
        <w:numPr>
          <w:ilvl w:val="0"/>
          <w:numId w:val="1"/>
        </w:numPr>
        <w:tabs>
          <w:tab w:val="num" w:pos="862"/>
        </w:tabs>
        <w:spacing w:before="240" w:after="240" w:line="360" w:lineRule="auto"/>
        <w:ind w:left="0" w:firstLine="0"/>
        <w:rPr>
          <w:rFonts w:ascii="Times New Roman" w:hAnsi="Times New Roman"/>
          <w:sz w:val="24"/>
          <w:szCs w:val="24"/>
        </w:rPr>
      </w:pPr>
      <w:r w:rsidRPr="00EB3660">
        <w:rPr>
          <w:rFonts w:ascii="Times New Roman" w:hAnsi="Times New Roman"/>
          <w:sz w:val="24"/>
        </w:rPr>
        <w:t>I dismiss the appeal and confirm the RPD</w:t>
      </w:r>
      <w:r w:rsidR="00EB3660" w:rsidRPr="00EB3660">
        <w:rPr>
          <w:rFonts w:ascii="Times New Roman" w:hAnsi="Times New Roman"/>
          <w:sz w:val="24"/>
        </w:rPr>
        <w:t>’</w:t>
      </w:r>
      <w:r w:rsidRPr="00EB3660">
        <w:rPr>
          <w:rFonts w:ascii="Times New Roman" w:hAnsi="Times New Roman"/>
          <w:sz w:val="24"/>
        </w:rPr>
        <w:t>s determination that the appellants are neither Convention refugees nor persons in need of protection.</w:t>
      </w:r>
    </w:p>
    <w:p w14:paraId="560A73DD" w14:textId="1B17B012" w:rsidR="00B646B0" w:rsidRPr="00EB3660" w:rsidRDefault="00B646B0" w:rsidP="00B646B0">
      <w:pPr>
        <w:tabs>
          <w:tab w:val="left" w:pos="4320"/>
          <w:tab w:val="left" w:pos="5529"/>
          <w:tab w:val="left" w:pos="6096"/>
        </w:tabs>
        <w:spacing w:before="0" w:after="0"/>
        <w:jc w:val="left"/>
        <w:rPr>
          <w:rFonts w:cs="Times New Roman"/>
          <w:highlight w:val="yellow"/>
        </w:rPr>
      </w:pPr>
    </w:p>
    <w:p w14:paraId="76CA6A9E" w14:textId="77777777" w:rsidR="00994FB6" w:rsidRPr="00EB3660" w:rsidRDefault="00994FB6" w:rsidP="00B646B0">
      <w:pPr>
        <w:tabs>
          <w:tab w:val="left" w:pos="4320"/>
          <w:tab w:val="left" w:pos="5529"/>
          <w:tab w:val="left" w:pos="6096"/>
        </w:tabs>
        <w:spacing w:before="0" w:after="0"/>
        <w:jc w:val="left"/>
        <w:rPr>
          <w:rFonts w:cs="Times New Roman"/>
          <w:highlight w:val="yellow"/>
        </w:rPr>
      </w:pPr>
    </w:p>
    <w:tbl>
      <w:tblPr>
        <w:tblW w:w="5000" w:type="pct"/>
        <w:jc w:val="center"/>
        <w:tblLayout w:type="fixed"/>
        <w:tblCellMar>
          <w:left w:w="0" w:type="dxa"/>
          <w:right w:w="0" w:type="dxa"/>
        </w:tblCellMar>
        <w:tblLook w:val="0000" w:firstRow="0" w:lastRow="0" w:firstColumn="0" w:lastColumn="0" w:noHBand="0" w:noVBand="0"/>
      </w:tblPr>
      <w:tblGrid>
        <w:gridCol w:w="4627"/>
        <w:gridCol w:w="4733"/>
      </w:tblGrid>
      <w:tr w:rsidR="00EB3660" w:rsidRPr="00EB3660" w14:paraId="0D7D97BA" w14:textId="77777777" w:rsidTr="00280082">
        <w:trPr>
          <w:trHeight w:hRule="exact" w:val="567"/>
          <w:jc w:val="center"/>
        </w:trPr>
        <w:tc>
          <w:tcPr>
            <w:tcW w:w="4840" w:type="dxa"/>
          </w:tcPr>
          <w:p w14:paraId="6A0BCAF6" w14:textId="77777777" w:rsidR="00B646B0" w:rsidRPr="00EB3660" w:rsidRDefault="00B646B0" w:rsidP="00ED7A2A">
            <w:pPr>
              <w:spacing w:before="60" w:after="0"/>
              <w:jc w:val="right"/>
              <w:rPr>
                <w:rFonts w:cs="Times New Roman"/>
                <w:spacing w:val="0"/>
                <w:szCs w:val="24"/>
              </w:rPr>
            </w:pPr>
            <w:r w:rsidRPr="00EB3660">
              <w:t>(</w:t>
            </w:r>
            <w:r w:rsidRPr="00EB3660">
              <w:rPr>
                <w:i/>
              </w:rPr>
              <w:t>signed</w:t>
            </w:r>
            <w:r w:rsidRPr="00EB3660">
              <w:t>)</w:t>
            </w:r>
          </w:p>
        </w:tc>
        <w:tc>
          <w:tcPr>
            <w:tcW w:w="4950" w:type="dxa"/>
            <w:tcBorders>
              <w:bottom w:val="single" w:sz="6" w:space="0" w:color="auto"/>
            </w:tcBorders>
          </w:tcPr>
          <w:p w14:paraId="61762BDD" w14:textId="1291B4A0" w:rsidR="00B646B0" w:rsidRPr="00EB3660" w:rsidRDefault="00FE41CE" w:rsidP="00ED7A2A">
            <w:pPr>
              <w:spacing w:before="60" w:after="0"/>
              <w:jc w:val="center"/>
              <w:rPr>
                <w:rFonts w:cs="Times New Roman"/>
                <w:i/>
                <w:sz w:val="22"/>
                <w:szCs w:val="22"/>
              </w:rPr>
            </w:pPr>
            <w:r w:rsidRPr="00EB3660">
              <w:rPr>
                <w:i/>
                <w:sz w:val="22"/>
              </w:rPr>
              <w:t>Pascale Aubin</w:t>
            </w:r>
          </w:p>
        </w:tc>
      </w:tr>
      <w:tr w:rsidR="00EB3660" w:rsidRPr="00EB3660" w14:paraId="6174B0D8" w14:textId="77777777" w:rsidTr="00280082">
        <w:trPr>
          <w:trHeight w:hRule="exact" w:val="567"/>
          <w:jc w:val="center"/>
        </w:trPr>
        <w:tc>
          <w:tcPr>
            <w:tcW w:w="4840" w:type="dxa"/>
          </w:tcPr>
          <w:p w14:paraId="26327744" w14:textId="77777777" w:rsidR="00B646B0" w:rsidRPr="00EB3660" w:rsidRDefault="00B646B0" w:rsidP="00ED7A2A">
            <w:pPr>
              <w:spacing w:before="0" w:after="240"/>
              <w:jc w:val="center"/>
              <w:rPr>
                <w:rFonts w:cs="Times New Roman"/>
                <w:sz w:val="22"/>
                <w:szCs w:val="22"/>
              </w:rPr>
            </w:pPr>
          </w:p>
        </w:tc>
        <w:tc>
          <w:tcPr>
            <w:tcW w:w="4950" w:type="dxa"/>
          </w:tcPr>
          <w:p w14:paraId="7916241F" w14:textId="77777777" w:rsidR="00B646B0" w:rsidRPr="00EB3660" w:rsidRDefault="003E4148" w:rsidP="00B00137">
            <w:pPr>
              <w:tabs>
                <w:tab w:val="center" w:pos="2366"/>
              </w:tabs>
              <w:spacing w:before="0" w:after="0"/>
              <w:jc w:val="center"/>
              <w:rPr>
                <w:rFonts w:cs="Times New Roman"/>
                <w:b/>
                <w:szCs w:val="24"/>
              </w:rPr>
            </w:pPr>
            <w:r w:rsidRPr="00EB3660">
              <w:rPr>
                <w:b/>
              </w:rPr>
              <w:t>Pascale Aubin</w:t>
            </w:r>
          </w:p>
        </w:tc>
      </w:tr>
      <w:tr w:rsidR="00EB3660" w:rsidRPr="00EB3660" w14:paraId="6426CB9B" w14:textId="77777777" w:rsidTr="00280082">
        <w:trPr>
          <w:trHeight w:hRule="exact" w:val="567"/>
          <w:jc w:val="center"/>
        </w:trPr>
        <w:tc>
          <w:tcPr>
            <w:tcW w:w="4840" w:type="dxa"/>
          </w:tcPr>
          <w:p w14:paraId="54B14AC6" w14:textId="77777777" w:rsidR="00B646B0" w:rsidRPr="00EB3660" w:rsidRDefault="00B646B0" w:rsidP="00ED7A2A">
            <w:pPr>
              <w:rPr>
                <w:rFonts w:cs="Times New Roman"/>
                <w:sz w:val="22"/>
                <w:szCs w:val="22"/>
              </w:rPr>
            </w:pPr>
          </w:p>
        </w:tc>
        <w:tc>
          <w:tcPr>
            <w:tcW w:w="4950" w:type="dxa"/>
            <w:tcBorders>
              <w:bottom w:val="single" w:sz="6" w:space="0" w:color="auto"/>
            </w:tcBorders>
          </w:tcPr>
          <w:p w14:paraId="308E74E2" w14:textId="59F5FE80" w:rsidR="00B646B0" w:rsidRPr="00EB3660" w:rsidRDefault="00FE41CE" w:rsidP="00ED7A2A">
            <w:pPr>
              <w:jc w:val="center"/>
              <w:rPr>
                <w:rFonts w:cs="Times New Roman"/>
                <w:b/>
                <w:sz w:val="22"/>
                <w:szCs w:val="22"/>
              </w:rPr>
            </w:pPr>
            <w:r w:rsidRPr="00EB3660">
              <w:rPr>
                <w:b/>
                <w:sz w:val="22"/>
              </w:rPr>
              <w:t>March 23, 2021</w:t>
            </w:r>
          </w:p>
        </w:tc>
      </w:tr>
      <w:tr w:rsidR="00EB3660" w:rsidRPr="00EB3660" w14:paraId="6B6A831A" w14:textId="77777777" w:rsidTr="00280082">
        <w:trPr>
          <w:trHeight w:hRule="exact" w:val="567"/>
          <w:jc w:val="center"/>
        </w:trPr>
        <w:tc>
          <w:tcPr>
            <w:tcW w:w="4840" w:type="dxa"/>
          </w:tcPr>
          <w:p w14:paraId="3F5DDA6B" w14:textId="77777777" w:rsidR="00B646B0" w:rsidRPr="00EB3660" w:rsidRDefault="00B646B0" w:rsidP="00ED7A2A">
            <w:pPr>
              <w:spacing w:before="0" w:after="0"/>
              <w:rPr>
                <w:rFonts w:cs="Times New Roman"/>
                <w:sz w:val="22"/>
                <w:szCs w:val="22"/>
              </w:rPr>
            </w:pPr>
          </w:p>
        </w:tc>
        <w:tc>
          <w:tcPr>
            <w:tcW w:w="4950" w:type="dxa"/>
          </w:tcPr>
          <w:p w14:paraId="0E90FDEF" w14:textId="18653A8F" w:rsidR="00B646B0" w:rsidRPr="00EB3660" w:rsidRDefault="00B646B0" w:rsidP="002D2283">
            <w:pPr>
              <w:tabs>
                <w:tab w:val="left" w:pos="440"/>
                <w:tab w:val="center" w:pos="2366"/>
              </w:tabs>
              <w:spacing w:before="0" w:after="0"/>
              <w:jc w:val="center"/>
              <w:rPr>
                <w:rFonts w:cs="Times New Roman"/>
                <w:b/>
                <w:szCs w:val="24"/>
              </w:rPr>
            </w:pPr>
            <w:r w:rsidRPr="00EB3660">
              <w:rPr>
                <w:b/>
              </w:rPr>
              <w:t xml:space="preserve">Date </w:t>
            </w:r>
          </w:p>
        </w:tc>
      </w:tr>
    </w:tbl>
    <w:p w14:paraId="70346F02" w14:textId="2AA602CE" w:rsidR="00F44A72" w:rsidRPr="00EB3660" w:rsidRDefault="002D2283" w:rsidP="00A22E16">
      <w:r w:rsidRPr="00EB3660">
        <w:t>IRB translation</w:t>
      </w:r>
    </w:p>
    <w:p w14:paraId="3DC6754C" w14:textId="62AC7937" w:rsidR="002D2283" w:rsidRPr="00EB3660" w:rsidRDefault="002D2283" w:rsidP="00A22E16">
      <w:r w:rsidRPr="00EB3660">
        <w:t>Original language: French</w:t>
      </w:r>
    </w:p>
    <w:sectPr w:rsidR="002D2283" w:rsidRPr="00EB3660" w:rsidSect="00EF6796">
      <w:headerReference w:type="default" r:id="rId12"/>
      <w:footerReference w:type="default" r:id="rId13"/>
      <w:headerReference w:type="first" r:id="rId14"/>
      <w:footerReference w:type="first" r:id="rId15"/>
      <w:endnotePr>
        <w:numFmt w:val="decimal"/>
      </w:endnotePr>
      <w:pgSz w:w="12240" w:h="15840" w:code="1"/>
      <w:pgMar w:top="1097" w:right="1440" w:bottom="1440" w:left="1440" w:header="737" w:footer="45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6FEA6" w14:textId="77777777" w:rsidR="00B24005" w:rsidRDefault="00B24005" w:rsidP="00E619B7">
      <w:pPr>
        <w:spacing w:before="0" w:after="0"/>
      </w:pPr>
      <w:r>
        <w:separator/>
      </w:r>
    </w:p>
  </w:endnote>
  <w:endnote w:type="continuationSeparator" w:id="0">
    <w:p w14:paraId="6E4D57D3" w14:textId="77777777" w:rsidR="00B24005" w:rsidRDefault="00B24005" w:rsidP="00E619B7">
      <w:pPr>
        <w:spacing w:before="0" w:after="0"/>
      </w:pPr>
      <w:r>
        <w:continuationSeparator/>
      </w:r>
    </w:p>
  </w:endnote>
  <w:endnote w:id="1">
    <w:p w14:paraId="7CD8107B" w14:textId="1964AE59" w:rsidR="007A2EBF" w:rsidRPr="005B4A2A" w:rsidRDefault="007A2EBF">
      <w:pPr>
        <w:pStyle w:val="EndnoteText"/>
        <w:rPr>
          <w:rFonts w:ascii="Times New Roman" w:hAnsi="Times New Roman"/>
          <w:noProof w:val="0"/>
        </w:rPr>
      </w:pPr>
      <w:r w:rsidRPr="005B4A2A">
        <w:rPr>
          <w:rStyle w:val="EndnoteReference"/>
          <w:rFonts w:ascii="Times New Roman" w:hAnsi="Times New Roman"/>
          <w:noProof w:val="0"/>
        </w:rPr>
        <w:endnoteRef/>
      </w:r>
      <w:r w:rsidR="005B4A2A" w:rsidRPr="005B4A2A">
        <w:rPr>
          <w:rFonts w:ascii="Times New Roman" w:hAnsi="Times New Roman"/>
          <w:i/>
          <w:noProof w:val="0"/>
        </w:rPr>
        <w:t xml:space="preserve"> </w:t>
      </w:r>
      <w:r w:rsidRPr="005B4A2A">
        <w:rPr>
          <w:rFonts w:ascii="Times New Roman" w:hAnsi="Times New Roman"/>
          <w:i/>
          <w:noProof w:val="0"/>
        </w:rPr>
        <w:t>Canada (Citizenship and Immigration) v. Huruglica</w:t>
      </w:r>
      <w:r w:rsidRPr="005B4A2A">
        <w:rPr>
          <w:rFonts w:ascii="Times New Roman" w:hAnsi="Times New Roman"/>
          <w:noProof w:val="0"/>
        </w:rPr>
        <w:t xml:space="preserve">, 2016 FCA 93; </w:t>
      </w:r>
      <w:r w:rsidRPr="005B4A2A">
        <w:rPr>
          <w:rFonts w:ascii="Times New Roman" w:hAnsi="Times New Roman"/>
          <w:i/>
          <w:noProof w:val="0"/>
        </w:rPr>
        <w:t>Rozas del Solar v. Canada (Citizenship and Immigration)</w:t>
      </w:r>
      <w:r w:rsidRPr="005B4A2A">
        <w:rPr>
          <w:rFonts w:ascii="Times New Roman" w:hAnsi="Times New Roman"/>
          <w:iCs/>
          <w:noProof w:val="0"/>
        </w:rPr>
        <w:t xml:space="preserve">, </w:t>
      </w:r>
      <w:r w:rsidRPr="005B4A2A">
        <w:rPr>
          <w:rFonts w:ascii="Times New Roman" w:hAnsi="Times New Roman"/>
          <w:noProof w:val="0"/>
        </w:rPr>
        <w:t>2018 FC 1145.</w:t>
      </w:r>
    </w:p>
  </w:endnote>
  <w:endnote w:id="2">
    <w:p w14:paraId="4E24FD86" w14:textId="1DAB5520" w:rsidR="00A22739" w:rsidRPr="005B4A2A" w:rsidRDefault="00A22739" w:rsidP="00A22739">
      <w:pPr>
        <w:pStyle w:val="EndnoteText"/>
        <w:rPr>
          <w:rFonts w:ascii="Times New Roman" w:hAnsi="Times New Roman"/>
          <w:noProof w:val="0"/>
        </w:rPr>
      </w:pPr>
      <w:r w:rsidRPr="005B4A2A">
        <w:rPr>
          <w:rStyle w:val="EndnoteReference"/>
          <w:rFonts w:ascii="Times New Roman" w:hAnsi="Times New Roman"/>
          <w:noProof w:val="0"/>
        </w:rPr>
        <w:endnoteRef/>
      </w:r>
      <w:r w:rsidR="005B4A2A">
        <w:rPr>
          <w:rFonts w:ascii="Times New Roman" w:hAnsi="Times New Roman"/>
          <w:noProof w:val="0"/>
        </w:rPr>
        <w:t xml:space="preserve"> </w:t>
      </w:r>
      <w:r w:rsidRPr="005B4A2A">
        <w:rPr>
          <w:rFonts w:ascii="Times New Roman" w:hAnsi="Times New Roman"/>
          <w:noProof w:val="0"/>
        </w:rPr>
        <w:t xml:space="preserve">SPR-1, Refugee Protection Division (RPD) record, National Documentation Package </w:t>
      </w:r>
      <w:r w:rsidR="008904F8">
        <w:rPr>
          <w:rFonts w:ascii="Times New Roman" w:hAnsi="Times New Roman"/>
          <w:noProof w:val="0"/>
        </w:rPr>
        <w:t xml:space="preserve">(NDP) </w:t>
      </w:r>
      <w:r w:rsidRPr="005B4A2A">
        <w:rPr>
          <w:rFonts w:ascii="Times New Roman" w:hAnsi="Times New Roman"/>
          <w:noProof w:val="0"/>
        </w:rPr>
        <w:t xml:space="preserve">on Brazil (March 29, 2019), </w:t>
      </w:r>
      <w:r w:rsidR="002614E4">
        <w:rPr>
          <w:rFonts w:ascii="Times New Roman" w:hAnsi="Times New Roman"/>
          <w:noProof w:val="0"/>
        </w:rPr>
        <w:t>T</w:t>
      </w:r>
      <w:r w:rsidRPr="005B4A2A">
        <w:rPr>
          <w:rFonts w:ascii="Times New Roman" w:hAnsi="Times New Roman"/>
          <w:noProof w:val="0"/>
        </w:rPr>
        <w:t>ab</w:t>
      </w:r>
      <w:r w:rsidR="002614E4">
        <w:rPr>
          <w:rFonts w:ascii="Times New Roman" w:hAnsi="Times New Roman"/>
          <w:noProof w:val="0"/>
        </w:rPr>
        <w:t> </w:t>
      </w:r>
      <w:r w:rsidRPr="005B4A2A">
        <w:rPr>
          <w:rFonts w:ascii="Times New Roman" w:hAnsi="Times New Roman"/>
          <w:noProof w:val="0"/>
        </w:rPr>
        <w:t xml:space="preserve">3.4, </w:t>
      </w:r>
      <w:r w:rsidRPr="005B4A2A">
        <w:t>The rights and duties of permanent residents, including the rights and duties of individuals who have a permanent visa, such as professors, researchers, highly-skilled technicians and foreign scientists; procedure to obtain or renew a residency permit; grounds for losing permanent residence</w:t>
      </w:r>
      <w:r w:rsidR="00D35F6D">
        <w:t xml:space="preserve"> </w:t>
      </w:r>
      <w:r w:rsidRPr="005B4A2A">
        <w:t>(2014-May 2016), BRA105515.FE, Immigration and Refugee Board of Canada</w:t>
      </w:r>
      <w:r w:rsidR="00D070B6">
        <w:t xml:space="preserve"> (IRB)</w:t>
      </w:r>
      <w:r w:rsidRPr="005B4A2A">
        <w:t>, May 25, 2016.</w:t>
      </w:r>
    </w:p>
  </w:endnote>
  <w:endnote w:id="3">
    <w:p w14:paraId="3F8B14BC" w14:textId="6F0A8EBA" w:rsidR="00571797" w:rsidRPr="005B4A2A" w:rsidRDefault="00571797" w:rsidP="00571797">
      <w:pPr>
        <w:pStyle w:val="EndnoteText"/>
        <w:rPr>
          <w:rFonts w:ascii="Times New Roman" w:hAnsi="Times New Roman"/>
          <w:noProof w:val="0"/>
        </w:rPr>
      </w:pPr>
      <w:r w:rsidRPr="005B4A2A">
        <w:rPr>
          <w:rStyle w:val="EndnoteReference"/>
          <w:rFonts w:ascii="Times New Roman" w:hAnsi="Times New Roman"/>
          <w:noProof w:val="0"/>
        </w:rPr>
        <w:endnoteRef/>
      </w:r>
      <w:r w:rsidRPr="005B4A2A">
        <w:rPr>
          <w:rFonts w:ascii="Times New Roman" w:hAnsi="Times New Roman"/>
          <w:noProof w:val="0"/>
        </w:rPr>
        <w:t xml:space="preserve"> </w:t>
      </w:r>
      <w:r w:rsidRPr="005B4A2A">
        <w:rPr>
          <w:rFonts w:ascii="Times New Roman" w:hAnsi="Times New Roman"/>
          <w:i/>
          <w:noProof w:val="0"/>
        </w:rPr>
        <w:t>Bandula v. (Minister of Citizenship and Immigration)</w:t>
      </w:r>
      <w:r w:rsidRPr="005B4A2A">
        <w:rPr>
          <w:rFonts w:ascii="Times New Roman" w:hAnsi="Times New Roman"/>
          <w:noProof w:val="0"/>
        </w:rPr>
        <w:t xml:space="preserve">, 2003 FC 1062; </w:t>
      </w:r>
      <w:r w:rsidRPr="005B4A2A">
        <w:rPr>
          <w:rFonts w:ascii="Times New Roman" w:hAnsi="Times New Roman"/>
          <w:i/>
          <w:noProof w:val="0"/>
        </w:rPr>
        <w:t>Sagharichi</w:t>
      </w:r>
      <w:r w:rsidRPr="005B4A2A">
        <w:rPr>
          <w:rFonts w:ascii="Times New Roman" w:hAnsi="Times New Roman"/>
          <w:noProof w:val="0"/>
        </w:rPr>
        <w:t xml:space="preserve"> </w:t>
      </w:r>
      <w:r w:rsidRPr="005B4A2A">
        <w:rPr>
          <w:rFonts w:ascii="Times New Roman" w:hAnsi="Times New Roman"/>
          <w:i/>
          <w:iCs/>
          <w:noProof w:val="0"/>
        </w:rPr>
        <w:t>v</w:t>
      </w:r>
      <w:r w:rsidRPr="005B4A2A">
        <w:rPr>
          <w:rFonts w:ascii="Times New Roman" w:hAnsi="Times New Roman"/>
          <w:noProof w:val="0"/>
        </w:rPr>
        <w:t xml:space="preserve">. </w:t>
      </w:r>
      <w:r w:rsidRPr="00B52A09">
        <w:rPr>
          <w:rFonts w:ascii="Times New Roman" w:hAnsi="Times New Roman"/>
          <w:i/>
          <w:noProof w:val="0"/>
        </w:rPr>
        <w:t>Canada (Minister of Employment and Immigration)</w:t>
      </w:r>
      <w:r w:rsidRPr="005B4A2A">
        <w:rPr>
          <w:rFonts w:ascii="Times New Roman" w:hAnsi="Times New Roman"/>
          <w:noProof w:val="0"/>
        </w:rPr>
        <w:t xml:space="preserve"> </w:t>
      </w:r>
      <w:r w:rsidRPr="00B52A09">
        <w:rPr>
          <w:rFonts w:ascii="Times New Roman" w:hAnsi="Times New Roman"/>
          <w:noProof w:val="0"/>
        </w:rPr>
        <w:t>(1993), 182 N.R. 398 (C.A.)</w:t>
      </w:r>
      <w:r w:rsidRPr="005B4A2A">
        <w:rPr>
          <w:rFonts w:ascii="Times New Roman" w:hAnsi="Times New Roman"/>
          <w:noProof w:val="0"/>
        </w:rPr>
        <w:t xml:space="preserve">; </w:t>
      </w:r>
      <w:r w:rsidRPr="005B4A2A">
        <w:rPr>
          <w:rFonts w:ascii="Times New Roman" w:hAnsi="Times New Roman"/>
          <w:i/>
          <w:noProof w:val="0"/>
        </w:rPr>
        <w:t>Rajudeen v. Canada (Minister of Employment and Immigration</w:t>
      </w:r>
      <w:r w:rsidR="00B7347F">
        <w:rPr>
          <w:rFonts w:ascii="Times New Roman" w:hAnsi="Times New Roman"/>
          <w:i/>
          <w:noProof w:val="0"/>
        </w:rPr>
        <w:t>)</w:t>
      </w:r>
      <w:r w:rsidR="00EB31B3">
        <w:rPr>
          <w:rFonts w:ascii="Times New Roman" w:hAnsi="Times New Roman"/>
          <w:iCs/>
          <w:noProof w:val="0"/>
        </w:rPr>
        <w:t>,</w:t>
      </w:r>
      <w:r w:rsidRPr="005B4A2A">
        <w:rPr>
          <w:rFonts w:ascii="Times New Roman" w:hAnsi="Times New Roman"/>
          <w:noProof w:val="0"/>
        </w:rPr>
        <w:t xml:space="preserve"> [1984] F.C.J. No. 601 (C.A.).</w:t>
      </w:r>
    </w:p>
  </w:endnote>
  <w:endnote w:id="4">
    <w:p w14:paraId="55A73B39" w14:textId="77777777" w:rsidR="00571797" w:rsidRPr="005B4A2A" w:rsidRDefault="00571797" w:rsidP="00571797">
      <w:pPr>
        <w:pStyle w:val="EndnoteText"/>
        <w:rPr>
          <w:rFonts w:ascii="Times New Roman" w:hAnsi="Times New Roman"/>
          <w:noProof w:val="0"/>
        </w:rPr>
      </w:pPr>
      <w:r w:rsidRPr="005B4A2A">
        <w:rPr>
          <w:rStyle w:val="EndnoteReference"/>
          <w:rFonts w:ascii="Times New Roman" w:hAnsi="Times New Roman"/>
          <w:noProof w:val="0"/>
        </w:rPr>
        <w:endnoteRef/>
      </w:r>
      <w:r w:rsidRPr="005B4A2A">
        <w:rPr>
          <w:rFonts w:ascii="Times New Roman" w:hAnsi="Times New Roman"/>
          <w:noProof w:val="0"/>
        </w:rPr>
        <w:t xml:space="preserve"> </w:t>
      </w:r>
      <w:r w:rsidRPr="005B4A2A">
        <w:rPr>
          <w:rFonts w:ascii="Times New Roman" w:hAnsi="Times New Roman"/>
          <w:i/>
          <w:noProof w:val="0"/>
        </w:rPr>
        <w:t>Bandula v. (Minister of Citizenship and Immigration)</w:t>
      </w:r>
      <w:r w:rsidRPr="005B4A2A">
        <w:rPr>
          <w:rFonts w:ascii="Times New Roman" w:hAnsi="Times New Roman"/>
          <w:noProof w:val="0"/>
        </w:rPr>
        <w:t xml:space="preserve">, 2003 FC 1062; </w:t>
      </w:r>
      <w:r w:rsidRPr="005B4A2A">
        <w:rPr>
          <w:rFonts w:ascii="Times New Roman" w:hAnsi="Times New Roman"/>
          <w:i/>
          <w:noProof w:val="0"/>
        </w:rPr>
        <w:t>N. K. v. Canada (Solicitor General)</w:t>
      </w:r>
      <w:r w:rsidRPr="005B4A2A">
        <w:rPr>
          <w:rFonts w:ascii="Times New Roman" w:hAnsi="Times New Roman"/>
          <w:noProof w:val="0"/>
        </w:rPr>
        <w:t>, [1995] F.C.J. No. 889, at paragraph 21 (T.D.).</w:t>
      </w:r>
    </w:p>
  </w:endnote>
  <w:endnote w:id="5">
    <w:p w14:paraId="6C33C93B" w14:textId="6A7A08CB" w:rsidR="00CF2ABA" w:rsidRPr="005B4A2A" w:rsidRDefault="00CF2ABA">
      <w:pPr>
        <w:pStyle w:val="EndnoteText"/>
        <w:rPr>
          <w:rFonts w:ascii="Times New Roman" w:hAnsi="Times New Roman"/>
          <w:noProof w:val="0"/>
        </w:rPr>
      </w:pPr>
      <w:r w:rsidRPr="005B4A2A">
        <w:rPr>
          <w:rStyle w:val="EndnoteReference"/>
          <w:rFonts w:ascii="Times New Roman" w:hAnsi="Times New Roman"/>
          <w:noProof w:val="0"/>
        </w:rPr>
        <w:endnoteRef/>
      </w:r>
      <w:r w:rsidRPr="005B4A2A">
        <w:rPr>
          <w:rFonts w:ascii="Times New Roman" w:hAnsi="Times New Roman"/>
          <w:noProof w:val="0"/>
        </w:rPr>
        <w:t xml:space="preserve"> Transcript of the RPD hearing, July 5, 2019, pp. 9 and 10.</w:t>
      </w:r>
    </w:p>
  </w:endnote>
  <w:endnote w:id="6">
    <w:p w14:paraId="396CC563" w14:textId="5DEF9979" w:rsidR="002F5A03" w:rsidRPr="005B4A2A" w:rsidRDefault="002F5A03">
      <w:pPr>
        <w:pStyle w:val="EndnoteText"/>
        <w:rPr>
          <w:rFonts w:ascii="Times New Roman" w:hAnsi="Times New Roman"/>
          <w:noProof w:val="0"/>
        </w:rPr>
      </w:pPr>
      <w:r w:rsidRPr="005B4A2A">
        <w:rPr>
          <w:rStyle w:val="EndnoteReference"/>
          <w:rFonts w:ascii="Times New Roman" w:hAnsi="Times New Roman"/>
          <w:noProof w:val="0"/>
        </w:rPr>
        <w:endnoteRef/>
      </w:r>
      <w:r w:rsidRPr="005B4A2A">
        <w:rPr>
          <w:rFonts w:ascii="Times New Roman" w:hAnsi="Times New Roman"/>
          <w:noProof w:val="0"/>
        </w:rPr>
        <w:t xml:space="preserve"> Ibid., pp. 6 and 7.</w:t>
      </w:r>
    </w:p>
  </w:endnote>
  <w:endnote w:id="7">
    <w:p w14:paraId="54034424" w14:textId="4BDF9332" w:rsidR="00AC464C" w:rsidRPr="005B4A2A" w:rsidRDefault="00AC464C">
      <w:pPr>
        <w:pStyle w:val="EndnoteText"/>
        <w:rPr>
          <w:rFonts w:ascii="Times New Roman" w:hAnsi="Times New Roman"/>
          <w:noProof w:val="0"/>
        </w:rPr>
      </w:pPr>
      <w:r w:rsidRPr="005B4A2A">
        <w:rPr>
          <w:rStyle w:val="EndnoteReference"/>
          <w:rFonts w:ascii="Times New Roman" w:hAnsi="Times New Roman"/>
          <w:noProof w:val="0"/>
        </w:rPr>
        <w:endnoteRef/>
      </w:r>
      <w:r w:rsidRPr="005B4A2A">
        <w:rPr>
          <w:rFonts w:ascii="Times New Roman" w:hAnsi="Times New Roman"/>
          <w:noProof w:val="0"/>
        </w:rPr>
        <w:t xml:space="preserve"> Ibid., pp. 12 and 13.</w:t>
      </w:r>
    </w:p>
  </w:endnote>
  <w:endnote w:id="8">
    <w:p w14:paraId="3CEDBE05" w14:textId="43ACA02C" w:rsidR="00703890" w:rsidRPr="005B4A2A" w:rsidRDefault="00703890">
      <w:pPr>
        <w:pStyle w:val="EndnoteText"/>
        <w:rPr>
          <w:rFonts w:ascii="Times New Roman" w:hAnsi="Times New Roman"/>
          <w:noProof w:val="0"/>
        </w:rPr>
      </w:pPr>
      <w:r w:rsidRPr="005B4A2A">
        <w:rPr>
          <w:rStyle w:val="EndnoteReference"/>
          <w:rFonts w:ascii="Times New Roman" w:hAnsi="Times New Roman"/>
          <w:noProof w:val="0"/>
        </w:rPr>
        <w:endnoteRef/>
      </w:r>
      <w:r w:rsidRPr="005B4A2A">
        <w:rPr>
          <w:rFonts w:ascii="Times New Roman" w:hAnsi="Times New Roman"/>
          <w:noProof w:val="0"/>
        </w:rPr>
        <w:t xml:space="preserve"> Ibid., p.</w:t>
      </w:r>
      <w:r w:rsidR="00CC39C4">
        <w:rPr>
          <w:rFonts w:ascii="Times New Roman" w:hAnsi="Times New Roman"/>
          <w:noProof w:val="0"/>
        </w:rPr>
        <w:t xml:space="preserve"> </w:t>
      </w:r>
      <w:r w:rsidRPr="005B4A2A">
        <w:rPr>
          <w:rFonts w:ascii="Times New Roman" w:hAnsi="Times New Roman"/>
          <w:noProof w:val="0"/>
        </w:rPr>
        <w:t>13.</w:t>
      </w:r>
    </w:p>
  </w:endnote>
  <w:endnote w:id="9">
    <w:p w14:paraId="42BAE5B7" w14:textId="5089A168" w:rsidR="006812CD" w:rsidRPr="005B4A2A" w:rsidRDefault="006812CD">
      <w:pPr>
        <w:pStyle w:val="EndnoteText"/>
        <w:rPr>
          <w:rFonts w:ascii="Times New Roman" w:hAnsi="Times New Roman"/>
          <w:noProof w:val="0"/>
        </w:rPr>
      </w:pPr>
      <w:r w:rsidRPr="005B4A2A">
        <w:rPr>
          <w:rStyle w:val="EndnoteReference"/>
          <w:rFonts w:ascii="Times New Roman" w:hAnsi="Times New Roman"/>
          <w:noProof w:val="0"/>
        </w:rPr>
        <w:endnoteRef/>
      </w:r>
      <w:r w:rsidR="002D2283" w:rsidRPr="005B4A2A">
        <w:rPr>
          <w:rFonts w:ascii="Times New Roman" w:hAnsi="Times New Roman"/>
          <w:noProof w:val="0"/>
        </w:rPr>
        <w:t xml:space="preserve"> </w:t>
      </w:r>
      <w:r w:rsidRPr="005B4A2A">
        <w:rPr>
          <w:rFonts w:ascii="Times New Roman" w:hAnsi="Times New Roman"/>
          <w:noProof w:val="0"/>
        </w:rPr>
        <w:t>Ibid., p.</w:t>
      </w:r>
      <w:r w:rsidR="00CC39C4">
        <w:rPr>
          <w:rFonts w:ascii="Times New Roman" w:hAnsi="Times New Roman"/>
          <w:noProof w:val="0"/>
        </w:rPr>
        <w:t xml:space="preserve"> </w:t>
      </w:r>
      <w:r w:rsidRPr="005B4A2A">
        <w:rPr>
          <w:rFonts w:ascii="Times New Roman" w:hAnsi="Times New Roman"/>
          <w:noProof w:val="0"/>
        </w:rPr>
        <w:t>14.</w:t>
      </w:r>
    </w:p>
  </w:endnote>
  <w:endnote w:id="10">
    <w:p w14:paraId="7D90C69E" w14:textId="4B02026D" w:rsidR="008C7CF5" w:rsidRPr="005B4A2A" w:rsidRDefault="008C7CF5">
      <w:pPr>
        <w:pStyle w:val="EndnoteText"/>
        <w:rPr>
          <w:rFonts w:ascii="Times New Roman" w:hAnsi="Times New Roman"/>
          <w:noProof w:val="0"/>
        </w:rPr>
      </w:pPr>
      <w:r w:rsidRPr="005B4A2A">
        <w:rPr>
          <w:rStyle w:val="EndnoteReference"/>
          <w:rFonts w:ascii="Times New Roman" w:hAnsi="Times New Roman"/>
          <w:noProof w:val="0"/>
        </w:rPr>
        <w:endnoteRef/>
      </w:r>
      <w:r w:rsidRPr="005B4A2A">
        <w:rPr>
          <w:rFonts w:ascii="Times New Roman" w:hAnsi="Times New Roman"/>
          <w:noProof w:val="0"/>
        </w:rPr>
        <w:t xml:space="preserve"> Ibid., p.</w:t>
      </w:r>
      <w:r w:rsidR="00CC39C4">
        <w:rPr>
          <w:rFonts w:ascii="Times New Roman" w:hAnsi="Times New Roman"/>
          <w:noProof w:val="0"/>
        </w:rPr>
        <w:t xml:space="preserve"> </w:t>
      </w:r>
      <w:r w:rsidRPr="005B4A2A">
        <w:rPr>
          <w:rFonts w:ascii="Times New Roman" w:hAnsi="Times New Roman"/>
          <w:noProof w:val="0"/>
        </w:rPr>
        <w:t>15.</w:t>
      </w:r>
    </w:p>
  </w:endnote>
  <w:endnote w:id="11">
    <w:p w14:paraId="4955576C" w14:textId="03F76B16" w:rsidR="00A22739" w:rsidRPr="00F43C99" w:rsidRDefault="00A22739" w:rsidP="00A22739">
      <w:pPr>
        <w:tabs>
          <w:tab w:val="clear" w:pos="576"/>
          <w:tab w:val="clear" w:pos="1008"/>
          <w:tab w:val="clear" w:pos="1440"/>
          <w:tab w:val="clear" w:pos="1872"/>
          <w:tab w:val="clear" w:pos="2304"/>
          <w:tab w:val="clear" w:pos="2736"/>
        </w:tabs>
        <w:spacing w:before="0" w:after="0"/>
        <w:jc w:val="left"/>
        <w:rPr>
          <w:rFonts w:cs="Times New Roman"/>
          <w:sz w:val="20"/>
        </w:rPr>
      </w:pPr>
      <w:r w:rsidRPr="00F43C99">
        <w:rPr>
          <w:rStyle w:val="EndnoteReference"/>
          <w:rFonts w:cs="Times New Roman"/>
          <w:sz w:val="20"/>
        </w:rPr>
        <w:endnoteRef/>
      </w:r>
      <w:r w:rsidRPr="00F43C99">
        <w:rPr>
          <w:rFonts w:cs="Times New Roman"/>
          <w:sz w:val="20"/>
        </w:rPr>
        <w:t xml:space="preserve"> SPR-1, RPD record, document 3, NDP on Haiti, June 28, 2019, </w:t>
      </w:r>
      <w:r w:rsidR="001861E5" w:rsidRPr="00F43C99">
        <w:rPr>
          <w:rFonts w:cs="Times New Roman"/>
          <w:sz w:val="20"/>
        </w:rPr>
        <w:t>T</w:t>
      </w:r>
      <w:r w:rsidRPr="00F43C99">
        <w:rPr>
          <w:rFonts w:cs="Times New Roman"/>
          <w:sz w:val="20"/>
        </w:rPr>
        <w:t>ab</w:t>
      </w:r>
      <w:r w:rsidR="001861E5" w:rsidRPr="00F43C99">
        <w:rPr>
          <w:rFonts w:cs="Times New Roman"/>
          <w:sz w:val="20"/>
        </w:rPr>
        <w:t> </w:t>
      </w:r>
      <w:r w:rsidRPr="00F43C99">
        <w:rPr>
          <w:rFonts w:cs="Times New Roman"/>
          <w:sz w:val="20"/>
        </w:rPr>
        <w:t xml:space="preserve">14.14, </w:t>
      </w:r>
      <w:r w:rsidRPr="00F43C99">
        <w:rPr>
          <w:sz w:val="20"/>
        </w:rPr>
        <w:t>Brazil and Haiti: Whether it is possible for Haitian nationals whose children have Brazilian citizenship to obtain permanent resident status; requirements and application</w:t>
      </w:r>
      <w:r w:rsidRPr="006E35BB">
        <w:rPr>
          <w:sz w:val="20"/>
        </w:rPr>
        <w:t xml:space="preserve"> </w:t>
      </w:r>
      <w:r w:rsidRPr="00F43C99">
        <w:rPr>
          <w:rFonts w:cs="Times New Roman"/>
          <w:iCs/>
          <w:sz w:val="20"/>
        </w:rPr>
        <w:t>procedure (2017-April 2019)</w:t>
      </w:r>
      <w:r w:rsidRPr="00F43C99">
        <w:rPr>
          <w:rFonts w:cs="Times New Roman"/>
          <w:sz w:val="20"/>
        </w:rPr>
        <w:t xml:space="preserve">, Research Directorate, </w:t>
      </w:r>
      <w:r w:rsidR="00D070B6">
        <w:rPr>
          <w:rFonts w:cs="Times New Roman"/>
          <w:sz w:val="20"/>
        </w:rPr>
        <w:t>IRB</w:t>
      </w:r>
      <w:r w:rsidRPr="00F43C99">
        <w:rPr>
          <w:rFonts w:cs="Times New Roman"/>
          <w:sz w:val="20"/>
        </w:rPr>
        <w:t xml:space="preserve">, </w:t>
      </w:r>
      <w:r w:rsidRPr="00F43C99">
        <w:rPr>
          <w:sz w:val="20"/>
        </w:rPr>
        <w:t>ZZZ106283.FE, April 15, 2019.</w:t>
      </w:r>
    </w:p>
  </w:endnote>
  <w:endnote w:id="12">
    <w:p w14:paraId="44C360D4" w14:textId="77777777" w:rsidR="00A22739" w:rsidRPr="005B4A2A" w:rsidRDefault="00A22739" w:rsidP="00A22739">
      <w:pPr>
        <w:pStyle w:val="EndnoteText"/>
        <w:rPr>
          <w:rFonts w:ascii="Times New Roman" w:hAnsi="Times New Roman"/>
          <w:noProof w:val="0"/>
          <w:shd w:val="clear" w:color="auto" w:fill="F9F9F9"/>
        </w:rPr>
      </w:pPr>
      <w:r w:rsidRPr="005B4A2A">
        <w:rPr>
          <w:rStyle w:val="EndnoteReference"/>
          <w:rFonts w:ascii="Times New Roman" w:hAnsi="Times New Roman"/>
          <w:noProof w:val="0"/>
        </w:rPr>
        <w:endnoteRef/>
      </w:r>
      <w:r w:rsidRPr="005B4A2A">
        <w:rPr>
          <w:rFonts w:ascii="Times New Roman" w:hAnsi="Times New Roman"/>
          <w:noProof w:val="0"/>
        </w:rPr>
        <w:t xml:space="preserve"> </w:t>
      </w:r>
      <w:r w:rsidRPr="005B4A2A">
        <w:rPr>
          <w:rStyle w:val="Emphasis"/>
          <w:rFonts w:ascii="Times New Roman" w:hAnsi="Times New Roman"/>
          <w:noProof w:val="0"/>
        </w:rPr>
        <w:t>Canada (Attorney General) v. Ward</w:t>
      </w:r>
      <w:r w:rsidRPr="004052D7">
        <w:t>, [1993] 2 S.C.R. 689.</w:t>
      </w:r>
    </w:p>
    <w:p w14:paraId="166689A6" w14:textId="77777777" w:rsidR="00A22739" w:rsidRPr="005B4A2A" w:rsidRDefault="00A22739" w:rsidP="00A22739">
      <w:pPr>
        <w:pStyle w:val="EndnoteText"/>
        <w:rPr>
          <w:rFonts w:ascii="Times New Roman" w:hAnsi="Times New Roman"/>
          <w:noProof w:val="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Times New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11" w:type="pct"/>
      <w:jc w:val="center"/>
      <w:tblLayout w:type="fixed"/>
      <w:tblCellMar>
        <w:left w:w="0" w:type="dxa"/>
        <w:right w:w="0" w:type="dxa"/>
      </w:tblCellMar>
      <w:tblLook w:val="01E0" w:firstRow="1" w:lastRow="1" w:firstColumn="1" w:lastColumn="1" w:noHBand="0" w:noVBand="0"/>
    </w:tblPr>
    <w:tblGrid>
      <w:gridCol w:w="4027"/>
      <w:gridCol w:w="406"/>
      <w:gridCol w:w="4760"/>
    </w:tblGrid>
    <w:sdt>
      <w:sdtPr>
        <w:id w:val="-732855932"/>
        <w:docPartObj>
          <w:docPartGallery w:val="Page Numbers (Bottom of Page)"/>
          <w:docPartUnique/>
        </w:docPartObj>
      </w:sdtPr>
      <w:sdtEndPr>
        <w:rPr>
          <w:noProof/>
        </w:rPr>
      </w:sdtEndPr>
      <w:sdtContent>
        <w:tr w:rsidR="00AD2BAC" w:rsidRPr="00471164" w14:paraId="4E4257A4" w14:textId="77777777" w:rsidTr="00EF6796">
          <w:trPr>
            <w:trHeight w:val="370"/>
            <w:jc w:val="center"/>
          </w:trPr>
          <w:tc>
            <w:tcPr>
              <w:tcW w:w="4027" w:type="dxa"/>
              <w:shd w:val="clear" w:color="auto" w:fill="auto"/>
              <w:noWrap/>
            </w:tcPr>
            <w:p w14:paraId="163E0E5A" w14:textId="77777777" w:rsidR="00AD2BAC" w:rsidRPr="002D2283" w:rsidRDefault="00B1716D" w:rsidP="00AD2BAC">
              <w:pPr>
                <w:spacing w:before="0" w:after="0"/>
                <w:rPr>
                  <w:noProof/>
                  <w:sz w:val="20"/>
                  <w:lang w:val="fr-CA"/>
                </w:rPr>
              </w:pPr>
              <w:r w:rsidRPr="002D2283">
                <w:rPr>
                  <w:sz w:val="20"/>
                  <w:lang w:val="fr-CA"/>
                </w:rPr>
                <w:t>RAD.25.02 (</w:t>
              </w:r>
              <w:proofErr w:type="spellStart"/>
              <w:r w:rsidRPr="002D2283">
                <w:rPr>
                  <w:sz w:val="20"/>
                  <w:lang w:val="fr-CA"/>
                </w:rPr>
                <w:t>January</w:t>
              </w:r>
              <w:proofErr w:type="spellEnd"/>
              <w:r w:rsidRPr="002D2283">
                <w:rPr>
                  <w:sz w:val="20"/>
                  <w:lang w:val="fr-CA"/>
                </w:rPr>
                <w:t> 2020)</w:t>
              </w:r>
            </w:p>
            <w:p w14:paraId="65B94B0A" w14:textId="77777777" w:rsidR="00AD2BAC" w:rsidRPr="002D2283" w:rsidRDefault="00AD2BAC" w:rsidP="00AD2BAC">
              <w:pPr>
                <w:spacing w:before="0" w:after="0"/>
                <w:rPr>
                  <w:lang w:val="fr-CA"/>
                </w:rPr>
              </w:pPr>
              <w:r w:rsidRPr="002D2283">
                <w:rPr>
                  <w:i/>
                  <w:sz w:val="20"/>
                  <w:lang w:val="fr-CA"/>
                </w:rPr>
                <w:t>Disponible en français</w:t>
              </w:r>
              <w:r w:rsidRPr="002D2283">
                <w:rPr>
                  <w:lang w:val="fr-CA"/>
                </w:rPr>
                <w:t xml:space="preserve"> </w:t>
              </w:r>
            </w:p>
          </w:tc>
          <w:tc>
            <w:tcPr>
              <w:tcW w:w="406" w:type="dxa"/>
            </w:tcPr>
            <w:p w14:paraId="1080AF41" w14:textId="60C0133B" w:rsidR="00AD2BAC" w:rsidRPr="004D4EA6" w:rsidRDefault="00636911" w:rsidP="00AD2BAC">
              <w:pPr>
                <w:tabs>
                  <w:tab w:val="left" w:pos="195"/>
                </w:tabs>
                <w:spacing w:before="0" w:after="0"/>
                <w:jc w:val="center"/>
                <w:rPr>
                  <w:noProof/>
                  <w:sz w:val="22"/>
                  <w:szCs w:val="22"/>
                </w:rPr>
              </w:pPr>
              <w:r w:rsidRPr="004D4EA6">
                <w:rPr>
                  <w:sz w:val="22"/>
                </w:rPr>
                <w:fldChar w:fldCharType="begin"/>
              </w:r>
              <w:r w:rsidRPr="004D4EA6">
                <w:rPr>
                  <w:sz w:val="22"/>
                </w:rPr>
                <w:instrText xml:space="preserve"> PAGE   \* MERGEFORMAT </w:instrText>
              </w:r>
              <w:r w:rsidRPr="004D4EA6">
                <w:rPr>
                  <w:sz w:val="22"/>
                </w:rPr>
                <w:fldChar w:fldCharType="separate"/>
              </w:r>
              <w:r w:rsidR="007846E1">
                <w:rPr>
                  <w:noProof/>
                  <w:sz w:val="22"/>
                </w:rPr>
                <w:t>6</w:t>
              </w:r>
              <w:r w:rsidRPr="004D4EA6">
                <w:rPr>
                  <w:sz w:val="22"/>
                </w:rPr>
                <w:fldChar w:fldCharType="end"/>
              </w:r>
            </w:p>
          </w:tc>
          <w:tc>
            <w:tcPr>
              <w:tcW w:w="4760" w:type="dxa"/>
              <w:shd w:val="clear" w:color="auto" w:fill="auto"/>
              <w:noWrap/>
            </w:tcPr>
            <w:p w14:paraId="33D00451" w14:textId="77777777" w:rsidR="00AD2BAC" w:rsidRPr="00471164" w:rsidRDefault="00AD2BAC" w:rsidP="00D54067">
              <w:pPr>
                <w:spacing w:before="0" w:after="0"/>
                <w:jc w:val="right"/>
                <w:rPr>
                  <w:noProof/>
                  <w:sz w:val="20"/>
                </w:rPr>
              </w:pPr>
              <w:r>
                <w:rPr>
                  <w:noProof/>
                  <w:sz w:val="20"/>
                  <w:lang w:eastAsia="en-CA"/>
                </w:rPr>
                <w:drawing>
                  <wp:anchor distT="0" distB="0" distL="114300" distR="114300" simplePos="0" relativeHeight="251663360" behindDoc="1" locked="1" layoutInCell="1" allowOverlap="0" wp14:anchorId="7945FEAD" wp14:editId="0D48354D">
                    <wp:simplePos x="6130776" y="9272875"/>
                    <wp:positionH relativeFrom="margin">
                      <wp:align>right</wp:align>
                    </wp:positionH>
                    <wp:positionV relativeFrom="bottomMargin">
                      <wp:align>inside</wp:align>
                    </wp:positionV>
                    <wp:extent cx="813816" cy="237744"/>
                    <wp:effectExtent l="0" t="0" r="57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sdtContent>
    </w:sdt>
  </w:tbl>
  <w:p w14:paraId="6228FB9A" w14:textId="77777777" w:rsidR="004D2B8C" w:rsidRPr="00EF6796" w:rsidRDefault="004D2B8C" w:rsidP="005917D9">
    <w:pPr>
      <w:pStyle w:val="Footer"/>
      <w:spacing w:before="0" w:after="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120A49" w:rsidRPr="003669D6" w14:paraId="29CEFEA3" w14:textId="77777777" w:rsidTr="00ED7A2A">
      <w:trPr>
        <w:jc w:val="center"/>
      </w:trPr>
      <w:tc>
        <w:tcPr>
          <w:tcW w:w="4323" w:type="dxa"/>
          <w:shd w:val="clear" w:color="auto" w:fill="auto"/>
          <w:noWrap/>
        </w:tcPr>
        <w:p w14:paraId="1EE83A91" w14:textId="77777777" w:rsidR="00120A49" w:rsidRPr="002D2283" w:rsidRDefault="00DE71B2" w:rsidP="00120A49">
          <w:pPr>
            <w:spacing w:before="0" w:after="0"/>
            <w:rPr>
              <w:noProof/>
              <w:sz w:val="20"/>
              <w:lang w:val="fr-CA"/>
            </w:rPr>
          </w:pPr>
          <w:r w:rsidRPr="002D2283">
            <w:rPr>
              <w:sz w:val="20"/>
              <w:lang w:val="fr-CA"/>
            </w:rPr>
            <w:t>RAD.25.02 (</w:t>
          </w:r>
          <w:proofErr w:type="spellStart"/>
          <w:r w:rsidRPr="002D2283">
            <w:rPr>
              <w:sz w:val="20"/>
              <w:lang w:val="fr-CA"/>
            </w:rPr>
            <w:t>January</w:t>
          </w:r>
          <w:proofErr w:type="spellEnd"/>
          <w:r w:rsidRPr="002D2283">
            <w:rPr>
              <w:sz w:val="20"/>
              <w:lang w:val="fr-CA"/>
            </w:rPr>
            <w:t> 2020)</w:t>
          </w:r>
        </w:p>
        <w:p w14:paraId="4E1B816D" w14:textId="77777777" w:rsidR="00120A49" w:rsidRPr="002D2283" w:rsidRDefault="00C87B10" w:rsidP="00120A49">
          <w:pPr>
            <w:spacing w:before="0" w:after="0"/>
            <w:rPr>
              <w:i/>
              <w:noProof/>
              <w:sz w:val="20"/>
              <w:lang w:val="fr-CA"/>
            </w:rPr>
          </w:pPr>
          <w:r w:rsidRPr="002D2283">
            <w:rPr>
              <w:i/>
              <w:sz w:val="20"/>
              <w:lang w:val="fr-CA"/>
            </w:rPr>
            <w:t>Disponible en français</w:t>
          </w:r>
        </w:p>
      </w:tc>
      <w:tc>
        <w:tcPr>
          <w:tcW w:w="5037" w:type="dxa"/>
          <w:shd w:val="clear" w:color="auto" w:fill="auto"/>
          <w:noWrap/>
        </w:tcPr>
        <w:p w14:paraId="104107A5" w14:textId="77777777" w:rsidR="00120A49" w:rsidRPr="002D2283" w:rsidRDefault="00120A49" w:rsidP="00120A49">
          <w:pPr>
            <w:spacing w:before="0" w:after="0"/>
            <w:jc w:val="right"/>
            <w:rPr>
              <w:noProof/>
              <w:sz w:val="20"/>
              <w:lang w:val="fr-CA"/>
            </w:rPr>
          </w:pPr>
          <w:r>
            <w:rPr>
              <w:noProof/>
              <w:sz w:val="20"/>
              <w:lang w:eastAsia="en-CA"/>
            </w:rPr>
            <w:drawing>
              <wp:anchor distT="0" distB="0" distL="114300" distR="114300" simplePos="0" relativeHeight="251659264" behindDoc="1" locked="1" layoutInCell="1" allowOverlap="0" wp14:anchorId="016732D5" wp14:editId="6F15C495">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50B87D0" w14:textId="77777777" w:rsidR="00120A49" w:rsidRPr="002D2283" w:rsidRDefault="00120A49">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0525B" w14:textId="77777777" w:rsidR="00B24005" w:rsidRDefault="00B24005" w:rsidP="00E619B7">
      <w:pPr>
        <w:spacing w:before="0" w:after="0"/>
      </w:pPr>
      <w:r>
        <w:separator/>
      </w:r>
    </w:p>
  </w:footnote>
  <w:footnote w:type="continuationSeparator" w:id="0">
    <w:p w14:paraId="4F90157D" w14:textId="77777777" w:rsidR="00B24005" w:rsidRDefault="00B24005" w:rsidP="00E619B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EF675" w14:textId="3412978A" w:rsidR="003E4148" w:rsidRPr="00E05F6A" w:rsidRDefault="0065042E" w:rsidP="003F63F7">
    <w:pPr>
      <w:pStyle w:val="Header"/>
      <w:jc w:val="right"/>
      <w:rPr>
        <w:rFonts w:ascii="Times New Roman" w:hAnsi="Times New Roman"/>
        <w:b/>
        <w:sz w:val="22"/>
        <w:szCs w:val="22"/>
        <w:lang w:val="fr-FR"/>
      </w:rPr>
    </w:pPr>
    <w:r w:rsidRPr="00E05F6A">
      <w:rPr>
        <w:rFonts w:ascii="Times New Roman" w:hAnsi="Times New Roman"/>
        <w:b/>
        <w:sz w:val="22"/>
        <w:lang w:val="fr-FR"/>
      </w:rPr>
      <w:t>RAD File</w:t>
    </w:r>
    <w:r w:rsidR="00EB3660">
      <w:rPr>
        <w:rFonts w:ascii="Times New Roman" w:hAnsi="Times New Roman"/>
        <w:b/>
        <w:sz w:val="22"/>
        <w:lang w:val="fr-FR"/>
      </w:rPr>
      <w:t xml:space="preserve"> </w:t>
    </w:r>
    <w:r w:rsidRPr="00E05F6A">
      <w:rPr>
        <w:rFonts w:ascii="Times New Roman" w:hAnsi="Times New Roman"/>
        <w:b/>
        <w:sz w:val="22"/>
        <w:lang w:val="fr-FR"/>
      </w:rPr>
      <w:t>No. / N</w:t>
    </w:r>
    <w:r w:rsidRPr="00E05F6A">
      <w:rPr>
        <w:rFonts w:ascii="Times New Roman" w:hAnsi="Times New Roman"/>
        <w:b/>
        <w:sz w:val="22"/>
        <w:vertAlign w:val="superscript"/>
        <w:lang w:val="fr-FR"/>
      </w:rPr>
      <w:t>o</w:t>
    </w:r>
    <w:r w:rsidRPr="00E05F6A">
      <w:rPr>
        <w:rFonts w:ascii="Times New Roman" w:hAnsi="Times New Roman"/>
        <w:b/>
        <w:sz w:val="22"/>
        <w:lang w:val="fr-FR"/>
      </w:rPr>
      <w:t xml:space="preserve"> de dossier de la SAR : MC0</w:t>
    </w:r>
    <w:r w:rsidRPr="00E05F6A">
      <w:rPr>
        <w:rFonts w:ascii="Times New Roman" w:hAnsi="Times New Roman"/>
        <w:b/>
        <w:sz w:val="22"/>
        <w:lang w:val="fr-FR"/>
      </w:rPr>
      <w:noBreakHyphen/>
      <w:t>06700</w:t>
    </w:r>
  </w:p>
  <w:p w14:paraId="64D1DB2A" w14:textId="77777777" w:rsidR="00AD2BAC" w:rsidRPr="00E05F6A" w:rsidRDefault="003E4148" w:rsidP="003F63F7">
    <w:pPr>
      <w:pStyle w:val="Header"/>
      <w:jc w:val="right"/>
      <w:rPr>
        <w:rFonts w:ascii="Times New Roman" w:hAnsi="Times New Roman"/>
        <w:b/>
        <w:sz w:val="22"/>
        <w:szCs w:val="22"/>
      </w:rPr>
    </w:pPr>
    <w:r w:rsidRPr="00E05F6A">
      <w:rPr>
        <w:rFonts w:ascii="Times New Roman" w:hAnsi="Times New Roman"/>
        <w:b/>
        <w:sz w:val="22"/>
      </w:rPr>
      <w:t>MC0</w:t>
    </w:r>
    <w:r w:rsidRPr="00E05F6A">
      <w:rPr>
        <w:rFonts w:ascii="Times New Roman" w:hAnsi="Times New Roman"/>
        <w:b/>
        <w:sz w:val="22"/>
      </w:rPr>
      <w:noBreakHyphen/>
      <w:t>06701 / MC0</w:t>
    </w:r>
    <w:r w:rsidRPr="00E05F6A">
      <w:rPr>
        <w:rFonts w:ascii="Times New Roman" w:hAnsi="Times New Roman"/>
        <w:b/>
        <w:sz w:val="22"/>
      </w:rPr>
      <w:noBreakHyphen/>
      <w:t>06702 / MC0</w:t>
    </w:r>
    <w:r w:rsidRPr="00E05F6A">
      <w:rPr>
        <w:rFonts w:ascii="Times New Roman" w:hAnsi="Times New Roman"/>
        <w:b/>
        <w:sz w:val="22"/>
      </w:rPr>
      <w:noBreakHyphen/>
      <w:t>06703</w:t>
    </w:r>
  </w:p>
  <w:p w14:paraId="61D1D36A" w14:textId="77777777" w:rsidR="00280082" w:rsidRPr="00E05F6A" w:rsidRDefault="00280082" w:rsidP="00280082">
    <w:pPr>
      <w:pStyle w:val="Header"/>
      <w:rPr>
        <w:rFonts w:ascii="Times New Roman" w:hAnsi="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9" w:type="dxa"/>
      <w:jc w:val="center"/>
      <w:tblLayout w:type="fixed"/>
      <w:tblCellMar>
        <w:left w:w="0" w:type="dxa"/>
        <w:right w:w="0" w:type="dxa"/>
      </w:tblCellMar>
      <w:tblLook w:val="04A0" w:firstRow="1" w:lastRow="0" w:firstColumn="1" w:lastColumn="0" w:noHBand="0" w:noVBand="1"/>
    </w:tblPr>
    <w:tblGrid>
      <w:gridCol w:w="3258"/>
      <w:gridCol w:w="3120"/>
      <w:gridCol w:w="3121"/>
    </w:tblGrid>
    <w:tr w:rsidR="00135FDC" w:rsidRPr="00E05F6A" w14:paraId="6518D849" w14:textId="6E59FD39" w:rsidTr="00135FDC">
      <w:trPr>
        <w:trHeight w:val="1134"/>
        <w:jc w:val="center"/>
      </w:trPr>
      <w:tc>
        <w:tcPr>
          <w:tcW w:w="3258" w:type="dxa"/>
          <w:shd w:val="clear" w:color="auto" w:fill="auto"/>
        </w:tcPr>
        <w:p w14:paraId="1261F602" w14:textId="77777777" w:rsidR="00135FDC" w:rsidRPr="00E05F6A" w:rsidRDefault="00135FDC" w:rsidP="00135FDC">
          <w:pPr>
            <w:spacing w:after="0"/>
            <w:jc w:val="left"/>
            <w:rPr>
              <w:rFonts w:cs="Times New Roman"/>
              <w:sz w:val="22"/>
              <w:szCs w:val="22"/>
            </w:rPr>
          </w:pPr>
          <w:r w:rsidRPr="00E05F6A">
            <w:rPr>
              <w:sz w:val="22"/>
              <w:lang w:eastAsia="en-CA"/>
            </w:rPr>
            <w:t>Immigration and Refugee</w:t>
          </w:r>
        </w:p>
        <w:p w14:paraId="532768FE" w14:textId="77777777" w:rsidR="00135FDC" w:rsidRPr="00E05F6A" w:rsidRDefault="00135FDC" w:rsidP="00135FDC">
          <w:pPr>
            <w:spacing w:before="0" w:after="240"/>
            <w:jc w:val="left"/>
            <w:rPr>
              <w:rFonts w:cs="Times New Roman"/>
              <w:sz w:val="22"/>
              <w:szCs w:val="22"/>
            </w:rPr>
          </w:pPr>
          <w:r w:rsidRPr="00E05F6A">
            <w:rPr>
              <w:sz w:val="22"/>
              <w:lang w:eastAsia="en-CA"/>
            </w:rPr>
            <w:t>Board of Canada</w:t>
          </w:r>
        </w:p>
        <w:p w14:paraId="0FC56B05" w14:textId="29F3AFF1" w:rsidR="00135FDC" w:rsidRPr="00E05F6A" w:rsidRDefault="00135FDC" w:rsidP="00135FDC">
          <w:pPr>
            <w:spacing w:after="240"/>
            <w:jc w:val="left"/>
            <w:rPr>
              <w:rFonts w:cs="Times New Roman"/>
              <w:sz w:val="22"/>
              <w:szCs w:val="22"/>
            </w:rPr>
          </w:pPr>
          <w:r w:rsidRPr="00E05F6A">
            <w:rPr>
              <w:b/>
              <w:sz w:val="22"/>
              <w:lang w:val="en-US" w:eastAsia="en-CA"/>
            </w:rPr>
            <w:t>Refugee Appeal Division</w:t>
          </w:r>
        </w:p>
      </w:tc>
      <w:tc>
        <w:tcPr>
          <w:tcW w:w="3120" w:type="dxa"/>
          <w:shd w:val="clear" w:color="auto" w:fill="auto"/>
        </w:tcPr>
        <w:p w14:paraId="23A75EF5" w14:textId="77777777" w:rsidR="00135FDC" w:rsidRPr="00E05F6A" w:rsidRDefault="00135FDC" w:rsidP="00135FDC">
          <w:pPr>
            <w:jc w:val="center"/>
            <w:rPr>
              <w:rFonts w:cs="Times New Roman"/>
              <w:sz w:val="22"/>
              <w:szCs w:val="22"/>
              <w:vertAlign w:val="subscript"/>
            </w:rPr>
          </w:pPr>
          <w:r w:rsidRPr="00E05F6A">
            <w:rPr>
              <w:noProof/>
              <w:sz w:val="22"/>
              <w:lang w:eastAsia="en-CA"/>
            </w:rPr>
            <w:drawing>
              <wp:anchor distT="0" distB="0" distL="114300" distR="114300" simplePos="0" relativeHeight="251675648" behindDoc="1" locked="0" layoutInCell="1" allowOverlap="1" wp14:anchorId="26318797" wp14:editId="552B83AC">
                <wp:simplePos x="0" y="0"/>
                <wp:positionH relativeFrom="column">
                  <wp:align>center</wp:align>
                </wp:positionH>
                <wp:positionV relativeFrom="page">
                  <wp:align>top</wp:align>
                </wp:positionV>
                <wp:extent cx="603504" cy="740664"/>
                <wp:effectExtent l="0" t="0" r="6350" b="2540"/>
                <wp:wrapNone/>
                <wp:docPr id="1" name="Image 3"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1" w:type="dxa"/>
        </w:tcPr>
        <w:p w14:paraId="6C9D5776" w14:textId="7EE58D4D" w:rsidR="00135FDC" w:rsidRPr="00E05F6A" w:rsidRDefault="00135FDC" w:rsidP="00135FDC">
          <w:pPr>
            <w:spacing w:after="240"/>
            <w:jc w:val="right"/>
            <w:rPr>
              <w:rFonts w:cs="Times New Roman"/>
              <w:sz w:val="22"/>
              <w:szCs w:val="22"/>
              <w:lang w:val="fr-FR"/>
            </w:rPr>
          </w:pPr>
          <w:r w:rsidRPr="00E05F6A">
            <w:rPr>
              <w:sz w:val="22"/>
              <w:lang w:val="fr-CA" w:eastAsia="en-CA"/>
            </w:rPr>
            <w:t>Commission de l</w:t>
          </w:r>
          <w:r w:rsidR="00EB3660">
            <w:rPr>
              <w:sz w:val="22"/>
              <w:lang w:val="fr-CA" w:eastAsia="en-CA"/>
            </w:rPr>
            <w:t>’</w:t>
          </w:r>
          <w:r w:rsidRPr="00E05F6A">
            <w:rPr>
              <w:sz w:val="22"/>
              <w:lang w:val="fr-CA" w:eastAsia="en-CA"/>
            </w:rPr>
            <w:t>immigration</w:t>
          </w:r>
          <w:r w:rsidRPr="00E05F6A">
            <w:rPr>
              <w:sz w:val="22"/>
              <w:lang w:val="fr-CA" w:eastAsia="en-CA"/>
            </w:rPr>
            <w:br/>
            <w:t>et du statut de réfugié du Canada</w:t>
          </w:r>
        </w:p>
        <w:p w14:paraId="23B5B6AF" w14:textId="670D78D0" w:rsidR="00135FDC" w:rsidRPr="00E05F6A" w:rsidRDefault="00135FDC" w:rsidP="00135FDC">
          <w:pPr>
            <w:spacing w:after="0"/>
            <w:jc w:val="right"/>
            <w:rPr>
              <w:rFonts w:cs="Times New Roman"/>
              <w:sz w:val="22"/>
              <w:szCs w:val="22"/>
            </w:rPr>
          </w:pPr>
          <w:r w:rsidRPr="00E05F6A">
            <w:rPr>
              <w:b/>
              <w:sz w:val="22"/>
              <w:lang w:val="fr-CA" w:eastAsia="en-CA"/>
            </w:rPr>
            <w:t>Section d</w:t>
          </w:r>
          <w:r w:rsidR="00EB3660">
            <w:rPr>
              <w:b/>
              <w:sz w:val="22"/>
              <w:lang w:val="fr-CA" w:eastAsia="en-CA"/>
            </w:rPr>
            <w:t>’</w:t>
          </w:r>
          <w:r w:rsidRPr="00E05F6A">
            <w:rPr>
              <w:b/>
              <w:sz w:val="22"/>
              <w:lang w:val="fr-CA" w:eastAsia="en-CA"/>
            </w:rPr>
            <w:t>appel des réfugiés</w:t>
          </w:r>
        </w:p>
      </w:tc>
    </w:tr>
  </w:tbl>
  <w:p w14:paraId="052E63A1" w14:textId="77777777" w:rsidR="006C481A" w:rsidRPr="00E05F6A" w:rsidRDefault="006C481A" w:rsidP="00E03B3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038"/>
    <w:multiLevelType w:val="hybridMultilevel"/>
    <w:tmpl w:val="578E6626"/>
    <w:lvl w:ilvl="0" w:tplc="C2A001D2">
      <w:start w:val="1"/>
      <w:numFmt w:val="decimal"/>
      <w:lvlText w:val="[%1]"/>
      <w:lvlJc w:val="left"/>
      <w:pPr>
        <w:ind w:left="775" w:hanging="360"/>
      </w:pPr>
      <w:rPr>
        <w:rFonts w:hint="default"/>
        <w:sz w:val="24"/>
        <w:szCs w:val="24"/>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16C23C26"/>
    <w:multiLevelType w:val="hybridMultilevel"/>
    <w:tmpl w:val="3B1AE486"/>
    <w:lvl w:ilvl="0" w:tplc="71AC5CD4">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54A86"/>
    <w:multiLevelType w:val="hybridMultilevel"/>
    <w:tmpl w:val="062C1E04"/>
    <w:lvl w:ilvl="0" w:tplc="D80CD79A">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5" w15:restartNumberingAfterBreak="0">
    <w:nsid w:val="7FF705F5"/>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hyphenationZone w:val="425"/>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_description" w:val="Reasons and decision Template"/>
    <w:docVar w:name="doc_lang" w:val="fr"/>
    <w:docVar w:name="doc_ref" w:val="Rad.25.02"/>
    <w:docVar w:name="file_no" w:val="MC0-06700"/>
    <w:docVar w:name="production_date" w:val="2021-03-04"/>
    <w:docVar w:name="template_name" w:val="Rad.25.02.fr.dotm"/>
    <w:docVar w:name="template_path" w:val="C:\Users\Shukri.adanjama\AppData\Local\OfficeNOVA\Resources.PROD\Templates\RAD"/>
    <w:docVar w:name="user_id" w:val="Shukri.AdanJama"/>
  </w:docVars>
  <w:rsids>
    <w:rsidRoot w:val="003E4148"/>
    <w:rsid w:val="00011B4D"/>
    <w:rsid w:val="00016631"/>
    <w:rsid w:val="0002374D"/>
    <w:rsid w:val="00056FFD"/>
    <w:rsid w:val="00071A73"/>
    <w:rsid w:val="00096345"/>
    <w:rsid w:val="000967C8"/>
    <w:rsid w:val="000A68E0"/>
    <w:rsid w:val="000B333C"/>
    <w:rsid w:val="000B54D2"/>
    <w:rsid w:val="000C1A05"/>
    <w:rsid w:val="000D3556"/>
    <w:rsid w:val="000E1CD6"/>
    <w:rsid w:val="000E338B"/>
    <w:rsid w:val="000F4DC0"/>
    <w:rsid w:val="000F6210"/>
    <w:rsid w:val="001036BC"/>
    <w:rsid w:val="00110B76"/>
    <w:rsid w:val="00120A49"/>
    <w:rsid w:val="00124391"/>
    <w:rsid w:val="001309E0"/>
    <w:rsid w:val="00130D91"/>
    <w:rsid w:val="00131969"/>
    <w:rsid w:val="001319FF"/>
    <w:rsid w:val="00135FDC"/>
    <w:rsid w:val="001411C5"/>
    <w:rsid w:val="00143CCC"/>
    <w:rsid w:val="00144735"/>
    <w:rsid w:val="001537AA"/>
    <w:rsid w:val="00154B4E"/>
    <w:rsid w:val="00164EFC"/>
    <w:rsid w:val="001728B7"/>
    <w:rsid w:val="001744DA"/>
    <w:rsid w:val="001837E6"/>
    <w:rsid w:val="001861E5"/>
    <w:rsid w:val="00192CCF"/>
    <w:rsid w:val="00196AD5"/>
    <w:rsid w:val="001A4E07"/>
    <w:rsid w:val="001B41A6"/>
    <w:rsid w:val="001B7A0C"/>
    <w:rsid w:val="001D4AFA"/>
    <w:rsid w:val="001F2121"/>
    <w:rsid w:val="001F2696"/>
    <w:rsid w:val="001F344A"/>
    <w:rsid w:val="00201F6F"/>
    <w:rsid w:val="0020614F"/>
    <w:rsid w:val="00230198"/>
    <w:rsid w:val="00237692"/>
    <w:rsid w:val="002411B6"/>
    <w:rsid w:val="002470BA"/>
    <w:rsid w:val="00247771"/>
    <w:rsid w:val="00251F2B"/>
    <w:rsid w:val="002614E4"/>
    <w:rsid w:val="00272B05"/>
    <w:rsid w:val="0027642A"/>
    <w:rsid w:val="00280082"/>
    <w:rsid w:val="0029064B"/>
    <w:rsid w:val="00291AC8"/>
    <w:rsid w:val="002929CA"/>
    <w:rsid w:val="002A73D0"/>
    <w:rsid w:val="002C19C2"/>
    <w:rsid w:val="002C299A"/>
    <w:rsid w:val="002D046C"/>
    <w:rsid w:val="002D2283"/>
    <w:rsid w:val="002E0B70"/>
    <w:rsid w:val="002E312E"/>
    <w:rsid w:val="002F48DB"/>
    <w:rsid w:val="002F5A03"/>
    <w:rsid w:val="002F5C16"/>
    <w:rsid w:val="003002E4"/>
    <w:rsid w:val="003105D2"/>
    <w:rsid w:val="00326059"/>
    <w:rsid w:val="00327C10"/>
    <w:rsid w:val="00340E6A"/>
    <w:rsid w:val="003669D6"/>
    <w:rsid w:val="003703BA"/>
    <w:rsid w:val="00372C10"/>
    <w:rsid w:val="0037329E"/>
    <w:rsid w:val="003A2F9B"/>
    <w:rsid w:val="003B769B"/>
    <w:rsid w:val="003C34A9"/>
    <w:rsid w:val="003E06E5"/>
    <w:rsid w:val="003E0F5B"/>
    <w:rsid w:val="003E4148"/>
    <w:rsid w:val="003F63F7"/>
    <w:rsid w:val="00403446"/>
    <w:rsid w:val="004052D7"/>
    <w:rsid w:val="00405B03"/>
    <w:rsid w:val="00422AEC"/>
    <w:rsid w:val="00423E37"/>
    <w:rsid w:val="00427612"/>
    <w:rsid w:val="00433091"/>
    <w:rsid w:val="00437A4B"/>
    <w:rsid w:val="00440B8E"/>
    <w:rsid w:val="00446382"/>
    <w:rsid w:val="00447659"/>
    <w:rsid w:val="00452BF6"/>
    <w:rsid w:val="004661D3"/>
    <w:rsid w:val="004664F1"/>
    <w:rsid w:val="004831D4"/>
    <w:rsid w:val="00492CE3"/>
    <w:rsid w:val="004C24DE"/>
    <w:rsid w:val="004C3058"/>
    <w:rsid w:val="004D1974"/>
    <w:rsid w:val="004D2B8C"/>
    <w:rsid w:val="004D4BA9"/>
    <w:rsid w:val="004D4EA6"/>
    <w:rsid w:val="004D5697"/>
    <w:rsid w:val="004D75F3"/>
    <w:rsid w:val="004E2094"/>
    <w:rsid w:val="004E3523"/>
    <w:rsid w:val="004F0C23"/>
    <w:rsid w:val="004F3B88"/>
    <w:rsid w:val="0050191F"/>
    <w:rsid w:val="00502F90"/>
    <w:rsid w:val="005138C7"/>
    <w:rsid w:val="00513AA0"/>
    <w:rsid w:val="00524EF8"/>
    <w:rsid w:val="005250CA"/>
    <w:rsid w:val="00541C44"/>
    <w:rsid w:val="005452A7"/>
    <w:rsid w:val="0054532B"/>
    <w:rsid w:val="005516B6"/>
    <w:rsid w:val="00560A1A"/>
    <w:rsid w:val="00571797"/>
    <w:rsid w:val="00576800"/>
    <w:rsid w:val="00581CCB"/>
    <w:rsid w:val="0058398E"/>
    <w:rsid w:val="00585BFC"/>
    <w:rsid w:val="005917D9"/>
    <w:rsid w:val="005B2FFB"/>
    <w:rsid w:val="005B45FD"/>
    <w:rsid w:val="005B4A2A"/>
    <w:rsid w:val="005C1E6D"/>
    <w:rsid w:val="005C29C9"/>
    <w:rsid w:val="005C2F1A"/>
    <w:rsid w:val="005C3C8A"/>
    <w:rsid w:val="005C79E3"/>
    <w:rsid w:val="005E312F"/>
    <w:rsid w:val="005E6180"/>
    <w:rsid w:val="005F232F"/>
    <w:rsid w:val="006019B9"/>
    <w:rsid w:val="00602947"/>
    <w:rsid w:val="00616C75"/>
    <w:rsid w:val="00622757"/>
    <w:rsid w:val="00632D06"/>
    <w:rsid w:val="00636911"/>
    <w:rsid w:val="0065042E"/>
    <w:rsid w:val="00651C55"/>
    <w:rsid w:val="00671846"/>
    <w:rsid w:val="006812CD"/>
    <w:rsid w:val="00683D9D"/>
    <w:rsid w:val="00687348"/>
    <w:rsid w:val="0069328F"/>
    <w:rsid w:val="006A123B"/>
    <w:rsid w:val="006A21E6"/>
    <w:rsid w:val="006A27CB"/>
    <w:rsid w:val="006A2C5F"/>
    <w:rsid w:val="006A4F80"/>
    <w:rsid w:val="006A55A6"/>
    <w:rsid w:val="006C481A"/>
    <w:rsid w:val="006C7312"/>
    <w:rsid w:val="006D3094"/>
    <w:rsid w:val="006D5818"/>
    <w:rsid w:val="006E0640"/>
    <w:rsid w:val="006E0FEE"/>
    <w:rsid w:val="006E35BB"/>
    <w:rsid w:val="006E5528"/>
    <w:rsid w:val="006E7C0C"/>
    <w:rsid w:val="006F4EF4"/>
    <w:rsid w:val="00703677"/>
    <w:rsid w:val="00703890"/>
    <w:rsid w:val="00707ADC"/>
    <w:rsid w:val="00707B6A"/>
    <w:rsid w:val="00711180"/>
    <w:rsid w:val="00716058"/>
    <w:rsid w:val="007219C4"/>
    <w:rsid w:val="007237F6"/>
    <w:rsid w:val="007401FA"/>
    <w:rsid w:val="007404AA"/>
    <w:rsid w:val="00740BAF"/>
    <w:rsid w:val="00741141"/>
    <w:rsid w:val="00741F67"/>
    <w:rsid w:val="00743B41"/>
    <w:rsid w:val="0076450B"/>
    <w:rsid w:val="00765CCF"/>
    <w:rsid w:val="00783B76"/>
    <w:rsid w:val="007846E1"/>
    <w:rsid w:val="00796AFC"/>
    <w:rsid w:val="007A239E"/>
    <w:rsid w:val="007A2EBF"/>
    <w:rsid w:val="007B1417"/>
    <w:rsid w:val="007B49A4"/>
    <w:rsid w:val="007B631E"/>
    <w:rsid w:val="007D48C5"/>
    <w:rsid w:val="007F5CA4"/>
    <w:rsid w:val="008039DA"/>
    <w:rsid w:val="008151AB"/>
    <w:rsid w:val="008172BD"/>
    <w:rsid w:val="00831967"/>
    <w:rsid w:val="008408C5"/>
    <w:rsid w:val="0085282E"/>
    <w:rsid w:val="00861C25"/>
    <w:rsid w:val="00866FCD"/>
    <w:rsid w:val="00876FC9"/>
    <w:rsid w:val="0088238F"/>
    <w:rsid w:val="00882D64"/>
    <w:rsid w:val="00883803"/>
    <w:rsid w:val="008855D1"/>
    <w:rsid w:val="008904F8"/>
    <w:rsid w:val="00893574"/>
    <w:rsid w:val="0089364A"/>
    <w:rsid w:val="00895CA2"/>
    <w:rsid w:val="00897091"/>
    <w:rsid w:val="00897C47"/>
    <w:rsid w:val="008A3CDE"/>
    <w:rsid w:val="008B01F1"/>
    <w:rsid w:val="008B5E77"/>
    <w:rsid w:val="008B71DC"/>
    <w:rsid w:val="008C4B27"/>
    <w:rsid w:val="008C6AD6"/>
    <w:rsid w:val="008C7C72"/>
    <w:rsid w:val="008C7CF5"/>
    <w:rsid w:val="008D4819"/>
    <w:rsid w:val="008D505D"/>
    <w:rsid w:val="008D59FF"/>
    <w:rsid w:val="0090553F"/>
    <w:rsid w:val="00917651"/>
    <w:rsid w:val="00934B27"/>
    <w:rsid w:val="009431C1"/>
    <w:rsid w:val="0095229A"/>
    <w:rsid w:val="00964E76"/>
    <w:rsid w:val="00976680"/>
    <w:rsid w:val="009827D4"/>
    <w:rsid w:val="0098318D"/>
    <w:rsid w:val="00984833"/>
    <w:rsid w:val="00994FB6"/>
    <w:rsid w:val="00997829"/>
    <w:rsid w:val="009A2DE5"/>
    <w:rsid w:val="009A3574"/>
    <w:rsid w:val="009B2D71"/>
    <w:rsid w:val="009B67CD"/>
    <w:rsid w:val="009B76C5"/>
    <w:rsid w:val="009C739B"/>
    <w:rsid w:val="009C78E3"/>
    <w:rsid w:val="009D02BB"/>
    <w:rsid w:val="009E6EBD"/>
    <w:rsid w:val="00A0245A"/>
    <w:rsid w:val="00A031D6"/>
    <w:rsid w:val="00A069D7"/>
    <w:rsid w:val="00A158CD"/>
    <w:rsid w:val="00A170E6"/>
    <w:rsid w:val="00A175DD"/>
    <w:rsid w:val="00A22739"/>
    <w:rsid w:val="00A22E16"/>
    <w:rsid w:val="00A3585D"/>
    <w:rsid w:val="00A46B96"/>
    <w:rsid w:val="00A4718A"/>
    <w:rsid w:val="00A76F75"/>
    <w:rsid w:val="00A85481"/>
    <w:rsid w:val="00A90256"/>
    <w:rsid w:val="00AB6B37"/>
    <w:rsid w:val="00AC2D8A"/>
    <w:rsid w:val="00AC464C"/>
    <w:rsid w:val="00AC5551"/>
    <w:rsid w:val="00AD2BAC"/>
    <w:rsid w:val="00AD3196"/>
    <w:rsid w:val="00AE61A8"/>
    <w:rsid w:val="00AF6EFB"/>
    <w:rsid w:val="00B00137"/>
    <w:rsid w:val="00B0044D"/>
    <w:rsid w:val="00B00C2A"/>
    <w:rsid w:val="00B06474"/>
    <w:rsid w:val="00B077CC"/>
    <w:rsid w:val="00B10E82"/>
    <w:rsid w:val="00B13FB4"/>
    <w:rsid w:val="00B1437D"/>
    <w:rsid w:val="00B16043"/>
    <w:rsid w:val="00B1716D"/>
    <w:rsid w:val="00B24005"/>
    <w:rsid w:val="00B51EE9"/>
    <w:rsid w:val="00B52A09"/>
    <w:rsid w:val="00B63050"/>
    <w:rsid w:val="00B64129"/>
    <w:rsid w:val="00B646B0"/>
    <w:rsid w:val="00B661D9"/>
    <w:rsid w:val="00B7347F"/>
    <w:rsid w:val="00BA244C"/>
    <w:rsid w:val="00BB0BA9"/>
    <w:rsid w:val="00BC17F8"/>
    <w:rsid w:val="00BD20FA"/>
    <w:rsid w:val="00BD2DC4"/>
    <w:rsid w:val="00BD5C5C"/>
    <w:rsid w:val="00BF481A"/>
    <w:rsid w:val="00BF498E"/>
    <w:rsid w:val="00C222A4"/>
    <w:rsid w:val="00C2576E"/>
    <w:rsid w:val="00C33B37"/>
    <w:rsid w:val="00C36187"/>
    <w:rsid w:val="00C403EC"/>
    <w:rsid w:val="00C4485B"/>
    <w:rsid w:val="00C61840"/>
    <w:rsid w:val="00C736DD"/>
    <w:rsid w:val="00C8004A"/>
    <w:rsid w:val="00C8187F"/>
    <w:rsid w:val="00C834A8"/>
    <w:rsid w:val="00C844B1"/>
    <w:rsid w:val="00C850F5"/>
    <w:rsid w:val="00C86DFB"/>
    <w:rsid w:val="00C87B10"/>
    <w:rsid w:val="00CA2D11"/>
    <w:rsid w:val="00CC2093"/>
    <w:rsid w:val="00CC39C4"/>
    <w:rsid w:val="00CC7666"/>
    <w:rsid w:val="00CC7E6E"/>
    <w:rsid w:val="00CD2504"/>
    <w:rsid w:val="00CD39E9"/>
    <w:rsid w:val="00CD4E98"/>
    <w:rsid w:val="00CD55C0"/>
    <w:rsid w:val="00CE0F9B"/>
    <w:rsid w:val="00CF2ABA"/>
    <w:rsid w:val="00CF784A"/>
    <w:rsid w:val="00D070B6"/>
    <w:rsid w:val="00D21175"/>
    <w:rsid w:val="00D35F6D"/>
    <w:rsid w:val="00D4017D"/>
    <w:rsid w:val="00D47798"/>
    <w:rsid w:val="00D5053B"/>
    <w:rsid w:val="00D50C41"/>
    <w:rsid w:val="00D54067"/>
    <w:rsid w:val="00D708DE"/>
    <w:rsid w:val="00D76807"/>
    <w:rsid w:val="00D916B4"/>
    <w:rsid w:val="00DB3F6D"/>
    <w:rsid w:val="00DB4A67"/>
    <w:rsid w:val="00DB7258"/>
    <w:rsid w:val="00DC07CF"/>
    <w:rsid w:val="00DE71B2"/>
    <w:rsid w:val="00DF3172"/>
    <w:rsid w:val="00DF3F53"/>
    <w:rsid w:val="00E03B37"/>
    <w:rsid w:val="00E05F6A"/>
    <w:rsid w:val="00E16F32"/>
    <w:rsid w:val="00E23B28"/>
    <w:rsid w:val="00E32400"/>
    <w:rsid w:val="00E57569"/>
    <w:rsid w:val="00E619B7"/>
    <w:rsid w:val="00E64FFB"/>
    <w:rsid w:val="00E661BA"/>
    <w:rsid w:val="00E92CED"/>
    <w:rsid w:val="00E97350"/>
    <w:rsid w:val="00EB31B3"/>
    <w:rsid w:val="00EB3660"/>
    <w:rsid w:val="00EC1DD9"/>
    <w:rsid w:val="00EC6C7E"/>
    <w:rsid w:val="00ED1F90"/>
    <w:rsid w:val="00ED7A2A"/>
    <w:rsid w:val="00EE0B9A"/>
    <w:rsid w:val="00EE4740"/>
    <w:rsid w:val="00EF26EE"/>
    <w:rsid w:val="00EF6796"/>
    <w:rsid w:val="00F06900"/>
    <w:rsid w:val="00F118FD"/>
    <w:rsid w:val="00F15664"/>
    <w:rsid w:val="00F22F6F"/>
    <w:rsid w:val="00F2644E"/>
    <w:rsid w:val="00F31DEE"/>
    <w:rsid w:val="00F35D59"/>
    <w:rsid w:val="00F43C99"/>
    <w:rsid w:val="00F44A72"/>
    <w:rsid w:val="00F4700A"/>
    <w:rsid w:val="00F5018F"/>
    <w:rsid w:val="00F562DC"/>
    <w:rsid w:val="00F57260"/>
    <w:rsid w:val="00F57DE7"/>
    <w:rsid w:val="00F7725C"/>
    <w:rsid w:val="00F93715"/>
    <w:rsid w:val="00F9541F"/>
    <w:rsid w:val="00FA1AB9"/>
    <w:rsid w:val="00FB722D"/>
    <w:rsid w:val="00FD132D"/>
    <w:rsid w:val="00FD58A5"/>
    <w:rsid w:val="00FE008A"/>
    <w:rsid w:val="00FE41CE"/>
    <w:rsid w:val="00FE4E19"/>
    <w:rsid w:val="00FF6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2BCB1F"/>
  <w15:chartTrackingRefBased/>
  <w15:docId w15:val="{5C9F5D1C-0A7E-4A6A-8159-7E6C7024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6B0"/>
    <w:pPr>
      <w:tabs>
        <w:tab w:val="left" w:pos="576"/>
        <w:tab w:val="left" w:pos="1008"/>
        <w:tab w:val="left" w:pos="1440"/>
        <w:tab w:val="left" w:pos="1872"/>
        <w:tab w:val="left" w:pos="2304"/>
        <w:tab w:val="left" w:pos="2736"/>
      </w:tabs>
      <w:spacing w:before="120" w:after="120" w:line="240" w:lineRule="auto"/>
      <w:jc w:val="both"/>
    </w:pPr>
    <w:rPr>
      <w:rFonts w:ascii="Times New Roman" w:eastAsia="Times New Roman" w:hAnsi="Times New Roman" w:cs="Arial"/>
      <w:spacing w:val="-2"/>
      <w:sz w:val="24"/>
      <w:szCs w:val="20"/>
      <w:lang w:eastAsia="fr-FR"/>
    </w:rPr>
  </w:style>
  <w:style w:type="paragraph" w:styleId="Heading2">
    <w:name w:val="heading 2"/>
    <w:basedOn w:val="Normal"/>
    <w:next w:val="Normal"/>
    <w:link w:val="Heading2Char"/>
    <w:qFormat/>
    <w:rsid w:val="00B646B0"/>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B646B0"/>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646B0"/>
    <w:rPr>
      <w:rFonts w:ascii="Arial" w:eastAsia="Times New Roman" w:hAnsi="Arial" w:cs="Arial"/>
      <w:b/>
      <w:bCs/>
      <w:i/>
      <w:iCs/>
      <w:spacing w:val="-2"/>
      <w:sz w:val="28"/>
      <w:szCs w:val="28"/>
      <w:lang w:val="en-CA" w:eastAsia="fr-FR"/>
    </w:rPr>
  </w:style>
  <w:style w:type="character" w:customStyle="1" w:styleId="Heading3Char">
    <w:name w:val="Heading 3 Char"/>
    <w:basedOn w:val="DefaultParagraphFont"/>
    <w:link w:val="Heading3"/>
    <w:rsid w:val="00B646B0"/>
    <w:rPr>
      <w:rFonts w:ascii="Arial" w:eastAsia="Times New Roman" w:hAnsi="Arial" w:cs="Arial"/>
      <w:spacing w:val="-2"/>
      <w:sz w:val="24"/>
      <w:szCs w:val="20"/>
      <w:lang w:val="en-CA" w:eastAsia="fr-FR"/>
    </w:rPr>
  </w:style>
  <w:style w:type="paragraph" w:styleId="Header">
    <w:name w:val="header"/>
    <w:link w:val="HeaderChar"/>
    <w:rsid w:val="00B646B0"/>
    <w:pPr>
      <w:tabs>
        <w:tab w:val="center" w:pos="4320"/>
        <w:tab w:val="right" w:pos="8640"/>
      </w:tabs>
      <w:spacing w:after="0" w:line="240" w:lineRule="auto"/>
    </w:pPr>
    <w:rPr>
      <w:rFonts w:ascii="Arial" w:eastAsia="Times New Roman" w:hAnsi="Arial" w:cs="Times New Roman"/>
      <w:noProof/>
      <w:sz w:val="20"/>
      <w:szCs w:val="20"/>
      <w:lang w:eastAsia="fr-FR"/>
    </w:rPr>
  </w:style>
  <w:style w:type="character" w:customStyle="1" w:styleId="HeaderChar">
    <w:name w:val="Header Char"/>
    <w:basedOn w:val="DefaultParagraphFont"/>
    <w:link w:val="Header"/>
    <w:rsid w:val="00B646B0"/>
    <w:rPr>
      <w:rFonts w:ascii="Arial" w:eastAsia="Times New Roman" w:hAnsi="Arial" w:cs="Times New Roman"/>
      <w:noProof/>
      <w:sz w:val="20"/>
      <w:szCs w:val="20"/>
      <w:lang w:val="en-CA" w:eastAsia="fr-FR"/>
    </w:rPr>
  </w:style>
  <w:style w:type="character" w:styleId="PageNumber">
    <w:name w:val="page number"/>
    <w:basedOn w:val="DefaultParagraphFont"/>
    <w:rsid w:val="00B646B0"/>
  </w:style>
  <w:style w:type="paragraph" w:styleId="Footer">
    <w:name w:val="footer"/>
    <w:basedOn w:val="Normal"/>
    <w:link w:val="FooterChar"/>
    <w:uiPriority w:val="99"/>
    <w:rsid w:val="00B646B0"/>
    <w:pPr>
      <w:tabs>
        <w:tab w:val="center" w:pos="4320"/>
        <w:tab w:val="right" w:pos="8640"/>
      </w:tabs>
    </w:pPr>
    <w:rPr>
      <w:sz w:val="20"/>
    </w:rPr>
  </w:style>
  <w:style w:type="character" w:customStyle="1" w:styleId="FooterChar">
    <w:name w:val="Footer Char"/>
    <w:basedOn w:val="DefaultParagraphFont"/>
    <w:link w:val="Footer"/>
    <w:uiPriority w:val="99"/>
    <w:rsid w:val="00B646B0"/>
    <w:rPr>
      <w:rFonts w:ascii="Times New Roman" w:eastAsia="Times New Roman" w:hAnsi="Times New Roman" w:cs="Arial"/>
      <w:spacing w:val="-2"/>
      <w:sz w:val="20"/>
      <w:szCs w:val="20"/>
      <w:lang w:val="en-CA" w:eastAsia="fr-FR"/>
    </w:rPr>
  </w:style>
  <w:style w:type="table" w:styleId="TableGrid">
    <w:name w:val="Table Grid"/>
    <w:basedOn w:val="TableNormal"/>
    <w:rsid w:val="00B646B0"/>
    <w:pPr>
      <w:spacing w:after="0" w:line="240" w:lineRule="auto"/>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4D5697"/>
    <w:rPr>
      <w:sz w:val="24"/>
      <w:szCs w:val="24"/>
      <w:lang w:val="en-CA" w:eastAsia="en-CA"/>
    </w:rPr>
  </w:style>
  <w:style w:type="paragraph" w:customStyle="1" w:styleId="CGBody">
    <w:name w:val="CG Body"/>
    <w:basedOn w:val="Normal"/>
    <w:link w:val="CGBodyChar"/>
    <w:qFormat/>
    <w:rsid w:val="004D5697"/>
    <w:pPr>
      <w:numPr>
        <w:numId w:val="2"/>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asciiTheme="minorHAnsi" w:eastAsiaTheme="minorHAnsi" w:hAnsiTheme="minorHAnsi" w:cstheme="minorBidi"/>
      <w:spacing w:val="0"/>
      <w:szCs w:val="24"/>
      <w:lang w:eastAsia="en-CA"/>
    </w:rPr>
  </w:style>
  <w:style w:type="paragraph" w:customStyle="1" w:styleId="CGLvl2header">
    <w:name w:val="CG Lvl 2 header"/>
    <w:basedOn w:val="Normal"/>
    <w:next w:val="CGBody"/>
    <w:link w:val="CGLvl2headerChar"/>
    <w:qFormat/>
    <w:rsid w:val="004D5697"/>
    <w:pPr>
      <w:keepNext/>
      <w:keepLines/>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ascii="Times New Roman Bold" w:hAnsi="Times New Roman Bold" w:cs="Times New Roman"/>
      <w:b/>
      <w:spacing w:val="0"/>
      <w:szCs w:val="24"/>
      <w:lang w:eastAsia="en-CA"/>
    </w:rPr>
  </w:style>
  <w:style w:type="character" w:customStyle="1" w:styleId="CGLvl2headerChar">
    <w:name w:val="CG Lvl 2 header Char"/>
    <w:basedOn w:val="DefaultParagraphFont"/>
    <w:link w:val="CGLvl2header"/>
    <w:rsid w:val="004D5697"/>
    <w:rPr>
      <w:rFonts w:ascii="Times New Roman Bold" w:eastAsia="Times New Roman" w:hAnsi="Times New Roman Bold" w:cs="Times New Roman"/>
      <w:b/>
      <w:sz w:val="24"/>
      <w:szCs w:val="24"/>
      <w:lang w:val="en-CA" w:eastAsia="en-CA"/>
    </w:rPr>
  </w:style>
  <w:style w:type="paragraph" w:styleId="ListParagraph">
    <w:name w:val="List Paragraph"/>
    <w:basedOn w:val="Normal"/>
    <w:uiPriority w:val="34"/>
    <w:qFormat/>
    <w:rsid w:val="004D5697"/>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eastAsia="en-US"/>
    </w:rPr>
  </w:style>
  <w:style w:type="paragraph" w:customStyle="1" w:styleId="NormalParagNum">
    <w:name w:val="Normal_ParagNum"/>
    <w:basedOn w:val="Normal"/>
    <w:rsid w:val="004D5697"/>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eastAsia="en-US"/>
    </w:rPr>
  </w:style>
  <w:style w:type="character" w:styleId="EndnoteReference">
    <w:name w:val="endnote reference"/>
    <w:basedOn w:val="DefaultParagraphFont"/>
    <w:semiHidden/>
    <w:rsid w:val="001728B7"/>
    <w:rPr>
      <w:vertAlign w:val="superscript"/>
    </w:rPr>
  </w:style>
  <w:style w:type="paragraph" w:styleId="EndnoteText">
    <w:name w:val="endnote text"/>
    <w:basedOn w:val="Normal"/>
    <w:link w:val="EndnoteTextChar"/>
    <w:rsid w:val="001728B7"/>
    <w:pPr>
      <w:tabs>
        <w:tab w:val="clear" w:pos="576"/>
        <w:tab w:val="clear" w:pos="1008"/>
        <w:tab w:val="clear" w:pos="1440"/>
        <w:tab w:val="clear" w:pos="1872"/>
        <w:tab w:val="clear" w:pos="2304"/>
        <w:tab w:val="clear" w:pos="2736"/>
      </w:tabs>
      <w:spacing w:before="0" w:after="0"/>
      <w:jc w:val="left"/>
    </w:pPr>
    <w:rPr>
      <w:rFonts w:ascii="Times New (W1)" w:hAnsi="Times New (W1)" w:cs="Times New Roman"/>
      <w:noProof/>
      <w:spacing w:val="0"/>
      <w:sz w:val="20"/>
    </w:rPr>
  </w:style>
  <w:style w:type="character" w:customStyle="1" w:styleId="EndnoteTextChar">
    <w:name w:val="Endnote Text Char"/>
    <w:basedOn w:val="DefaultParagraphFont"/>
    <w:link w:val="EndnoteText"/>
    <w:rsid w:val="001728B7"/>
    <w:rPr>
      <w:rFonts w:ascii="Times New (W1)" w:eastAsia="Times New Roman" w:hAnsi="Times New (W1)" w:cs="Times New Roman"/>
      <w:noProof/>
      <w:sz w:val="20"/>
      <w:szCs w:val="20"/>
      <w:lang w:val="en-CA" w:eastAsia="fr-FR"/>
    </w:rPr>
  </w:style>
  <w:style w:type="paragraph" w:styleId="NoSpacing">
    <w:name w:val="No Spacing"/>
    <w:uiPriority w:val="1"/>
    <w:qFormat/>
    <w:rsid w:val="00B10E82"/>
    <w:pPr>
      <w:tabs>
        <w:tab w:val="left" w:pos="576"/>
        <w:tab w:val="left" w:pos="1008"/>
        <w:tab w:val="left" w:pos="1440"/>
        <w:tab w:val="left" w:pos="1872"/>
        <w:tab w:val="left" w:pos="2304"/>
        <w:tab w:val="left" w:pos="2736"/>
      </w:tabs>
      <w:spacing w:after="0" w:line="240" w:lineRule="auto"/>
      <w:jc w:val="both"/>
    </w:pPr>
    <w:rPr>
      <w:rFonts w:ascii="Times New Roman" w:eastAsia="Times New Roman" w:hAnsi="Times New Roman" w:cs="Arial"/>
      <w:spacing w:val="-2"/>
      <w:sz w:val="24"/>
      <w:szCs w:val="20"/>
      <w:lang w:eastAsia="fr-FR"/>
    </w:rPr>
  </w:style>
  <w:style w:type="character" w:customStyle="1" w:styleId="last-breadcrumb">
    <w:name w:val="last-breadcrumb"/>
    <w:basedOn w:val="DefaultParagraphFont"/>
    <w:rsid w:val="00A22739"/>
  </w:style>
  <w:style w:type="character" w:styleId="Emphasis">
    <w:name w:val="Emphasis"/>
    <w:basedOn w:val="DefaultParagraphFont"/>
    <w:uiPriority w:val="20"/>
    <w:qFormat/>
    <w:rsid w:val="00A22739"/>
    <w:rPr>
      <w:i/>
      <w:iCs/>
    </w:rPr>
  </w:style>
  <w:style w:type="character" w:styleId="Hyperlink">
    <w:name w:val="Hyperlink"/>
    <w:basedOn w:val="DefaultParagraphFont"/>
    <w:uiPriority w:val="99"/>
    <w:unhideWhenUsed/>
    <w:rsid w:val="0069328F"/>
    <w:rPr>
      <w:color w:val="0563C1"/>
      <w:u w:val="single"/>
    </w:rPr>
  </w:style>
  <w:style w:type="paragraph" w:styleId="BalloonText">
    <w:name w:val="Balloon Text"/>
    <w:basedOn w:val="Normal"/>
    <w:link w:val="BalloonTextChar"/>
    <w:uiPriority w:val="99"/>
    <w:semiHidden/>
    <w:unhideWhenUsed/>
    <w:rsid w:val="009827D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7D4"/>
    <w:rPr>
      <w:rFonts w:ascii="Segoe UI" w:eastAsia="Times New Roman" w:hAnsi="Segoe UI" w:cs="Segoe UI"/>
      <w:spacing w:val="-2"/>
      <w:sz w:val="18"/>
      <w:szCs w:val="18"/>
      <w:lang w:val="en-CA" w:eastAsia="fr-FR"/>
    </w:rPr>
  </w:style>
  <w:style w:type="character" w:styleId="CommentReference">
    <w:name w:val="annotation reference"/>
    <w:basedOn w:val="DefaultParagraphFont"/>
    <w:semiHidden/>
    <w:rsid w:val="00703890"/>
    <w:rPr>
      <w:sz w:val="16"/>
      <w:szCs w:val="16"/>
    </w:rPr>
  </w:style>
  <w:style w:type="paragraph" w:styleId="CommentText">
    <w:name w:val="annotation text"/>
    <w:basedOn w:val="Normal"/>
    <w:link w:val="CommentTextChar"/>
    <w:uiPriority w:val="99"/>
    <w:unhideWhenUsed/>
    <w:rsid w:val="00144735"/>
    <w:rPr>
      <w:sz w:val="20"/>
    </w:rPr>
  </w:style>
  <w:style w:type="character" w:customStyle="1" w:styleId="CommentTextChar">
    <w:name w:val="Comment Text Char"/>
    <w:basedOn w:val="DefaultParagraphFont"/>
    <w:link w:val="CommentText"/>
    <w:uiPriority w:val="99"/>
    <w:rsid w:val="00144735"/>
    <w:rPr>
      <w:rFonts w:ascii="Times New Roman" w:eastAsia="Times New Roman" w:hAnsi="Times New Roman" w:cs="Arial"/>
      <w:spacing w:val="-2"/>
      <w:sz w:val="20"/>
      <w:szCs w:val="20"/>
      <w:lang w:val="en-CA" w:eastAsia="fr-FR"/>
    </w:rPr>
  </w:style>
  <w:style w:type="paragraph" w:styleId="CommentSubject">
    <w:name w:val="annotation subject"/>
    <w:basedOn w:val="CommentText"/>
    <w:next w:val="CommentText"/>
    <w:link w:val="CommentSubjectChar"/>
    <w:uiPriority w:val="99"/>
    <w:semiHidden/>
    <w:unhideWhenUsed/>
    <w:rsid w:val="00144735"/>
    <w:rPr>
      <w:b/>
      <w:bCs/>
    </w:rPr>
  </w:style>
  <w:style w:type="character" w:customStyle="1" w:styleId="CommentSubjectChar">
    <w:name w:val="Comment Subject Char"/>
    <w:basedOn w:val="CommentTextChar"/>
    <w:link w:val="CommentSubject"/>
    <w:uiPriority w:val="99"/>
    <w:semiHidden/>
    <w:rsid w:val="00144735"/>
    <w:rPr>
      <w:rFonts w:ascii="Times New Roman" w:eastAsia="Times New Roman" w:hAnsi="Times New Roman" w:cs="Arial"/>
      <w:b/>
      <w:bCs/>
      <w:spacing w:val="-2"/>
      <w:sz w:val="20"/>
      <w:szCs w:val="20"/>
      <w:lang w:val="en-CA" w:eastAsia="fr-FR"/>
    </w:rPr>
  </w:style>
  <w:style w:type="character" w:customStyle="1" w:styleId="UnresolvedMention1">
    <w:name w:val="Unresolved Mention1"/>
    <w:basedOn w:val="DefaultParagraphFont"/>
    <w:uiPriority w:val="99"/>
    <w:semiHidden/>
    <w:unhideWhenUsed/>
    <w:rsid w:val="00541C44"/>
    <w:rPr>
      <w:color w:val="605E5C"/>
      <w:shd w:val="clear" w:color="auto" w:fill="E1DFDD"/>
    </w:rPr>
  </w:style>
  <w:style w:type="paragraph" w:styleId="FootnoteText">
    <w:name w:val="footnote text"/>
    <w:basedOn w:val="Normal"/>
    <w:link w:val="FootnoteTextChar"/>
    <w:uiPriority w:val="99"/>
    <w:semiHidden/>
    <w:unhideWhenUsed/>
    <w:rsid w:val="007A2EBF"/>
    <w:pPr>
      <w:spacing w:before="0" w:after="0"/>
    </w:pPr>
    <w:rPr>
      <w:sz w:val="20"/>
    </w:rPr>
  </w:style>
  <w:style w:type="character" w:customStyle="1" w:styleId="FootnoteTextChar">
    <w:name w:val="Footnote Text Char"/>
    <w:basedOn w:val="DefaultParagraphFont"/>
    <w:link w:val="FootnoteText"/>
    <w:uiPriority w:val="99"/>
    <w:semiHidden/>
    <w:rsid w:val="007A2EBF"/>
    <w:rPr>
      <w:rFonts w:ascii="Times New Roman" w:eastAsia="Times New Roman" w:hAnsi="Times New Roman" w:cs="Arial"/>
      <w:spacing w:val="-2"/>
      <w:sz w:val="20"/>
      <w:szCs w:val="20"/>
      <w:lang w:val="en-CA" w:eastAsia="fr-FR"/>
    </w:rPr>
  </w:style>
  <w:style w:type="character" w:styleId="FootnoteReference">
    <w:name w:val="footnote reference"/>
    <w:basedOn w:val="DefaultParagraphFont"/>
    <w:uiPriority w:val="99"/>
    <w:semiHidden/>
    <w:unhideWhenUsed/>
    <w:rsid w:val="007A2E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00">
      <w:bodyDiv w:val="1"/>
      <w:marLeft w:val="0"/>
      <w:marRight w:val="0"/>
      <w:marTop w:val="0"/>
      <w:marBottom w:val="0"/>
      <w:divBdr>
        <w:top w:val="none" w:sz="0" w:space="0" w:color="auto"/>
        <w:left w:val="none" w:sz="0" w:space="0" w:color="auto"/>
        <w:bottom w:val="none" w:sz="0" w:space="0" w:color="auto"/>
        <w:right w:val="none" w:sz="0" w:space="0" w:color="auto"/>
      </w:divBdr>
    </w:div>
    <w:div w:id="92359223">
      <w:bodyDiv w:val="1"/>
      <w:marLeft w:val="0"/>
      <w:marRight w:val="0"/>
      <w:marTop w:val="0"/>
      <w:marBottom w:val="0"/>
      <w:divBdr>
        <w:top w:val="none" w:sz="0" w:space="0" w:color="auto"/>
        <w:left w:val="none" w:sz="0" w:space="0" w:color="auto"/>
        <w:bottom w:val="none" w:sz="0" w:space="0" w:color="auto"/>
        <w:right w:val="none" w:sz="0" w:space="0" w:color="auto"/>
      </w:divBdr>
    </w:div>
    <w:div w:id="329985645">
      <w:bodyDiv w:val="1"/>
      <w:marLeft w:val="0"/>
      <w:marRight w:val="0"/>
      <w:marTop w:val="0"/>
      <w:marBottom w:val="0"/>
      <w:divBdr>
        <w:top w:val="none" w:sz="0" w:space="0" w:color="auto"/>
        <w:left w:val="none" w:sz="0" w:space="0" w:color="auto"/>
        <w:bottom w:val="none" w:sz="0" w:space="0" w:color="auto"/>
        <w:right w:val="none" w:sz="0" w:space="0" w:color="auto"/>
      </w:divBdr>
    </w:div>
    <w:div w:id="463696553">
      <w:bodyDiv w:val="1"/>
      <w:marLeft w:val="0"/>
      <w:marRight w:val="0"/>
      <w:marTop w:val="0"/>
      <w:marBottom w:val="0"/>
      <w:divBdr>
        <w:top w:val="none" w:sz="0" w:space="0" w:color="auto"/>
        <w:left w:val="none" w:sz="0" w:space="0" w:color="auto"/>
        <w:bottom w:val="none" w:sz="0" w:space="0" w:color="auto"/>
        <w:right w:val="none" w:sz="0" w:space="0" w:color="auto"/>
      </w:divBdr>
    </w:div>
    <w:div w:id="558517625">
      <w:bodyDiv w:val="1"/>
      <w:marLeft w:val="0"/>
      <w:marRight w:val="0"/>
      <w:marTop w:val="0"/>
      <w:marBottom w:val="0"/>
      <w:divBdr>
        <w:top w:val="none" w:sz="0" w:space="0" w:color="auto"/>
        <w:left w:val="none" w:sz="0" w:space="0" w:color="auto"/>
        <w:bottom w:val="none" w:sz="0" w:space="0" w:color="auto"/>
        <w:right w:val="none" w:sz="0" w:space="0" w:color="auto"/>
      </w:divBdr>
    </w:div>
    <w:div w:id="679551085">
      <w:bodyDiv w:val="1"/>
      <w:marLeft w:val="0"/>
      <w:marRight w:val="0"/>
      <w:marTop w:val="0"/>
      <w:marBottom w:val="0"/>
      <w:divBdr>
        <w:top w:val="none" w:sz="0" w:space="0" w:color="auto"/>
        <w:left w:val="none" w:sz="0" w:space="0" w:color="auto"/>
        <w:bottom w:val="none" w:sz="0" w:space="0" w:color="auto"/>
        <w:right w:val="none" w:sz="0" w:space="0" w:color="auto"/>
      </w:divBdr>
    </w:div>
    <w:div w:id="701127220">
      <w:bodyDiv w:val="1"/>
      <w:marLeft w:val="0"/>
      <w:marRight w:val="0"/>
      <w:marTop w:val="0"/>
      <w:marBottom w:val="0"/>
      <w:divBdr>
        <w:top w:val="none" w:sz="0" w:space="0" w:color="auto"/>
        <w:left w:val="none" w:sz="0" w:space="0" w:color="auto"/>
        <w:bottom w:val="none" w:sz="0" w:space="0" w:color="auto"/>
        <w:right w:val="none" w:sz="0" w:space="0" w:color="auto"/>
      </w:divBdr>
    </w:div>
    <w:div w:id="813765500">
      <w:bodyDiv w:val="1"/>
      <w:marLeft w:val="0"/>
      <w:marRight w:val="0"/>
      <w:marTop w:val="0"/>
      <w:marBottom w:val="0"/>
      <w:divBdr>
        <w:top w:val="none" w:sz="0" w:space="0" w:color="auto"/>
        <w:left w:val="none" w:sz="0" w:space="0" w:color="auto"/>
        <w:bottom w:val="none" w:sz="0" w:space="0" w:color="auto"/>
        <w:right w:val="none" w:sz="0" w:space="0" w:color="auto"/>
      </w:divBdr>
    </w:div>
    <w:div w:id="1385983921">
      <w:bodyDiv w:val="1"/>
      <w:marLeft w:val="0"/>
      <w:marRight w:val="0"/>
      <w:marTop w:val="0"/>
      <w:marBottom w:val="0"/>
      <w:divBdr>
        <w:top w:val="none" w:sz="0" w:space="0" w:color="auto"/>
        <w:left w:val="none" w:sz="0" w:space="0" w:color="auto"/>
        <w:bottom w:val="none" w:sz="0" w:space="0" w:color="auto"/>
        <w:right w:val="none" w:sz="0" w:space="0" w:color="auto"/>
      </w:divBdr>
    </w:div>
    <w:div w:id="1477800941">
      <w:bodyDiv w:val="1"/>
      <w:marLeft w:val="0"/>
      <w:marRight w:val="0"/>
      <w:marTop w:val="0"/>
      <w:marBottom w:val="0"/>
      <w:divBdr>
        <w:top w:val="none" w:sz="0" w:space="0" w:color="auto"/>
        <w:left w:val="none" w:sz="0" w:space="0" w:color="auto"/>
        <w:bottom w:val="none" w:sz="0" w:space="0" w:color="auto"/>
        <w:right w:val="none" w:sz="0" w:space="0" w:color="auto"/>
      </w:divBdr>
    </w:div>
    <w:div w:id="1659918669">
      <w:bodyDiv w:val="1"/>
      <w:marLeft w:val="0"/>
      <w:marRight w:val="0"/>
      <w:marTop w:val="0"/>
      <w:marBottom w:val="0"/>
      <w:divBdr>
        <w:top w:val="none" w:sz="0" w:space="0" w:color="auto"/>
        <w:left w:val="none" w:sz="0" w:space="0" w:color="auto"/>
        <w:bottom w:val="none" w:sz="0" w:space="0" w:color="auto"/>
        <w:right w:val="none" w:sz="0" w:space="0" w:color="auto"/>
      </w:divBdr>
    </w:div>
    <w:div w:id="1752848151">
      <w:bodyDiv w:val="1"/>
      <w:marLeft w:val="0"/>
      <w:marRight w:val="0"/>
      <w:marTop w:val="0"/>
      <w:marBottom w:val="0"/>
      <w:divBdr>
        <w:top w:val="none" w:sz="0" w:space="0" w:color="auto"/>
        <w:left w:val="none" w:sz="0" w:space="0" w:color="auto"/>
        <w:bottom w:val="none" w:sz="0" w:space="0" w:color="auto"/>
        <w:right w:val="none" w:sz="0" w:space="0" w:color="auto"/>
      </w:divBdr>
    </w:div>
    <w:div w:id="1820532542">
      <w:bodyDiv w:val="1"/>
      <w:marLeft w:val="0"/>
      <w:marRight w:val="0"/>
      <w:marTop w:val="0"/>
      <w:marBottom w:val="0"/>
      <w:divBdr>
        <w:top w:val="none" w:sz="0" w:space="0" w:color="auto"/>
        <w:left w:val="none" w:sz="0" w:space="0" w:color="auto"/>
        <w:bottom w:val="none" w:sz="0" w:space="0" w:color="auto"/>
        <w:right w:val="none" w:sz="0" w:space="0" w:color="auto"/>
      </w:divBdr>
    </w:div>
    <w:div w:id="18993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kri.adanjama\AppData\Local\OfficeNOVA\Resources.PROD\Templates\RAD\Rad.25.02.f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38bb2646-43cf-4202-b07d-e444e42818ee">
      <Value>4</Value>
      <Value>3</Value>
      <Value>2</Value>
    </TaxCatchAll>
    <_dlc_DocId xmlns="38bb2646-43cf-4202-b07d-e444e42818ee">SEREUPJDUFNV-106632148-7269</_dlc_DocId>
    <_dlc_DocIdUrl xmlns="38bb2646-43cf-4202-b07d-e444e42818ee">
      <Url>https://crc-irb-cisr/sites/Nova_21_03_V7/_layouts/15/DocIdRedir.aspx?ID=SEREUPJDUFNV-106632148-7269</Url>
      <Description>SEREUPJDUFNV-106632148-7269</Description>
    </_dlc_DocIdUrl>
    <DocumentReferenceId xmlns="38bb2646-43cf-4202-b07d-e444e42818ee">1653401</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1f505e73-209a-44b1-be62-0cd6c896feb3</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MC0-06700
MC0-06701
MC0-06702
MC0-06703</IrbFileNumber>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2021-04-22T11:27:04+00:00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documentManagement>
</p:properties>
</file>

<file path=customXml/itemProps1.xml><?xml version="1.0" encoding="utf-8"?>
<ds:datastoreItem xmlns:ds="http://schemas.openxmlformats.org/officeDocument/2006/customXml" ds:itemID="{4B36ABD6-BD28-4A23-81FB-E9FD5237C2C9}">
  <ds:schemaRefs>
    <ds:schemaRef ds:uri="http://schemas.microsoft.com/sharepoint/v3/contenttype/forms"/>
  </ds:schemaRefs>
</ds:datastoreItem>
</file>

<file path=customXml/itemProps2.xml><?xml version="1.0" encoding="utf-8"?>
<ds:datastoreItem xmlns:ds="http://schemas.openxmlformats.org/officeDocument/2006/customXml" ds:itemID="{633DB6B7-FA58-41DD-9B4E-C6AF0F1B6152}">
  <ds:schemaRefs>
    <ds:schemaRef ds:uri="http://schemas.openxmlformats.org/officeDocument/2006/bibliography"/>
  </ds:schemaRefs>
</ds:datastoreItem>
</file>

<file path=customXml/itemProps3.xml><?xml version="1.0" encoding="utf-8"?>
<ds:datastoreItem xmlns:ds="http://schemas.openxmlformats.org/officeDocument/2006/customXml" ds:itemID="{C8C049A1-DE9A-48DA-BAB1-731F2352E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23ED7A-F848-4108-8AE7-21F4DEEA65C5}">
  <ds:schemaRefs>
    <ds:schemaRef ds:uri="http://schemas.microsoft.com/sharepoint/events"/>
  </ds:schemaRefs>
</ds:datastoreItem>
</file>

<file path=customXml/itemProps5.xml><?xml version="1.0" encoding="utf-8"?>
<ds:datastoreItem xmlns:ds="http://schemas.openxmlformats.org/officeDocument/2006/customXml" ds:itemID="{D9E48926-AB36-409B-A18C-72D41E900D21}">
  <ds:schemaRefs>
    <ds:schemaRef ds:uri="http://schemas.microsoft.com/office/2006/metadata/properties"/>
    <ds:schemaRef ds:uri="http://schemas.microsoft.com/office/infopath/2007/PartnerControls"/>
    <ds:schemaRef ds:uri="1b37d4f7-d9a3-47ea-acb3-58b7310d2bb5"/>
    <ds:schemaRef ds:uri="http://schemas.microsoft.com/sharepoint/v3/fields"/>
    <ds:schemaRef ds:uri="http://schemas.microsoft.com/sharepoint/v3"/>
    <ds:schemaRef ds:uri="0f9e17f3-614e-4312-9ab8-fe67f4af0412"/>
    <ds:schemaRef ds:uri="38bb2646-43cf-4202-b07d-e444e42818ee"/>
    <ds:schemaRef ds:uri="41a70194-82b6-40d3-9fa2-6d5a3699ca87"/>
  </ds:schemaRefs>
</ds:datastoreItem>
</file>

<file path=docProps/app.xml><?xml version="1.0" encoding="utf-8"?>
<Properties xmlns="http://schemas.openxmlformats.org/officeDocument/2006/extended-properties" xmlns:vt="http://schemas.openxmlformats.org/officeDocument/2006/docPropsVTypes">
  <Template>Rad.25.02.fr.dotm</Template>
  <TotalTime>8</TotalTime>
  <Pages>9</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RPD-210330-9</vt:lpstr>
    </vt:vector>
  </TitlesOfParts>
  <Company>IRB-CISR</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MC0-06700 Final En.docx</dc:title>
  <dc:subject/>
  <dc:creator>Lautru Miriam</dc:creator>
  <cp:keywords/>
  <dc:description/>
  <cp:lastModifiedBy>Lafontaine, Nycia</cp:lastModifiedBy>
  <cp:revision>4</cp:revision>
  <cp:lastPrinted>2021-04-08T12:50:00Z</cp:lastPrinted>
  <dcterms:created xsi:type="dcterms:W3CDTF">2021-07-12T04:37:00Z</dcterms:created>
  <dcterms:modified xsi:type="dcterms:W3CDTF">2021-11-22T16:26:00Z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b964e030-c0ac-483f-83f6-9f268eca5d6b</vt:lpwstr>
  </property>
  <property fmtid="{D5CDD505-2E9C-101B-9397-08002B2CF9AE}" pid="4" name="SO Document">
    <vt:lpwstr/>
  </property>
  <property fmtid="{D5CDD505-2E9C-101B-9397-08002B2CF9AE}" pid="5" name="cro_year">
    <vt:lpwstr/>
  </property>
  <property fmtid="{D5CDD505-2E9C-101B-9397-08002B2CF9AE}" pid="6" name="Feedback to providers">
    <vt:lpwstr/>
  </property>
  <property fmtid="{D5CDD505-2E9C-101B-9397-08002B2CF9AE}" pid="7" name="cro_security">
    <vt:lpwstr>130;#Protected B|7478b0e9-a19e-4108-a3df-63b0abde93f7</vt:lpwstr>
  </property>
  <property fmtid="{D5CDD505-2E9C-101B-9397-08002B2CF9AE}" pid="8" name="cro_language">
    <vt:lpwstr>3;#English|1f505e73-209a-44b1-be62-0cd6c896feb3</vt:lpwstr>
  </property>
  <property fmtid="{D5CDD505-2E9C-101B-9397-08002B2CF9AE}" pid="9" name="cro_region">
    <vt:lpwstr/>
  </property>
  <property fmtid="{D5CDD505-2E9C-101B-9397-08002B2CF9AE}" pid="10" name="Translation Memory">
    <vt:lpwstr/>
  </property>
  <property fmtid="{D5CDD505-2E9C-101B-9397-08002B2CF9AE}" pid="11" name="cro_status">
    <vt:lpwstr/>
  </property>
  <property fmtid="{D5CDD505-2E9C-101B-9397-08002B2CF9AE}" pid="12" name="DFCS">
    <vt:lpwstr>4;#21.03.04 Decisions and Reasons|d3874f77-3f35-487c-a693-bc785ad771a3</vt:lpwstr>
  </property>
  <property fmtid="{D5CDD505-2E9C-101B-9397-08002B2CF9AE}" pid="13" name="Security">
    <vt:lpwstr>3;#Protected B|7478b0e9-a19e-4108-a3df-63b0abde93f7</vt:lpwstr>
  </property>
  <property fmtid="{D5CDD505-2E9C-101B-9397-08002B2CF9AE}" pid="14" name="Language1">
    <vt:lpwstr>2;#English|1f505e73-209a-44b1-be62-0cd6c896feb3</vt:lpwstr>
  </property>
</Properties>
</file>