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b w:val="1"/>
          <w:bCs w:val="1"/>
          <w:sz w:val="22"/>
          <w:szCs w:val="22"/>
          <w:lang w:val="en-US"/>
        </w:rPr>
      </w:pPr>
    </w:p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fr-FR"/>
        </w:rPr>
        <w:t>RAD File No. / N</w:t>
      </w:r>
      <w:r>
        <w:rPr>
          <w:b w:val="1"/>
          <w:bCs w:val="1"/>
          <w:sz w:val="22"/>
          <w:szCs w:val="22"/>
          <w:vertAlign w:val="superscript"/>
          <w:rtl w:val="0"/>
          <w:lang w:val="fr-FR"/>
        </w:rPr>
        <w:t>o</w:t>
      </w:r>
      <w:r>
        <w:rPr>
          <w:b w:val="1"/>
          <w:bCs w:val="1"/>
          <w:sz w:val="22"/>
          <w:szCs w:val="22"/>
          <w:rtl w:val="0"/>
          <w:lang w:val="fr-FR"/>
        </w:rPr>
        <w:t xml:space="preserve"> de dossier de la SAR</w:t>
      </w:r>
      <w:r>
        <w:rPr>
          <w:b w:val="1"/>
          <w:bCs w:val="1"/>
          <w:sz w:val="22"/>
          <w:szCs w:val="22"/>
          <w:rtl w:val="0"/>
          <w:lang w:val="fr-FR"/>
        </w:rPr>
        <w:t> </w:t>
      </w:r>
      <w:r>
        <w:rPr>
          <w:b w:val="1"/>
          <w:bCs w:val="1"/>
          <w:sz w:val="22"/>
          <w:szCs w:val="22"/>
          <w:rtl w:val="0"/>
          <w:lang w:val="fr-FR"/>
        </w:rPr>
        <w:t>: MC000869</w:t>
      </w:r>
    </w:p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b w:val="1"/>
          <w:bCs w:val="1"/>
          <w:sz w:val="22"/>
          <w:szCs w:val="22"/>
          <w:lang w:val="fr-FR"/>
        </w:rPr>
      </w:pPr>
    </w:p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Private Proceeding / Huis clos</w:t>
      </w:r>
    </w:p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left"/>
        <w:rPr>
          <w:sz w:val="22"/>
          <w:szCs w:val="22"/>
          <w:lang w:val="en-US"/>
        </w:rPr>
      </w:pPr>
    </w:p>
    <w:p>
      <w:pPr>
        <w:pStyle w:val="Heading 2"/>
        <w:spacing w:before="120" w:after="240"/>
        <w:jc w:val="center"/>
        <w:rPr>
          <w:rFonts w:ascii="Times New Roman" w:cs="Times New Roman" w:hAnsi="Times New Roman" w:eastAsia="Times New Roman"/>
          <w:i w:val="0"/>
          <w:iCs w:val="0"/>
          <w:sz w:val="32"/>
          <w:szCs w:val="32"/>
        </w:rPr>
      </w:pPr>
      <w:r>
        <w:rPr>
          <w:rFonts w:ascii="Times New Roman" w:hAnsi="Times New Roman"/>
          <w:i w:val="0"/>
          <w:iCs w:val="0"/>
          <w:sz w:val="32"/>
          <w:szCs w:val="32"/>
          <w:rtl w:val="0"/>
          <w:lang w:val="en-US"/>
        </w:rPr>
        <w:t xml:space="preserve">Reasons and Decision </w:t>
      </w:r>
      <w:r>
        <w:rPr>
          <w:rFonts w:ascii="Symbol" w:hAnsi="Symbol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-</w:t>
      </w:r>
      <w:r>
        <w:rPr>
          <w:rFonts w:ascii="Times New Roman" w:hAnsi="Times New Roman"/>
          <w:i w:val="0"/>
          <w:iCs w:val="0"/>
          <w:sz w:val="32"/>
          <w:szCs w:val="32"/>
          <w:rtl w:val="0"/>
          <w:lang w:val="en-US"/>
        </w:rPr>
        <w:t xml:space="preserve"> Motifs et d</w:t>
      </w:r>
      <w:r>
        <w:rPr>
          <w:rFonts w:ascii="Times New Roman" w:hAnsi="Times New Roman" w:hint="default"/>
          <w:i w:val="0"/>
          <w:iCs w:val="0"/>
          <w:sz w:val="32"/>
          <w:szCs w:val="32"/>
          <w:rtl w:val="0"/>
          <w:lang w:val="en-US"/>
        </w:rPr>
        <w:t>é</w:t>
      </w:r>
      <w:r>
        <w:rPr>
          <w:rFonts w:ascii="Times New Roman" w:hAnsi="Times New Roman"/>
          <w:i w:val="0"/>
          <w:iCs w:val="0"/>
          <w:sz w:val="32"/>
          <w:szCs w:val="32"/>
          <w:rtl w:val="0"/>
          <w:lang w:val="en-US"/>
        </w:rPr>
        <w:t>cision</w:t>
      </w:r>
    </w:p>
    <w:p>
      <w:pPr>
        <w:pStyle w:val="Body"/>
        <w:spacing w:before="0" w:after="0"/>
        <w:rPr>
          <w:lang w:val="en-US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4678"/>
        <w:gridCol w:w="2414"/>
      </w:tblGrid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Person who is the subject of the appeal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Luc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Beauvoir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Personne en cause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Appeal considered / heard at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left" w:pos="720"/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Ottawa, Ontario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</w:pPr>
            <w:r>
              <w:rPr>
                <w:b w:val="1"/>
                <w:bCs w:val="1"/>
                <w:spacing w:val="-1"/>
                <w:sz w:val="20"/>
                <w:szCs w:val="20"/>
                <w:u w:val="none"/>
                <w:shd w:val="nil" w:color="auto" w:fill="auto"/>
                <w:rtl w:val="0"/>
                <w:lang w:val="en-US"/>
              </w:rPr>
              <w:t xml:space="preserve">Appel instruit / entendu </w:t>
            </w:r>
            <w:r>
              <w:rPr>
                <w:b w:val="1"/>
                <w:bCs w:val="1"/>
                <w:spacing w:val="-1"/>
                <w:sz w:val="20"/>
                <w:szCs w:val="20"/>
                <w:u w:val="none"/>
                <w:shd w:val="nil" w:color="auto" w:fill="auto"/>
                <w:rtl w:val="0"/>
                <w:lang w:val="en-US"/>
              </w:rPr>
              <w:t>à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Date of decision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March</w:t>
            </w:r>
            <w:r>
              <w:rPr>
                <w:shd w:val="nil" w:color="auto" w:fill="auto"/>
                <w:rtl w:val="0"/>
                <w:lang w:val="en-US"/>
              </w:rPr>
              <w:t> </w:t>
            </w:r>
            <w:r>
              <w:rPr>
                <w:shd w:val="nil" w:color="auto" w:fill="auto"/>
                <w:rtl w:val="0"/>
                <w:lang w:val="en-US"/>
              </w:rPr>
              <w:t>12, 2021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Date de la d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cision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Panel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</w:t>
            </w:r>
            <w:r>
              <w:rPr>
                <w:shd w:val="nil" w:color="auto" w:fill="auto"/>
                <w:vertAlign w:val="superscript"/>
                <w:rtl w:val="0"/>
                <w:lang w:val="en-US"/>
              </w:rPr>
              <w:t>e</w:t>
            </w:r>
            <w:r>
              <w:rPr>
                <w:shd w:val="nil" w:color="auto" w:fill="auto"/>
                <w:rtl w:val="0"/>
                <w:lang w:val="en-US"/>
              </w:rPr>
              <w:t xml:space="preserve"> Murielle Henri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Tribunal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2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Counsel for the person who is the subject of the appeal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Claude Whalen 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  <w:tab w:val="clear" w:pos="4320"/>
                <w:tab w:val="clear" w:pos="8640"/>
              </w:tabs>
              <w:spacing w:before="0"/>
              <w:jc w:val="right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fr-FR"/>
              </w:rPr>
              <w:t>Conseil de la personne en cause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Designated representative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Repr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sentant(e) d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sign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(e)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Counsel for the Minister</w:t>
            </w:r>
          </w:p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</w:pP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Conseil du ministre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0" w:after="0"/>
        <w:jc w:val="center"/>
        <w:rPr>
          <w:lang w:val="en-US"/>
        </w:rPr>
      </w:pPr>
    </w:p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160" w:line="259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3"/>
        <w:spacing w:before="0" w:after="36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REASONS FOR DECISION</w:t>
      </w:r>
    </w:p>
    <w:p>
      <w:pPr>
        <w:pStyle w:val="Body"/>
        <w:tabs>
          <w:tab w:val="left" w:pos="5040"/>
          <w:tab w:val="clear" w:pos="576"/>
          <w:tab w:val="clear" w:pos="1008"/>
        </w:tabs>
        <w:spacing w:before="240" w:line="360" w:lineRule="auto"/>
        <w:jc w:val="left"/>
        <w:outlineLvl w:val="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OVERVIEW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Beauvoir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(the appellant), a citizen of Haiti, alleges a fear of returning to Haiti by reason of his imputed political opinion.</w:t>
      </w:r>
    </w:p>
    <w:p>
      <w:pPr>
        <w:pStyle w:val="Body"/>
        <w:tabs>
          <w:tab w:val="left" w:pos="2415"/>
          <w:tab w:val="clear" w:pos="1440"/>
          <w:tab w:val="clear" w:pos="1872"/>
          <w:tab w:val="clear" w:pos="2304"/>
          <w:tab w:val="clear" w:pos="2736"/>
        </w:tabs>
        <w:spacing w:before="240" w:line="360" w:lineRule="auto"/>
        <w:jc w:val="left"/>
        <w:outlineLvl w:val="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DETERMINATION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dismiss the appeal. The appellant has not demonstrated that he would face a risk should he return to Haiti.</w:t>
      </w:r>
    </w:p>
    <w:p>
      <w:pPr>
        <w:pStyle w:val="List Paragraph"/>
        <w:tabs>
          <w:tab w:val="left" w:pos="862"/>
        </w:tabs>
        <w:spacing w:before="240" w:after="240" w:line="36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3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</w:t>
      </w:r>
      <w:r>
        <w:rPr>
          <w:rFonts w:ascii="Times New Roman" w:hAnsi="Times New Roman"/>
          <w:sz w:val="24"/>
          <w:szCs w:val="24"/>
          <w:rtl w:val="0"/>
          <w:lang w:val="en-US"/>
        </w:rPr>
        <w:t>May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2004, </w:t>
      </w:r>
      <w:r>
        <w:rPr>
          <w:rFonts w:ascii="Times New Roman" w:hAnsi="Times New Roman"/>
          <w:sz w:val="24"/>
          <w:szCs w:val="24"/>
          <w:rtl w:val="0"/>
          <w:lang w:val="en-US"/>
        </w:rPr>
        <w:t>Michel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val and his associates (opponents of the Fanmi Lavalas political party) </w:t>
      </w:r>
      <w:r>
        <w:rPr>
          <w:rFonts w:ascii="Times New Roman" w:hAnsi="Times New Roman"/>
          <w:sz w:val="24"/>
          <w:szCs w:val="24"/>
          <w:rtl w:val="0"/>
          <w:lang w:val="en-US"/>
        </w:rPr>
        <w:t>set fire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the appellant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family </w:t>
      </w:r>
      <w:r>
        <w:rPr>
          <w:rFonts w:ascii="Times New Roman" w:hAnsi="Times New Roman"/>
          <w:sz w:val="24"/>
          <w:szCs w:val="24"/>
          <w:rtl w:val="0"/>
          <w:lang w:val="en-US"/>
        </w:rPr>
        <w:t>compound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because his father was a party member. The appellant left Haiti in </w:t>
      </w:r>
      <w:r>
        <w:rPr>
          <w:rFonts w:ascii="Times New Roman" w:hAnsi="Times New Roman"/>
          <w:sz w:val="24"/>
          <w:szCs w:val="24"/>
          <w:rtl w:val="0"/>
          <w:lang w:val="en-US"/>
        </w:rPr>
        <w:t>June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2004. He stayed in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Dominican Republic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and then in </w:t>
      </w:r>
      <w:r>
        <w:rPr>
          <w:rFonts w:ascii="Times New Roman" w:hAnsi="Times New Roman"/>
          <w:sz w:val="24"/>
          <w:szCs w:val="24"/>
          <w:rtl w:val="0"/>
          <w:lang w:val="en-US"/>
        </w:rPr>
        <w:t>Trinidad and Tobago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In </w:t>
      </w:r>
      <w:r>
        <w:rPr>
          <w:rFonts w:ascii="Times New Roman" w:hAnsi="Times New Roman"/>
          <w:sz w:val="24"/>
          <w:szCs w:val="24"/>
          <w:rtl w:val="0"/>
          <w:lang w:val="en-US"/>
        </w:rPr>
        <w:t>July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2006, he moved to the United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States and stayed there until </w:t>
      </w:r>
      <w:r>
        <w:rPr>
          <w:rFonts w:ascii="Times New Roman" w:hAnsi="Times New Roman"/>
          <w:sz w:val="24"/>
          <w:szCs w:val="24"/>
          <w:rtl w:val="0"/>
          <w:lang w:val="en-US"/>
        </w:rPr>
        <w:t>August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2017, when he came to Canada.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 December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19, 2019, the Refugee Protection Division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(RPD) rejected the appellant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claim for refugee protection, finding the appellant not credible.</w:t>
      </w:r>
    </w:p>
    <w:p>
      <w:pPr>
        <w:pStyle w:val="Normal_ParagNum"/>
        <w:tabs>
          <w:tab w:val="clear" w:pos="720"/>
        </w:tabs>
        <w:spacing w:before="240" w:after="120"/>
        <w:ind w:left="0" w:firstLine="0"/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ANALYSIS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My role is to examine all of the evidence and determine whether the RPD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decision is correct.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  <w:lang w:val="en-US"/>
        </w:rPr>
        <w:endnoteReference w:id="1"/>
      </w:r>
      <w:r>
        <w:rPr>
          <w:rFonts w:ascii="Times New Roman" w:hAnsi="Times New Roman"/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determinative issue is the risk of return.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appellant alleges in his memorandum that the RPD erred in its analysis of the objective evidence, in particular with respect to the fact that when a persecutor has lost sight of their victim, it is not a certainty that they will target that person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family.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cannot accept this allegation. The appellant testified that </w:t>
      </w:r>
      <w:r>
        <w:rPr>
          <w:rFonts w:ascii="Times New Roman" w:hAnsi="Times New Roman"/>
          <w:sz w:val="24"/>
          <w:szCs w:val="24"/>
          <w:rtl w:val="0"/>
          <w:lang w:val="en-US"/>
        </w:rPr>
        <w:t>Michel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val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would target him because of his father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political affiliation. However, the appellant also testified that his seven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siblings have lived in Gona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ï</w:t>
      </w:r>
      <w:r>
        <w:rPr>
          <w:rFonts w:ascii="Times New Roman" w:hAnsi="Times New Roman"/>
          <w:sz w:val="24"/>
          <w:szCs w:val="24"/>
          <w:rtl w:val="0"/>
          <w:lang w:val="en-US"/>
        </w:rPr>
        <w:t>ves for 15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years without experiencing any problems.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  <w:lang w:val="en-US"/>
        </w:rPr>
        <w:endnoteReference w:id="2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Given that they too are their father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children and were living in the house that was </w:t>
      </w:r>
      <w:r>
        <w:rPr>
          <w:rFonts w:ascii="Times New Roman" w:hAnsi="Times New Roman"/>
          <w:sz w:val="24"/>
          <w:szCs w:val="24"/>
          <w:rtl w:val="0"/>
          <w:lang w:val="en-US"/>
        </w:rPr>
        <w:t>set on fire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there is nothing to explain why </w:t>
      </w:r>
      <w:r>
        <w:rPr>
          <w:rFonts w:ascii="Times New Roman" w:hAnsi="Times New Roman"/>
          <w:sz w:val="24"/>
          <w:szCs w:val="24"/>
          <w:rtl w:val="0"/>
          <w:lang w:val="en-US"/>
        </w:rPr>
        <w:t>Michel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val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his associates have not targeted them. Moreover, the appellant testified that four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of his siblings are still living in the same house.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  <w:lang w:val="en-US"/>
        </w:rPr>
        <w:endnoteReference w:id="3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Finally, the appellant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mother and daughter also live in Gona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ï</w:t>
      </w:r>
      <w:r>
        <w:rPr>
          <w:rFonts w:ascii="Times New Roman" w:hAnsi="Times New Roman"/>
          <w:sz w:val="24"/>
          <w:szCs w:val="24"/>
          <w:rtl w:val="0"/>
          <w:lang w:val="en-US"/>
        </w:rPr>
        <w:t>ves and have not experienced any problems. The appellant himself returned to Gona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ï</w:t>
      </w:r>
      <w:r>
        <w:rPr>
          <w:rFonts w:ascii="Times New Roman" w:hAnsi="Times New Roman"/>
          <w:sz w:val="24"/>
          <w:szCs w:val="24"/>
          <w:rtl w:val="0"/>
          <w:lang w:val="en-US"/>
        </w:rPr>
        <w:t>ves four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times (in 2011, 2012, 2014 and 2015), staying for up to 15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days each time, and went about his normal activities there such as attending church without anything happening to him.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Therefore, 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am of the opinion that the RPD did not err in drawing an adverse inference with respect to the allegations of fear.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appellant argues in his memorandum that it is unreasonable to conclude that </w:t>
      </w:r>
      <w:r>
        <w:rPr>
          <w:rFonts w:ascii="Times New Roman" w:hAnsi="Times New Roman"/>
          <w:sz w:val="24"/>
          <w:szCs w:val="24"/>
          <w:rtl w:val="0"/>
          <w:lang w:val="en-US"/>
        </w:rPr>
        <w:t>Michel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val</w:t>
      </w:r>
      <w:r>
        <w:rPr>
          <w:rFonts w:ascii="Times New Roman" w:hAnsi="Times New Roman"/>
          <w:sz w:val="24"/>
          <w:szCs w:val="24"/>
          <w:rtl w:val="0"/>
          <w:lang w:val="en-US"/>
        </w:rPr>
        <w:t>'s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imprisonment in the US eliminates all risk of persecution, given that his group is still in Haiti.</w:t>
      </w:r>
    </w:p>
    <w:p>
      <w:pPr>
        <w:pStyle w:val="List Paragraph"/>
        <w:numPr>
          <w:ilvl w:val="0"/>
          <w:numId w:val="4"/>
        </w:numPr>
        <w:bidi w:val="0"/>
        <w:spacing w:before="240" w:after="24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cannot accept this allegation. Fifteen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years have elapsed since the incident that gave rise to the appellant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fear, and he has not explained why he believes the group is still present in Haiti. Michel Pr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val has been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criminally detained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in the US since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2017; according to the documentary evidence, if a gang leader dies, or gets older and is less active, even if the gang continues to operate, the probability that a person will be targeted for revenge decreases substantially. The evidence further states that in another five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or ten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years, the threat of revenge should be completely gone, even if the leader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still holds a grudge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 Thus, it would appear that the likelihood of revenge being carried out diminishes with time.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vertAlign w:val="superscript"/>
          <w:lang w:val="en-US"/>
        </w:rPr>
        <w:endnoteReference w:id="4"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The onus was on the appellant to demonstrate that, 15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years after the fact, he would still be a person of interest to Michel Pr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val and his associates. However, he has not done so.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have analyzed the RPD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decision as a whole, and 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conclude that the appellant has not demonstrated that he would face a serious possibility of persecution on a Convention ground or that, on a balance of probabilities, he would be personally subjected to a danger of torture, to a risk to his life, or to a risk of cruel and unusual treatment should he return to Haiti. </w:t>
      </w:r>
    </w:p>
    <w:p>
      <w:pPr>
        <w:pStyle w:val="Normal_ParagNum"/>
        <w:keepLines w:val="1"/>
        <w:tabs>
          <w:tab w:val="clear" w:pos="720"/>
        </w:tabs>
        <w:spacing w:before="240" w:after="120"/>
        <w:ind w:left="0" w:firstLine="0"/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CONCLUSION</w:t>
      </w:r>
    </w:p>
    <w:p>
      <w:pPr>
        <w:pStyle w:val="List Paragraph"/>
        <w:keepLines w:val="1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confirm the determination that the appellant is not a Convention refugee or a person in need of protection.</w:t>
      </w:r>
    </w:p>
    <w:p>
      <w:pPr>
        <w:pStyle w:val="List Paragraph"/>
        <w:keepNext w:val="1"/>
        <w:keepLines w:val="1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appeal is dismissed.</w:t>
      </w:r>
    </w:p>
    <w:p>
      <w:pPr>
        <w:pStyle w:val="List Paragraph"/>
        <w:keepNext w:val="1"/>
        <w:keepLines w:val="1"/>
        <w:tabs>
          <w:tab w:val="left" w:pos="862"/>
        </w:tabs>
        <w:spacing w:before="240" w:after="240" w:line="360" w:lineRule="auto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keepNext w:val="1"/>
        <w:keepLines w:val="1"/>
        <w:tabs>
          <w:tab w:val="left" w:pos="4320"/>
          <w:tab w:val="left" w:pos="5529"/>
          <w:tab w:val="left" w:pos="6096"/>
        </w:tabs>
        <w:spacing w:before="0" w:after="0"/>
        <w:jc w:val="left"/>
        <w:rPr>
          <w:shd w:val="clear" w:color="auto" w:fill="ffff00"/>
          <w:lang w:val="en-US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27"/>
        <w:gridCol w:w="4733"/>
      </w:tblGrid>
      <w:tr>
        <w:tblPrEx>
          <w:shd w:val="clear" w:color="auto" w:fill="d0ddef"/>
        </w:tblPrEx>
        <w:trPr>
          <w:trHeight w:val="407" w:hRule="exact"/>
        </w:trPr>
        <w:tc>
          <w:tcPr>
            <w:tcW w:type="dxa" w:w="4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before="60" w:after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i w:val="1"/>
                <w:iCs w:val="1"/>
                <w:spacing w:val="0"/>
                <w:shd w:val="nil" w:color="auto" w:fill="auto"/>
                <w:rtl w:val="0"/>
                <w:lang w:val="en-US"/>
              </w:rPr>
              <w:t>signed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473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before="60" w:after="0"/>
              <w:jc w:val="center"/>
            </w:pPr>
            <w:r>
              <w:rPr>
                <w:i w:val="1"/>
                <w:iCs w:val="1"/>
                <w:spacing w:val="-1"/>
                <w:sz w:val="22"/>
                <w:szCs w:val="22"/>
                <w:shd w:val="nil" w:color="auto" w:fill="auto"/>
                <w:rtl w:val="0"/>
                <w:lang w:val="en-US"/>
              </w:rPr>
              <w:t>Murielle Henri</w:t>
            </w:r>
          </w:p>
        </w:tc>
      </w:tr>
      <w:tr>
        <w:tblPrEx>
          <w:shd w:val="clear" w:color="auto" w:fill="d0ddef"/>
        </w:tblPrEx>
        <w:trPr>
          <w:trHeight w:val="407" w:hRule="exact"/>
        </w:trPr>
        <w:tc>
          <w:tcPr>
            <w:tcW w:type="dxa" w:w="4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tabs>
                <w:tab w:val="center" w:pos="2366"/>
              </w:tabs>
              <w:spacing w:before="0" w:after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Murielle Henri</w:t>
            </w:r>
          </w:p>
        </w:tc>
      </w:tr>
      <w:tr>
        <w:tblPrEx>
          <w:shd w:val="clear" w:color="auto" w:fill="d0ddef"/>
        </w:tblPrEx>
        <w:trPr>
          <w:trHeight w:val="407" w:hRule="exact"/>
        </w:trPr>
        <w:tc>
          <w:tcPr>
            <w:tcW w:type="dxa" w:w="4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jc w:val="center"/>
            </w:pPr>
            <w:r>
              <w:rPr>
                <w:b w:val="1"/>
                <w:bCs w:val="1"/>
                <w:spacing w:val="-1"/>
                <w:sz w:val="22"/>
                <w:szCs w:val="22"/>
                <w:shd w:val="nil" w:color="auto" w:fill="auto"/>
                <w:rtl w:val="0"/>
                <w:lang w:val="en-US"/>
              </w:rPr>
              <w:t>March</w:t>
            </w:r>
            <w:r>
              <w:rPr>
                <w:b w:val="1"/>
                <w:bCs w:val="1"/>
                <w:spacing w:val="-1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b w:val="1"/>
                <w:bCs w:val="1"/>
                <w:spacing w:val="-1"/>
                <w:sz w:val="22"/>
                <w:szCs w:val="22"/>
                <w:shd w:val="nil" w:color="auto" w:fill="auto"/>
                <w:rtl w:val="0"/>
                <w:lang w:val="en-US"/>
              </w:rPr>
              <w:t>12, 2021</w:t>
            </w:r>
          </w:p>
        </w:tc>
      </w:tr>
      <w:tr>
        <w:tblPrEx>
          <w:shd w:val="clear" w:color="auto" w:fill="d0ddef"/>
        </w:tblPrEx>
        <w:trPr>
          <w:trHeight w:val="407" w:hRule="exact"/>
        </w:trPr>
        <w:tc>
          <w:tcPr>
            <w:tcW w:type="dxa" w:w="4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tabs>
                <w:tab w:val="left" w:pos="440"/>
                <w:tab w:val="center" w:pos="2366"/>
              </w:tabs>
              <w:spacing w:before="0" w:after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</w:tr>
    </w:tbl>
    <w:p>
      <w:pPr>
        <w:pStyle w:val="Body"/>
        <w:keepNext w:val="1"/>
        <w:keepLines w:val="1"/>
        <w:widowControl w:val="0"/>
        <w:tabs>
          <w:tab w:val="left" w:pos="4320"/>
          <w:tab w:val="left" w:pos="5529"/>
          <w:tab w:val="left" w:pos="6096"/>
        </w:tabs>
        <w:spacing w:before="0" w:after="0"/>
        <w:jc w:val="center"/>
      </w:pPr>
      <w:r>
        <w:rPr>
          <w:shd w:val="clear" w:color="auto" w:fill="ffff00"/>
          <w:lang w:val="en-US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97" w:right="1440" w:bottom="1440" w:left="1440" w:header="737" w:footer="454"/>
      <w:pgNumType w:start="1"/>
      <w:titlePg w:val="1"/>
      <w:bidi w:val="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-2">
    <w:p>
      <w:r>
        <w:t/>
      </w:r>
    </w:p>
  </w:endnote>
  <w:endnote w:id="1">
    <w:p>
      <w:pPr>
        <w:pStyle w:val="endnote text"/>
      </w:pPr>
      <w:r>
        <w:rPr>
          <w:sz w:val="24"/>
          <w:szCs w:val="24"/>
          <w:vertAlign w:val="superscript"/>
          <w:lang w:val="en-US"/>
        </w:rPr>
        <w:endnoteRef/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Canada (Citizenship and Immigration)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 </w:t>
      </w:r>
      <w:r>
        <w:rPr>
          <w:rFonts w:cs="Arial Unicode MS" w:eastAsia="Arial Unicode MS"/>
          <w:i w:val="1"/>
          <w:iCs w:val="1"/>
          <w:rtl w:val="0"/>
          <w:lang w:val="en-US"/>
        </w:rPr>
        <w:t>v.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 </w:t>
      </w:r>
      <w:r>
        <w:rPr>
          <w:rFonts w:cs="Arial Unicode MS" w:eastAsia="Arial Unicode MS"/>
          <w:i w:val="1"/>
          <w:iCs w:val="1"/>
          <w:rtl w:val="0"/>
          <w:lang w:val="en-US"/>
        </w:rPr>
        <w:t>Huruglica</w:t>
      </w:r>
      <w:r>
        <w:rPr>
          <w:rFonts w:cs="Arial Unicode MS" w:eastAsia="Arial Unicode MS"/>
          <w:rtl w:val="0"/>
          <w:lang w:val="en-US"/>
        </w:rPr>
        <w:t>, 2016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>FCA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 xml:space="preserve">93; </w:t>
      </w:r>
      <w:r>
        <w:rPr>
          <w:rFonts w:cs="Arial Unicode MS" w:eastAsia="Arial Unicode MS"/>
          <w:i w:val="1"/>
          <w:iCs w:val="1"/>
          <w:rtl w:val="0"/>
          <w:lang w:val="en-US"/>
        </w:rPr>
        <w:t>Rozas del Solar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 </w:t>
      </w:r>
      <w:r>
        <w:rPr>
          <w:rFonts w:cs="Arial Unicode MS" w:eastAsia="Arial Unicode MS"/>
          <w:i w:val="1"/>
          <w:iCs w:val="1"/>
          <w:rtl w:val="0"/>
          <w:lang w:val="en-US"/>
        </w:rPr>
        <w:t>v.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 </w:t>
      </w:r>
      <w:r>
        <w:rPr>
          <w:rFonts w:cs="Arial Unicode MS" w:eastAsia="Arial Unicode MS"/>
          <w:i w:val="1"/>
          <w:iCs w:val="1"/>
          <w:rtl w:val="0"/>
          <w:lang w:val="en-US"/>
        </w:rPr>
        <w:t>Canada (Citizenship and Immigration)</w:t>
      </w:r>
      <w:r>
        <w:rPr>
          <w:rFonts w:cs="Arial Unicode MS" w:eastAsia="Arial Unicode MS"/>
          <w:rtl w:val="0"/>
          <w:lang w:val="en-US"/>
        </w:rPr>
        <w:t>, 2018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>FC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>1145.</w:t>
      </w:r>
    </w:p>
  </w:endnote>
  <w:endnote w:id="2">
    <w:p>
      <w:pPr>
        <w:pStyle w:val="endnote text"/>
      </w:pPr>
      <w:r>
        <w:rPr>
          <w:sz w:val="24"/>
          <w:szCs w:val="24"/>
          <w:vertAlign w:val="superscript"/>
          <w:lang w:val="en-US"/>
        </w:rPr>
        <w:endnoteRef/>
      </w:r>
      <w:r>
        <w:rPr>
          <w:rFonts w:cs="Arial Unicode MS" w:eastAsia="Arial Unicode MS"/>
          <w:rtl w:val="0"/>
          <w:lang w:val="en-US"/>
        </w:rPr>
        <w:t xml:space="preserve"> Recording of the hearing held on December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>17, 2019, at approximately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>00:40:00.</w:t>
      </w:r>
    </w:p>
  </w:endnote>
  <w:endnote w:id="3">
    <w:p>
      <w:pPr>
        <w:pStyle w:val="endnote text"/>
      </w:pPr>
      <w:r>
        <w:rPr>
          <w:sz w:val="24"/>
          <w:szCs w:val="24"/>
          <w:vertAlign w:val="superscript"/>
          <w:lang w:val="en-US"/>
        </w:rPr>
        <w:endnoteRef/>
      </w:r>
      <w:r>
        <w:rPr>
          <w:rFonts w:cs="Arial Unicode MS" w:eastAsia="Arial Unicode MS"/>
          <w:rtl w:val="0"/>
          <w:lang w:val="en-US"/>
        </w:rPr>
        <w:t xml:space="preserve"> Ibid., at approximately</w:t>
      </w:r>
      <w:r>
        <w:rPr>
          <w:rFonts w:cs="Arial Unicode MS" w:eastAsia="Arial Unicode MS" w:hint="default"/>
          <w:rtl w:val="0"/>
          <w:lang w:val="en-US"/>
        </w:rPr>
        <w:t> </w:t>
      </w:r>
      <w:r>
        <w:rPr>
          <w:rFonts w:cs="Arial Unicode MS" w:eastAsia="Arial Unicode MS"/>
          <w:rtl w:val="0"/>
          <w:lang w:val="en-US"/>
        </w:rPr>
        <w:t>00:45:00.</w:t>
      </w:r>
    </w:p>
  </w:endnote>
  <w:endnote w:id="4">
    <w:p>
      <w:pPr>
        <w:pStyle w:val="Body"/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left"/>
      </w:pPr>
      <w:r>
        <w:rPr>
          <w:sz w:val="24"/>
          <w:szCs w:val="24"/>
          <w:vertAlign w:val="superscript"/>
          <w:lang w:val="en-US"/>
        </w:rPr>
        <w:endnoteRef/>
      </w:r>
      <w:r>
        <w:rPr>
          <w:sz w:val="20"/>
          <w:szCs w:val="20"/>
          <w:rtl w:val="0"/>
          <w:lang w:val="en-US"/>
        </w:rPr>
        <w:t xml:space="preserve"> SPR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‑</w:t>
      </w:r>
      <w:r>
        <w:rPr>
          <w:sz w:val="20"/>
          <w:szCs w:val="20"/>
          <w:rtl w:val="0"/>
          <w:lang w:val="en-US"/>
        </w:rPr>
        <w:t>1, document</w:t>
      </w:r>
      <w:r>
        <w:rPr>
          <w:sz w:val="20"/>
          <w:szCs w:val="20"/>
          <w:rtl w:val="0"/>
          <w:lang w:val="en-US"/>
        </w:rPr>
        <w:t> </w:t>
      </w:r>
      <w:r>
        <w:rPr>
          <w:sz w:val="20"/>
          <w:szCs w:val="20"/>
          <w:rtl w:val="0"/>
          <w:lang w:val="en-US"/>
        </w:rPr>
        <w:t>3, National Documentation Package on Haiti, September</w:t>
      </w:r>
      <w:r>
        <w:rPr>
          <w:sz w:val="20"/>
          <w:szCs w:val="20"/>
          <w:rtl w:val="0"/>
          <w:lang w:val="en-US"/>
        </w:rPr>
        <w:t> </w:t>
      </w:r>
      <w:r>
        <w:rPr>
          <w:sz w:val="20"/>
          <w:szCs w:val="20"/>
          <w:rtl w:val="0"/>
          <w:lang w:val="en-US"/>
        </w:rPr>
        <w:t>30, 2019, Tab</w:t>
      </w:r>
      <w:r>
        <w:rPr>
          <w:sz w:val="20"/>
          <w:szCs w:val="20"/>
          <w:rtl w:val="0"/>
          <w:lang w:val="en-US"/>
        </w:rPr>
        <w:t> </w:t>
      </w:r>
      <w:r>
        <w:rPr>
          <w:sz w:val="20"/>
          <w:szCs w:val="20"/>
          <w:rtl w:val="0"/>
          <w:lang w:val="en-US"/>
        </w:rPr>
        <w:t>7.6:</w:t>
      </w:r>
      <w:r>
        <w:rPr>
          <w:sz w:val="20"/>
          <w:szCs w:val="20"/>
          <w:rtl w:val="0"/>
          <w:lang w:val="en-US"/>
        </w:rPr>
        <w:t> </w:t>
      </w:r>
      <w:r>
        <w:rPr>
          <w:spacing w:val="0"/>
          <w:sz w:val="20"/>
          <w:szCs w:val="20"/>
          <w:rtl w:val="0"/>
          <w:lang w:val="en-US"/>
        </w:rPr>
        <w:t>Acts of revenge committed by gangs or by other organized crime entities; ability of gangs or other organized crime entities to track down their targets, including those who return to Haiti after a long absence (2015</w:t>
      </w:r>
      <w:r>
        <w:rPr>
          <w:spacing w:val="0"/>
          <w:sz w:val="20"/>
          <w:szCs w:val="20"/>
          <w:rtl w:val="0"/>
          <w:lang w:val="en-US"/>
        </w:rPr>
        <w:t>–</w:t>
      </w:r>
      <w:r>
        <w:rPr>
          <w:spacing w:val="0"/>
          <w:sz w:val="20"/>
          <w:szCs w:val="20"/>
          <w:rtl w:val="0"/>
          <w:lang w:val="en-US"/>
        </w:rPr>
        <w:t>June</w:t>
      </w:r>
      <w:r>
        <w:rPr>
          <w:spacing w:val="0"/>
          <w:sz w:val="20"/>
          <w:szCs w:val="20"/>
          <w:rtl w:val="0"/>
          <w:lang w:val="en-US"/>
        </w:rPr>
        <w:t> </w:t>
      </w:r>
      <w:r>
        <w:rPr>
          <w:spacing w:val="0"/>
          <w:sz w:val="20"/>
          <w:szCs w:val="20"/>
          <w:rtl w:val="0"/>
          <w:lang w:val="en-US"/>
        </w:rPr>
        <w:t>2018), Immigration and Refugee Board of Canada, July</w:t>
      </w:r>
      <w:r>
        <w:rPr>
          <w:spacing w:val="0"/>
          <w:sz w:val="20"/>
          <w:szCs w:val="20"/>
          <w:rtl w:val="0"/>
          <w:lang w:val="en-US"/>
        </w:rPr>
        <w:t> </w:t>
      </w:r>
      <w:r>
        <w:rPr>
          <w:spacing w:val="0"/>
          <w:sz w:val="20"/>
          <w:szCs w:val="20"/>
          <w:rtl w:val="0"/>
          <w:lang w:val="en-US"/>
        </w:rPr>
        <w:t>3, 2018, HTI106117. FE, pp.</w:t>
      </w:r>
      <w:r>
        <w:rPr>
          <w:spacing w:val="0"/>
          <w:sz w:val="20"/>
          <w:szCs w:val="20"/>
          <w:rtl w:val="0"/>
          <w:lang w:val="en-US"/>
        </w:rPr>
        <w:t> </w:t>
      </w:r>
      <w:r>
        <w:rPr>
          <w:sz w:val="20"/>
          <w:szCs w:val="20"/>
          <w:rtl w:val="0"/>
          <w:lang w:val="en-US"/>
        </w:rPr>
        <w:t>5</w:t>
      </w:r>
      <w:r>
        <w:rPr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>6.</w:t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before="0" w:after="0"/>
      <w:rPr>
        <w:sz w:val="16"/>
        <w:szCs w:val="16"/>
        <w:lang w:val="en-US"/>
      </w:rPr>
    </w:pPr>
    <w:r>
      <w:rPr>
        <w:sz w:val="16"/>
        <w:szCs w:val="16"/>
        <w:lang w:val="en-US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spacing w:before="0" w:after="0"/>
      <w:ind w:left="0" w:right="0" w:firstLine="0"/>
      <w:jc w:val="both"/>
      <w:rPr>
        <w:spacing w:val="-1"/>
        <w:sz w:val="20"/>
        <w:szCs w:val="20"/>
        <w:shd w:val="nil" w:color="auto" w:fill="auto"/>
        <w:rtl w:val="0"/>
      </w:rPr>
    </w:pPr>
    <w:r>
      <w:rPr>
        <w:spacing w:val="-1"/>
        <w:sz w:val="20"/>
        <w:szCs w:val="20"/>
        <w:shd w:val="nil" w:color="auto" w:fill="auto"/>
        <w:rtl w:val="0"/>
        <w:lang w:val="en-US"/>
      </w:rPr>
      <w:t>RAD.25.02 (January 2020)</w:t>
    </w:r>
  </w:p>
  <w:p>
    <w:pPr>
      <w:pStyle w:val="Body"/>
      <w:bidi w:val="0"/>
      <w:spacing w:before="0" w:after="0"/>
      <w:ind w:left="0" w:right="0" w:firstLine="0"/>
      <w:jc w:val="right"/>
      <w:rPr>
        <w:rtl w:val="0"/>
      </w:rPr>
    </w:pPr>
    <w:r>
      <w:rPr>
        <w:spacing w:val="-2"/>
        <w:sz w:val="24"/>
        <w:szCs w:val="24"/>
        <w:shd w:val="nil" w:color="auto" w:fill="auto"/>
        <w:rtl w:val="0"/>
        <w:lang w:val="fr-FR"/>
      </w:rPr>
      <w:t>Disponible en fran</w:t>
    </w:r>
    <w:r>
      <w:rPr>
        <w:spacing w:val="-2"/>
        <w:sz w:val="24"/>
        <w:szCs w:val="24"/>
        <w:shd w:val="nil" w:color="auto" w:fill="auto"/>
        <w:rtl w:val="0"/>
        <w:lang w:val="pt-PT"/>
      </w:rPr>
      <w:t>ç</w:t>
    </w:r>
    <w:r>
      <w:rPr>
        <w:spacing w:val="-2"/>
        <w:sz w:val="24"/>
        <w:szCs w:val="24"/>
        <w:shd w:val="nil" w:color="auto" w:fill="auto"/>
        <w:rtl w:val="0"/>
      </w:rPr>
      <w:t>ais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Fonts w:ascii="Times New Roman" w:hAnsi="Times New Roman"/>
        <w:b w:val="1"/>
        <w:bCs w:val="1"/>
        <w:sz w:val="22"/>
        <w:szCs w:val="22"/>
        <w:rtl w:val="0"/>
      </w:rPr>
      <w:t>RAD File No. / N</w:t>
    </w:r>
    <w:r>
      <w:rPr>
        <w:rFonts w:ascii="Times New Roman" w:hAnsi="Times New Roman"/>
        <w:b w:val="1"/>
        <w:bCs w:val="1"/>
        <w:sz w:val="22"/>
        <w:szCs w:val="22"/>
        <w:vertAlign w:val="superscript"/>
        <w:rtl w:val="0"/>
      </w:rPr>
      <w:t>o</w:t>
    </w:r>
    <w:r>
      <w:rPr>
        <w:rFonts w:ascii="Times New Roman" w:hAnsi="Times New Roman"/>
        <w:b w:val="1"/>
        <w:bCs w:val="1"/>
        <w:sz w:val="22"/>
        <w:szCs w:val="22"/>
        <w:rtl w:val="0"/>
        <w:lang w:val="fr-FR"/>
      </w:rPr>
      <w:t xml:space="preserve"> de dossier de la SAR</w:t>
    </w:r>
    <w:r>
      <w:rPr>
        <w:rFonts w:ascii="Times New Roman" w:hAnsi="Times New Roman" w:hint="default"/>
        <w:b w:val="1"/>
        <w:bCs w:val="1"/>
        <w:sz w:val="22"/>
        <w:szCs w:val="22"/>
        <w:rtl w:val="0"/>
      </w:rPr>
      <w:t> </w:t>
    </w:r>
    <w:r>
      <w:rPr>
        <w:rFonts w:ascii="Times New Roman" w:hAnsi="Times New Roman"/>
        <w:b w:val="1"/>
        <w:bCs w:val="1"/>
        <w:sz w:val="22"/>
        <w:szCs w:val="22"/>
        <w:rtl w:val="0"/>
      </w:rPr>
      <w:t>: MC000869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spacing w:after="0"/>
      <w:ind w:left="0" w:right="0" w:firstLine="0"/>
      <w:jc w:val="left"/>
      <w:rPr>
        <w:spacing w:val="-1"/>
        <w:sz w:val="22"/>
        <w:szCs w:val="22"/>
        <w:shd w:val="nil" w:color="auto" w:fill="auto"/>
        <w:rtl w:val="0"/>
      </w:rPr>
    </w:pPr>
    <w:r>
      <w:rPr>
        <w:spacing w:val="-1"/>
        <w:sz w:val="22"/>
        <w:szCs w:val="22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3584448</wp:posOffset>
          </wp:positionH>
          <wp:positionV relativeFrom="page">
            <wp:posOffset>0</wp:posOffset>
          </wp:positionV>
          <wp:extent cx="603505" cy="740664"/>
          <wp:effectExtent l="0" t="0" r="0" b="0"/>
          <wp:wrapNone/>
          <wp:docPr id="1073741825" name="officeArt object" descr="fip_300dpi_est_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p_300dpi_est_e" descr="fip_300dpi_est_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87987" b="0"/>
                  <a:stretch>
                    <a:fillRect/>
                  </a:stretch>
                </pic:blipFill>
                <pic:spPr>
                  <a:xfrm>
                    <a:off x="0" y="0"/>
                    <a:ext cx="603505" cy="7406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pacing w:val="-1"/>
        <w:sz w:val="22"/>
        <w:szCs w:val="22"/>
      </w:rP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6044183</wp:posOffset>
          </wp:positionH>
          <wp:positionV relativeFrom="page">
            <wp:posOffset>9541509</wp:posOffset>
          </wp:positionV>
          <wp:extent cx="813817" cy="237744"/>
          <wp:effectExtent l="0" t="0" r="0" b="0"/>
          <wp:wrapNone/>
          <wp:docPr id="1073741826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" descr="Picture 1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817" cy="2377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pacing w:val="-1"/>
        <w:sz w:val="22"/>
        <w:szCs w:val="22"/>
        <w:shd w:val="nil" w:color="auto" w:fill="auto"/>
        <w:rtl w:val="0"/>
        <w:lang w:val="en-US"/>
      </w:rPr>
      <w:t>Immigration and Refugee</w:t>
    </w:r>
  </w:p>
  <w:p>
    <w:pPr>
      <w:pStyle w:val="Body"/>
      <w:bidi w:val="0"/>
      <w:spacing w:before="0" w:after="240"/>
      <w:ind w:left="0" w:right="0" w:firstLine="0"/>
      <w:jc w:val="left"/>
      <w:rPr>
        <w:spacing w:val="-1"/>
        <w:sz w:val="22"/>
        <w:szCs w:val="22"/>
        <w:shd w:val="nil" w:color="auto" w:fill="auto"/>
        <w:rtl w:val="0"/>
      </w:rPr>
    </w:pPr>
    <w:r>
      <w:rPr>
        <w:spacing w:val="-1"/>
        <w:sz w:val="22"/>
        <w:szCs w:val="22"/>
        <w:shd w:val="nil" w:color="auto" w:fill="auto"/>
        <w:rtl w:val="0"/>
        <w:lang w:val="en-US"/>
      </w:rPr>
      <w:t>Board of Canada</w:t>
    </w:r>
  </w:p>
  <w:p>
    <w:pPr>
      <w:pStyle w:val="Body"/>
      <w:bidi w:val="0"/>
      <w:spacing w:after="240"/>
      <w:ind w:left="0" w:right="0" w:firstLine="0"/>
      <w:jc w:val="right"/>
      <w:rPr>
        <w:spacing w:val="-1"/>
        <w:sz w:val="22"/>
        <w:szCs w:val="22"/>
        <w:shd w:val="nil" w:color="auto" w:fill="auto"/>
        <w:rtl w:val="0"/>
      </w:rPr>
    </w:pPr>
    <w:r>
      <w:rPr>
        <w:b w:val="1"/>
        <w:bCs w:val="1"/>
        <w:spacing w:val="-2"/>
        <w:sz w:val="24"/>
        <w:szCs w:val="24"/>
        <w:shd w:val="nil" w:color="auto" w:fill="auto"/>
        <w:vertAlign w:val="baseline"/>
        <w:rtl w:val="0"/>
        <w:lang w:val="en-US"/>
      </w:rPr>
      <w:t>Refugee Appeal Division</w:t>
      <w:tab/>
      <w:tab/>
    </w:r>
    <w:r>
      <w:rPr>
        <w:spacing w:val="-1"/>
        <w:sz w:val="22"/>
        <w:szCs w:val="22"/>
        <w:shd w:val="nil" w:color="auto" w:fill="auto"/>
        <w:rtl w:val="0"/>
        <w:lang w:val="fr-FR"/>
      </w:rPr>
      <w:t>Commission de l</w:t>
    </w:r>
    <w:r>
      <w:rPr>
        <w:spacing w:val="-1"/>
        <w:sz w:val="22"/>
        <w:szCs w:val="22"/>
        <w:shd w:val="nil" w:color="auto" w:fill="auto"/>
        <w:rtl w:val="0"/>
        <w:lang w:val="fr-FR"/>
      </w:rPr>
      <w:t>’</w:t>
    </w:r>
    <w:r>
      <w:rPr>
        <w:spacing w:val="-1"/>
        <w:sz w:val="22"/>
        <w:szCs w:val="22"/>
        <w:shd w:val="nil" w:color="auto" w:fill="auto"/>
        <w:rtl w:val="0"/>
        <w:lang w:val="fr-FR"/>
      </w:rPr>
      <w:t>immigration</w:t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pacing w:val="-1"/>
        <w:sz w:val="22"/>
        <w:szCs w:val="22"/>
        <w:shd w:val="nil" w:color="auto" w:fill="auto"/>
        <w:lang w:val="fr-FR"/>
      </w:rPr>
      <w:br w:type="textWrapping"/>
    </w:r>
    <w:r>
      <w:rPr>
        <w:spacing w:val="-1"/>
        <w:sz w:val="22"/>
        <w:szCs w:val="22"/>
        <w:shd w:val="nil" w:color="auto" w:fill="auto"/>
        <w:rtl w:val="0"/>
        <w:lang w:val="fr-FR"/>
      </w:rPr>
      <w:t>et du statut de r</w:t>
    </w:r>
    <w:r>
      <w:rPr>
        <w:spacing w:val="-1"/>
        <w:sz w:val="22"/>
        <w:szCs w:val="22"/>
        <w:shd w:val="nil" w:color="auto" w:fill="auto"/>
        <w:rtl w:val="0"/>
        <w:lang w:val="fr-FR"/>
      </w:rPr>
      <w:t>é</w:t>
    </w:r>
    <w:r>
      <w:rPr>
        <w:spacing w:val="-1"/>
        <w:sz w:val="22"/>
        <w:szCs w:val="22"/>
        <w:shd w:val="nil" w:color="auto" w:fill="auto"/>
        <w:rtl w:val="0"/>
        <w:lang w:val="fr-FR"/>
      </w:rPr>
      <w:t>fugi</w:t>
    </w:r>
    <w:r>
      <w:rPr>
        <w:spacing w:val="-1"/>
        <w:sz w:val="22"/>
        <w:szCs w:val="22"/>
        <w:shd w:val="nil" w:color="auto" w:fill="auto"/>
        <w:rtl w:val="0"/>
        <w:lang w:val="fr-FR"/>
      </w:rPr>
      <w:t xml:space="preserve">é </w:t>
    </w:r>
    <w:r>
      <w:rPr>
        <w:spacing w:val="-1"/>
        <w:sz w:val="22"/>
        <w:szCs w:val="22"/>
        <w:shd w:val="nil" w:color="auto" w:fill="auto"/>
        <w:rtl w:val="0"/>
        <w:lang w:val="fr-FR"/>
      </w:rPr>
      <w:t>du Canada</w:t>
    </w:r>
  </w:p>
  <w:p>
    <w:pPr>
      <w:pStyle w:val="Body"/>
      <w:bidi w:val="0"/>
      <w:spacing w:before="0" w:after="0"/>
      <w:ind w:left="0" w:right="0" w:firstLine="0"/>
      <w:jc w:val="right"/>
      <w:rPr>
        <w:rtl w:val="0"/>
      </w:rPr>
    </w:pP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Section d</w:t>
    </w: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’</w:t>
    </w: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appel des r</w:t>
    </w: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é</w:t>
    </w: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fugi</w:t>
    </w: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é</w:t>
    </w:r>
    <w:r>
      <w:rPr>
        <w:b w:val="1"/>
        <w:bCs w:val="1"/>
        <w:spacing w:val="-1"/>
        <w:sz w:val="22"/>
        <w:szCs w:val="22"/>
        <w:shd w:val="nil" w:color="auto" w:fill="auto"/>
        <w:rtl w:val="0"/>
        <w:lang w:val="en-US"/>
      </w:rPr>
      <w:t>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6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9"/>
          <w:tab w:val="left" w:pos="862"/>
        </w:tabs>
        <w:ind w:left="14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862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9"/>
          <w:tab w:val="left" w:pos="86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9"/>
          <w:tab w:val="left" w:pos="862"/>
        </w:tabs>
        <w:ind w:left="36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862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9"/>
          <w:tab w:val="left" w:pos="86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9"/>
          <w:tab w:val="left" w:pos="862"/>
        </w:tabs>
        <w:ind w:left="57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endnotePr>
    <w:numFmt w:val="lowerRoman"/>
    <w:numRestart w:val="continuous"/>
    <w:endnote w:id="-1"/>
    <w:endnote w:id="0"/>
    <w:endnote w:id="-2"/>
  </w:end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  <w:tab w:val="center" w:pos="4320"/>
        <w:tab w:val="right" w:pos="8640"/>
      </w:tabs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  <w:tab w:val="center" w:pos="4320"/>
        <w:tab w:val="right" w:pos="8640"/>
      </w:tabs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</w:tabs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</w:tabs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</w:tabs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_ParagNum">
    <w:name w:val="Normal_ParagNum"/>
    <w:next w:val="Normal_ParagNum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360" w:lineRule="auto"/>
      <w:ind w:left="720" w:right="0" w:hanging="7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dnote text">
    <w:name w:val="endnote text"/>
    <w:next w:val="end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endnotes" Target="endnote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