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clear" w:pos="576"/>
          <w:tab w:val="clear" w:pos="1008"/>
          <w:tab w:val="clear" w:pos="1440"/>
          <w:tab w:val="clear" w:pos="1872"/>
          <w:tab w:val="clear" w:pos="2304"/>
          <w:tab w:val="clear" w:pos="2736"/>
        </w:tabs>
        <w:spacing w:before="0" w:after="0"/>
        <w:jc w:val="right"/>
        <w:rPr>
          <w:b w:val="1"/>
          <w:bCs w:val="1"/>
          <w:sz w:val="20"/>
          <w:szCs w:val="20"/>
          <w:lang w:val="en-US"/>
        </w:rPr>
      </w:pP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RAD File / Dossier de la SAR</w:t>
      </w:r>
      <w:r>
        <w:rPr>
          <w:b w:val="1"/>
          <w:bCs w:val="1"/>
          <w:sz w:val="22"/>
          <w:szCs w:val="22"/>
          <w:rtl w:val="0"/>
        </w:rPr>
        <w:t> </w:t>
      </w:r>
      <w:r>
        <w:rPr>
          <w:b w:val="1"/>
          <w:bCs w:val="1"/>
          <w:sz w:val="22"/>
          <w:szCs w:val="22"/>
          <w:rtl w:val="0"/>
        </w:rPr>
        <w:t>: MC006571</w:t>
      </w:r>
    </w:p>
    <w:p>
      <w:pPr>
        <w:pStyle w:val="Body"/>
        <w:tabs>
          <w:tab w:val="clear" w:pos="576"/>
          <w:tab w:val="clear" w:pos="1008"/>
          <w:tab w:val="clear" w:pos="1440"/>
          <w:tab w:val="clear" w:pos="1872"/>
          <w:tab w:val="clear" w:pos="2304"/>
          <w:tab w:val="clear" w:pos="2736"/>
        </w:tabs>
        <w:spacing w:before="0" w:after="0"/>
        <w:jc w:val="right"/>
        <w:rPr>
          <w:sz w:val="20"/>
          <w:szCs w:val="20"/>
        </w:rPr>
      </w:pPr>
    </w:p>
    <w:p>
      <w:pPr>
        <w:pStyle w:val="header"/>
        <w:tabs>
          <w:tab w:val="clear" w:pos="576"/>
          <w:tab w:val="clear" w:pos="1008"/>
          <w:tab w:val="clear" w:pos="1440"/>
          <w:tab w:val="clear" w:pos="1872"/>
          <w:tab w:val="clear" w:pos="2304"/>
          <w:tab w:val="clear" w:pos="2736"/>
          <w:tab w:val="clear" w:pos="4320"/>
          <w:tab w:val="clear" w:pos="8640"/>
        </w:tabs>
        <w:jc w:val="right"/>
        <w:rPr>
          <w:rFonts w:ascii="Times New Roman" w:cs="Times New Roman" w:hAnsi="Times New Roman" w:eastAsia="Times New Roman"/>
          <w:b w:val="1"/>
          <w:bCs w:val="1"/>
          <w:i w:val="1"/>
          <w:iCs w:val="1"/>
          <w:sz w:val="22"/>
          <w:szCs w:val="22"/>
        </w:rPr>
      </w:pPr>
      <w:r>
        <w:rPr>
          <w:rFonts w:ascii="Times New Roman" w:hAnsi="Times New Roman"/>
          <w:b w:val="1"/>
          <w:bCs w:val="1"/>
          <w:i w:val="1"/>
          <w:iCs w:val="1"/>
          <w:sz w:val="22"/>
          <w:szCs w:val="22"/>
          <w:rtl w:val="0"/>
          <w:lang w:val="nl-NL"/>
        </w:rPr>
        <w:t>Private Proceeding / Huis clos</w:t>
      </w:r>
    </w:p>
    <w:p>
      <w:pPr>
        <w:pStyle w:val="header"/>
        <w:tabs>
          <w:tab w:val="clear" w:pos="576"/>
          <w:tab w:val="clear" w:pos="1008"/>
          <w:tab w:val="clear" w:pos="1440"/>
          <w:tab w:val="clear" w:pos="1872"/>
          <w:tab w:val="clear" w:pos="2304"/>
          <w:tab w:val="clear" w:pos="2736"/>
          <w:tab w:val="clear" w:pos="4320"/>
          <w:tab w:val="clear" w:pos="8640"/>
        </w:tabs>
        <w:rPr>
          <w:rFonts w:ascii="Times New Roman" w:cs="Times New Roman" w:hAnsi="Times New Roman" w:eastAsia="Times New Roman"/>
          <w:sz w:val="22"/>
          <w:szCs w:val="22"/>
        </w:rPr>
      </w:pPr>
    </w:p>
    <w:p>
      <w:pPr>
        <w:pStyle w:val="Body"/>
        <w:keepNext w:val="1"/>
        <w:spacing w:after="240"/>
        <w:jc w:val="center"/>
        <w:outlineLvl w:val="1"/>
        <w:rPr>
          <w:b w:val="1"/>
          <w:bCs w:val="1"/>
          <w:sz w:val="32"/>
          <w:szCs w:val="32"/>
        </w:rPr>
      </w:pPr>
      <w:r>
        <w:rPr>
          <w:b w:val="1"/>
          <w:bCs w:val="1"/>
          <w:sz w:val="32"/>
          <w:szCs w:val="32"/>
          <w:rtl w:val="0"/>
          <w:lang w:val="en-US"/>
        </w:rPr>
        <w:t xml:space="preserve">Reasons and decision </w:t>
      </w:r>
      <w:r>
        <w:rPr>
          <w:rFonts w:ascii="Symbol" w:hAnsi="Symbol" w:hint="default"/>
          <w:sz w:val="32"/>
          <w:szCs w:val="32"/>
          <w:rtl w:val="0"/>
          <w:lang w:val="fr-FR"/>
        </w:rPr>
        <w:t>-</w:t>
      </w:r>
      <w:r>
        <w:rPr>
          <w:b w:val="1"/>
          <w:bCs w:val="1"/>
          <w:sz w:val="32"/>
          <w:szCs w:val="32"/>
          <w:rtl w:val="0"/>
          <w:lang w:val="fr-FR"/>
        </w:rPr>
        <w:t xml:space="preserve"> Motifs et d</w:t>
      </w:r>
      <w:r>
        <w:rPr>
          <w:b w:val="1"/>
          <w:bCs w:val="1"/>
          <w:sz w:val="32"/>
          <w:szCs w:val="32"/>
          <w:rtl w:val="0"/>
          <w:lang w:val="fr-FR"/>
        </w:rPr>
        <w:t>é</w:t>
      </w:r>
      <w:r>
        <w:rPr>
          <w:b w:val="1"/>
          <w:bCs w:val="1"/>
          <w:sz w:val="32"/>
          <w:szCs w:val="32"/>
          <w:rtl w:val="0"/>
          <w:lang w:val="it-IT"/>
        </w:rPr>
        <w:t>cision</w:t>
      </w:r>
    </w:p>
    <w:p>
      <w:pPr>
        <w:pStyle w:val="header"/>
        <w:tabs>
          <w:tab w:val="clear" w:pos="576"/>
          <w:tab w:val="clear" w:pos="1008"/>
          <w:tab w:val="clear" w:pos="1440"/>
          <w:tab w:val="clear" w:pos="1872"/>
          <w:tab w:val="clear" w:pos="2304"/>
          <w:tab w:val="clear" w:pos="2736"/>
          <w:tab w:val="clear" w:pos="4320"/>
          <w:tab w:val="clear" w:pos="8640"/>
        </w:tabs>
        <w:rPr>
          <w:rFonts w:ascii="Times New Roman" w:cs="Times New Roman" w:hAnsi="Times New Roman" w:eastAsia="Times New Roman"/>
          <w:sz w:val="22"/>
          <w:szCs w:val="22"/>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10"/>
        <w:gridCol w:w="4961"/>
        <w:gridCol w:w="1989"/>
      </w:tblGrid>
      <w:tr>
        <w:tblPrEx>
          <w:shd w:val="clear" w:color="auto" w:fill="ced7e7"/>
        </w:tblPrEx>
        <w:trPr>
          <w:trHeight w:val="45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Person who is the subject of the appeal</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b w:val="1"/>
                <w:bCs w:val="1"/>
                <w:rtl w:val="0"/>
                <w:lang w:val="en-US"/>
              </w:rPr>
              <w:t>Prahan</w:t>
            </w:r>
            <w:r>
              <w:rPr>
                <w:b w:val="1"/>
                <w:bCs w:val="1"/>
                <w:rtl w:val="0"/>
                <w:lang w:val="en-US"/>
              </w:rPr>
              <w:t xml:space="preserve"> Villavarayan</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Personne en cause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 xml:space="preserve">Appeal considered / heard at </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after="0"/>
              <w:jc w:val="center"/>
            </w:pPr>
            <w:r>
              <w:rPr>
                <w:rFonts w:ascii="Times New Roman" w:hAnsi="Times New Roman"/>
                <w:sz w:val="24"/>
                <w:szCs w:val="24"/>
                <w:shd w:val="nil" w:color="auto" w:fill="auto"/>
                <w:rtl w:val="0"/>
                <w:lang w:val="en-US"/>
              </w:rPr>
              <w:t>Toronto, ON</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 xml:space="preserve">Appel instruit / entendu </w:t>
            </w:r>
            <w:r>
              <w:rPr>
                <w:b w:val="1"/>
                <w:bCs w:val="1"/>
                <w:spacing w:val="-1"/>
                <w:sz w:val="20"/>
                <w:szCs w:val="20"/>
                <w:shd w:val="nil" w:color="auto" w:fill="auto"/>
                <w:rtl w:val="0"/>
                <w:lang w:val="fr-FR"/>
              </w:rPr>
              <w:t>à</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212"/>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fr-FR"/>
              </w:rPr>
              <w:t xml:space="preserve">Date of decision </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fr-FR"/>
              </w:rPr>
              <w:t>April 15, 2021</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Date de la d</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 xml:space="preserve">cision </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fr-FR"/>
              </w:rPr>
              <w:t>Panel</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fr-FR"/>
              </w:rPr>
              <w:t>Sasha Kiran Cragg-Gore</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Tribunal</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person who is the subject of the appeal</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 xml:space="preserve">Myriam Harbec </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after="0"/>
              <w:jc w:val="left"/>
            </w:pPr>
            <w:r>
              <w:rPr>
                <w:rFonts w:ascii="Times New Roman" w:hAnsi="Times New Roman"/>
                <w:b w:val="1"/>
                <w:bCs w:val="1"/>
                <w:shd w:val="nil" w:color="auto" w:fill="auto"/>
                <w:rtl w:val="0"/>
                <w:lang w:val="fr-FR"/>
              </w:rPr>
              <w:t>Conseil de la personne en cause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Designated representative</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Repr</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sentant(e) d</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sign</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fr-FR"/>
              </w:rPr>
              <w:t>Counsel for the Minister</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Conseil du ministre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bl>
    <w:p>
      <w:pPr>
        <w:pStyle w:val="header"/>
        <w:widowControl w:val="0"/>
        <w:tabs>
          <w:tab w:val="clear" w:pos="576"/>
          <w:tab w:val="clear" w:pos="1008"/>
          <w:tab w:val="clear" w:pos="1440"/>
          <w:tab w:val="clear" w:pos="1872"/>
          <w:tab w:val="clear" w:pos="2304"/>
          <w:tab w:val="clear" w:pos="2736"/>
          <w:tab w:val="clear" w:pos="4320"/>
          <w:tab w:val="clear" w:pos="8640"/>
        </w:tabs>
        <w:jc w:val="center"/>
        <w:rPr>
          <w:rFonts w:ascii="Times New Roman" w:cs="Times New Roman" w:hAnsi="Times New Roman" w:eastAsia="Times New Roman"/>
          <w:sz w:val="22"/>
          <w:szCs w:val="22"/>
        </w:rPr>
      </w:pPr>
    </w:p>
    <w:p>
      <w:pPr>
        <w:pStyle w:val="Body"/>
        <w:tabs>
          <w:tab w:val="clear" w:pos="576"/>
          <w:tab w:val="clear" w:pos="1008"/>
          <w:tab w:val="clear" w:pos="1440"/>
          <w:tab w:val="clear" w:pos="1872"/>
          <w:tab w:val="clear" w:pos="2304"/>
          <w:tab w:val="clear" w:pos="2736"/>
        </w:tabs>
        <w:spacing w:before="0" w:after="0"/>
        <w:jc w:val="left"/>
      </w:pPr>
      <w:r>
        <w:rPr>
          <w:rFonts w:ascii="Arial Unicode MS" w:cs="Arial Unicode MS" w:hAnsi="Arial Unicode MS" w:eastAsia="Arial Unicode MS"/>
          <w:b w:val="0"/>
          <w:bCs w:val="0"/>
          <w:i w:val="0"/>
          <w:iCs w:val="0"/>
          <w:sz w:val="28"/>
          <w:szCs w:val="28"/>
        </w:rPr>
        <w:br w:type="page"/>
      </w:r>
    </w:p>
    <w:p>
      <w:pPr>
        <w:pStyle w:val="Body"/>
      </w:pPr>
    </w:p>
    <w:p>
      <w:pPr>
        <w:pStyle w:val="Body"/>
        <w:tabs>
          <w:tab w:val="left" w:pos="5040"/>
        </w:tabs>
        <w:spacing w:before="240" w:after="240" w:line="360" w:lineRule="auto"/>
        <w:jc w:val="center"/>
        <w:outlineLvl w:val="2"/>
        <w:rPr>
          <w:b w:val="1"/>
          <w:bCs w:val="1"/>
          <w:sz w:val="28"/>
          <w:szCs w:val="28"/>
        </w:rPr>
      </w:pPr>
      <w:r>
        <w:rPr>
          <w:b w:val="1"/>
          <w:bCs w:val="1"/>
          <w:sz w:val="28"/>
          <w:szCs w:val="28"/>
          <w:rtl w:val="0"/>
          <w:lang w:val="de-DE"/>
        </w:rPr>
        <w:t>REASONS FOR DECISION</w:t>
      </w:r>
    </w:p>
    <w:p>
      <w:pPr>
        <w:pStyle w:val="Body"/>
        <w:tabs>
          <w:tab w:val="left" w:pos="5040"/>
        </w:tabs>
        <w:spacing w:before="240" w:after="240" w:line="360" w:lineRule="auto"/>
        <w:outlineLvl w:val="2"/>
        <w:rPr>
          <w:sz w:val="20"/>
          <w:szCs w:val="20"/>
        </w:rPr>
      </w:pPr>
      <w:r>
        <w:rPr>
          <w:b w:val="1"/>
          <w:bCs w:val="1"/>
          <w:rtl w:val="0"/>
          <w:lang w:val="en-US"/>
        </w:rPr>
        <w:t xml:space="preserve">OVERVIEW </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These are my reasons for dismissing this appeal. </w:t>
      </w:r>
      <w:r>
        <w:rPr>
          <w:rFonts w:ascii="Times New Roman" w:hAnsi="Times New Roman"/>
          <w:sz w:val="24"/>
          <w:szCs w:val="24"/>
          <w:rtl w:val="0"/>
          <w:lang w:val="en-US"/>
        </w:rPr>
        <w:t>Prahan</w:t>
      </w:r>
      <w:r>
        <w:rPr>
          <w:rFonts w:ascii="Times New Roman" w:hAnsi="Times New Roman"/>
          <w:sz w:val="24"/>
          <w:szCs w:val="24"/>
          <w:rtl w:val="0"/>
          <w:lang w:val="en-US"/>
        </w:rPr>
        <w:t xml:space="preserve"> Villavarayan (the Appellant) is a citizen of Sri Lanka.</w:t>
      </w:r>
      <w:r>
        <w:rPr>
          <w:rFonts w:ascii="Times New Roman" w:hAnsi="Times New Roman"/>
          <w:sz w:val="24"/>
          <w:szCs w:val="24"/>
          <w:rtl w:val="0"/>
          <w:lang w:val="en-US"/>
        </w:rPr>
        <w:t xml:space="preserve"> He fears the Sri Lankan army because he witnessed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abduction in 2007 and then recognized one of the abductors in an army base in 2018. After confronting the abductor, the Appellant alleges that he was threatened and detained on multiple occasions by the army before fleeing the country. He travelled to Canada via the United States and claimed refugee status.</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Refugee Protection Division (RPD) rejected his claim for the following main reasons:</w:t>
      </w:r>
    </w:p>
    <w:p>
      <w:pPr>
        <w:pStyle w:val="List Paragraph"/>
        <w:numPr>
          <w:ilvl w:val="1"/>
          <w:numId w:val="2"/>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He inconsistently described the identity and number of abductors and his name is mentioned nowhere on the human rights complaint describing this abduction;</w:t>
      </w:r>
    </w:p>
    <w:p>
      <w:pPr>
        <w:pStyle w:val="List Paragraph"/>
        <w:numPr>
          <w:ilvl w:val="1"/>
          <w:numId w:val="2"/>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 xml:space="preserve"> He acted inconsistently by boldly confronting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 abductor in a public setting, yet hiding what happened from his family members ;</w:t>
      </w:r>
    </w:p>
    <w:p>
      <w:pPr>
        <w:pStyle w:val="List Paragraph"/>
        <w:numPr>
          <w:ilvl w:val="1"/>
          <w:numId w:val="2"/>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 xml:space="preserve">He was evasive in describing whether or not his </w:t>
      </w:r>
      <w:r>
        <w:rPr>
          <w:rFonts w:ascii="Times New Roman" w:hAnsi="Times New Roman"/>
          <w:sz w:val="24"/>
          <w:szCs w:val="24"/>
          <w:rtl w:val="0"/>
          <w:lang w:val="en-US"/>
        </w:rPr>
        <w:t>girlfriend</w:t>
      </w:r>
      <w:r>
        <w:rPr>
          <w:rFonts w:ascii="Times New Roman" w:hAnsi="Times New Roman"/>
          <w:sz w:val="24"/>
          <w:szCs w:val="24"/>
          <w:rtl w:val="0"/>
          <w:lang w:val="en-US"/>
        </w:rPr>
        <w:t xml:space="preserve"> complained to a human rights organization and whether that organization spoke to the officer he recognized;</w:t>
      </w:r>
    </w:p>
    <w:p>
      <w:pPr>
        <w:pStyle w:val="List Paragraph"/>
        <w:numPr>
          <w:ilvl w:val="1"/>
          <w:numId w:val="2"/>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He made no efforts to find out what transpired after he left the country;</w:t>
      </w:r>
    </w:p>
    <w:p>
      <w:pPr>
        <w:pStyle w:val="List Paragraph"/>
        <w:numPr>
          <w:ilvl w:val="1"/>
          <w:numId w:val="2"/>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The letters he provided in support of his claim contain important contradictions;</w:t>
      </w:r>
    </w:p>
    <w:p>
      <w:pPr>
        <w:pStyle w:val="List Paragraph"/>
        <w:numPr>
          <w:ilvl w:val="1"/>
          <w:numId w:val="2"/>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The discrimination he would face as a young Tamil male does not amount to persecution;</w:t>
      </w:r>
    </w:p>
    <w:p>
      <w:pPr>
        <w:pStyle w:val="List Paragraph"/>
        <w:numPr>
          <w:ilvl w:val="1"/>
          <w:numId w:val="2"/>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 xml:space="preserve"> His failure to pursue a refugee claim in the United States was not reasonably explained and is inconsistent with his alleged fear.</w:t>
      </w:r>
    </w:p>
    <w:p>
      <w:pPr>
        <w:pStyle w:val="CG Body"/>
        <w:numPr>
          <w:ilvl w:val="0"/>
          <w:numId w:val="3"/>
        </w:numPr>
        <w:rPr>
          <w:lang w:val="en-US"/>
        </w:rPr>
      </w:pPr>
      <w:r>
        <w:rPr>
          <w:rtl w:val="0"/>
          <w:lang w:val="en-US"/>
        </w:rPr>
        <w:t>The Appellant has appealed this decision and now asks the Refugee Appeal Division (RAD) to recognize him as a person in need of protection or a Convention Refugee. In the alternative, he asks that this matter be remitted to the RPD for redetermination. He has not submitted any new evidence, nor does he request an oral hearing. He makes the following main arguments:</w:t>
      </w:r>
    </w:p>
    <w:p>
      <w:pPr>
        <w:pStyle w:val="List Paragraph"/>
        <w:numPr>
          <w:ilvl w:val="1"/>
          <w:numId w:val="3"/>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Just because his name is not on the human rights complaint does not mean he did not witness the abduction;</w:t>
      </w:r>
    </w:p>
    <w:p>
      <w:pPr>
        <w:pStyle w:val="List Paragraph"/>
        <w:numPr>
          <w:ilvl w:val="1"/>
          <w:numId w:val="3"/>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He reasonably explained why he did not tell his family members about recognizing one of the abductors and why he described a different number of abductors than what is listed in the complaint;</w:t>
      </w:r>
    </w:p>
    <w:p>
      <w:pPr>
        <w:pStyle w:val="List Paragraph"/>
        <w:numPr>
          <w:ilvl w:val="1"/>
          <w:numId w:val="3"/>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The contradictions in his lawyer</w:t>
      </w:r>
      <w:r>
        <w:rPr>
          <w:rFonts w:ascii="Times New Roman" w:hAnsi="Times New Roman" w:hint="default"/>
          <w:sz w:val="24"/>
          <w:szCs w:val="24"/>
          <w:rtl w:val="0"/>
          <w:lang w:val="en-US"/>
        </w:rPr>
        <w:t>’</w:t>
      </w:r>
      <w:r>
        <w:rPr>
          <w:rFonts w:ascii="Times New Roman" w:hAnsi="Times New Roman"/>
          <w:sz w:val="24"/>
          <w:szCs w:val="24"/>
          <w:rtl w:val="0"/>
          <w:lang w:val="en-US"/>
        </w:rPr>
        <w:t>s letter are explained by the fact that his wife obtained the letter;</w:t>
      </w:r>
    </w:p>
    <w:p>
      <w:pPr>
        <w:pStyle w:val="List Paragraph"/>
        <w:numPr>
          <w:ilvl w:val="1"/>
          <w:numId w:val="3"/>
        </w:numPr>
        <w:bidi w:val="0"/>
        <w:spacing w:after="240" w:line="360" w:lineRule="auto"/>
        <w:ind w:right="720"/>
        <w:jc w:val="left"/>
        <w:rPr>
          <w:rFonts w:ascii="Times New Roman" w:hAnsi="Times New Roman"/>
          <w:sz w:val="24"/>
          <w:szCs w:val="24"/>
          <w:rtl w:val="0"/>
          <w:lang w:val="en-US"/>
        </w:rPr>
      </w:pPr>
      <w:r>
        <w:rPr>
          <w:rFonts w:ascii="Times New Roman" w:hAnsi="Times New Roman"/>
          <w:sz w:val="24"/>
          <w:szCs w:val="24"/>
          <w:rtl w:val="0"/>
          <w:lang w:val="en-US"/>
        </w:rPr>
        <w:t xml:space="preserve">The RPD failed to consider the risks faced by young Tamils who return to Sri Lanka after failed refugee claims and failed to do a section 97 analysis. </w:t>
      </w:r>
    </w:p>
    <w:p>
      <w:pPr>
        <w:pStyle w:val="Body"/>
        <w:tabs>
          <w:tab w:val="left" w:pos="2415"/>
          <w:tab w:val="clear" w:pos="1440"/>
          <w:tab w:val="clear" w:pos="1872"/>
          <w:tab w:val="clear" w:pos="2304"/>
          <w:tab w:val="clear" w:pos="2736"/>
        </w:tabs>
        <w:spacing w:before="240" w:after="240" w:line="360" w:lineRule="auto"/>
        <w:outlineLvl w:val="2"/>
        <w:rPr>
          <w:b w:val="1"/>
          <w:bCs w:val="1"/>
        </w:rPr>
      </w:pPr>
      <w:r>
        <w:rPr>
          <w:b w:val="1"/>
          <w:bCs w:val="1"/>
          <w:rtl w:val="0"/>
          <w:lang w:val="es-ES_tradnl"/>
        </w:rPr>
        <w:t>DECISION</w:t>
        <w:tab/>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dismiss the appeal. The RPD was correct in finding that the Appellant is neither a Convention refugee, nor a person in need of protection.</w:t>
      </w:r>
    </w:p>
    <w:p>
      <w:pPr>
        <w:pStyle w:val="Normal_ParagNum"/>
        <w:tabs>
          <w:tab w:val="clear" w:pos="720"/>
        </w:tabs>
        <w:spacing w:before="240" w:after="240"/>
        <w:ind w:left="0" w:firstLine="0"/>
        <w:rPr>
          <w:b w:val="1"/>
          <w:bCs w:val="1"/>
          <w:lang w:val="en-US"/>
        </w:rPr>
      </w:pPr>
      <w:r>
        <w:rPr>
          <w:b w:val="1"/>
          <w:bCs w:val="1"/>
          <w:rtl w:val="0"/>
          <w:lang w:val="en-US"/>
        </w:rPr>
        <w:t>ANALYSIS</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My role is to look at all the evidence and decide if the RPD made the correct decision.</w:t>
      </w:r>
      <w:r>
        <w:rPr>
          <w:rFonts w:ascii="Times New Roman" w:cs="Times New Roman" w:hAnsi="Times New Roman" w:eastAsia="Times New Roman"/>
          <w:sz w:val="24"/>
          <w:szCs w:val="24"/>
          <w:vertAlign w:val="superscript"/>
          <w:lang w:val="en-US"/>
        </w:rPr>
        <w:endnoteReference w:id="1"/>
      </w:r>
      <w:r>
        <w:rPr>
          <w:rFonts w:ascii="Calibri" w:hAnsi="Calibri"/>
          <w:sz w:val="22"/>
          <w:szCs w:val="22"/>
          <w:vertAlign w:val="superscript"/>
          <w:rtl w:val="0"/>
          <w:lang w:val="en-US"/>
        </w:rPr>
        <w:t xml:space="preserve">  </w:t>
      </w:r>
    </w:p>
    <w:p>
      <w:pPr>
        <w:pStyle w:val="List Paragraph"/>
        <w:tabs>
          <w:tab w:val="left" w:pos="709"/>
        </w:tabs>
        <w:spacing w:before="240" w:after="240" w:line="360" w:lineRule="auto"/>
        <w:ind w:left="0"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Inconsistent evidence as to why the Appellant was targeted in 2018</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In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Basis of Claim (BOC) and testimony, he alleges that he was targeted by the army in 2018 because he confronted one of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abductors.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lawyer who negotiated his release from custody, however, indicates in his letter that the Appellant was held in custody by the army in 2018 </w:t>
      </w:r>
      <w:r>
        <w:rPr>
          <w:rFonts w:ascii="Times New Roman" w:hAnsi="Times New Roman" w:hint="default"/>
          <w:sz w:val="24"/>
          <w:szCs w:val="24"/>
          <w:rtl w:val="0"/>
          <w:lang w:val="en-US"/>
        </w:rPr>
        <w:t>“</w:t>
      </w:r>
      <w:r>
        <w:rPr>
          <w:rFonts w:ascii="Times New Roman" w:hAnsi="Times New Roman"/>
          <w:sz w:val="24"/>
          <w:szCs w:val="24"/>
          <w:rtl w:val="0"/>
          <w:lang w:val="en-US"/>
        </w:rPr>
        <w:t xml:space="preserve">for revealing to the authorities including human rights [sic] about the abduction of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cs="Times New Roman" w:hAnsi="Times New Roman" w:eastAsia="Times New Roman"/>
          <w:sz w:val="24"/>
          <w:szCs w:val="24"/>
          <w:vertAlign w:val="superscript"/>
          <w:lang w:val="en-US"/>
        </w:rPr>
        <w:endnoteReference w:id="2"/>
      </w:r>
      <w:r>
        <w:rPr>
          <w:rFonts w:ascii="Times New Roman" w:hAnsi="Times New Roman"/>
          <w:sz w:val="24"/>
          <w:szCs w:val="24"/>
          <w:rtl w:val="0"/>
          <w:lang w:val="en-US"/>
        </w:rPr>
        <w:t xml:space="preserve"> The RPD gave no weight to this letter due to this contradiction as to the reason he was detained. The Appellant argues that this error in the letter is due to the fact that the Appellant</w:t>
      </w:r>
      <w:r>
        <w:rPr>
          <w:rFonts w:ascii="Times New Roman" w:hAnsi="Times New Roman" w:hint="default"/>
          <w:sz w:val="24"/>
          <w:szCs w:val="24"/>
          <w:rtl w:val="0"/>
          <w:lang w:val="en-US"/>
        </w:rPr>
        <w:t>’</w:t>
      </w:r>
      <w:r>
        <w:rPr>
          <w:rFonts w:ascii="Times New Roman" w:hAnsi="Times New Roman"/>
          <w:sz w:val="24"/>
          <w:szCs w:val="24"/>
          <w:rtl w:val="0"/>
          <w:lang w:val="en-US"/>
        </w:rPr>
        <w:t>s wife contacted the lawyer for the letter rather than the Appellant obtaining the letter himself. I reject this explanation and find this contradiction to be a major credibility issue.</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A lawyer who is retained to represent a client to assist in securing his release and arranging a place for him to hide is the person who should know the most about why their client was detained in the first place. The lawyer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statement that he was detained for revealing the abduction of his </w:t>
      </w:r>
      <w:r>
        <w:rPr>
          <w:rFonts w:ascii="Times New Roman" w:hAnsi="Times New Roman"/>
          <w:sz w:val="24"/>
          <w:szCs w:val="24"/>
          <w:rtl w:val="0"/>
          <w:lang w:val="en-US"/>
        </w:rPr>
        <w:t>girlfriend</w:t>
      </w:r>
      <w:r>
        <w:rPr>
          <w:rFonts w:ascii="Times New Roman" w:hAnsi="Times New Roman"/>
          <w:sz w:val="24"/>
          <w:szCs w:val="24"/>
          <w:rtl w:val="0"/>
          <w:lang w:val="en-US"/>
        </w:rPr>
        <w:t xml:space="preserve"> goes against many of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core allegations. The Appellant has alleged that after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abduction, he went to various authorities to complain and investigate the situation.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abduction was no secret. He was then detained in 2018 because supposedly he recognized and confronted one of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abductors. This confrontation is mentioned no where in this letter. Not only does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own lawyer state the wrong reason for his very own client to be detained, but he also gives a reason that contradicts other important aspects of the evidence. </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 explains that this error is due to the fact that his wife procured the letter. I agree with the RPD that this does not explain why the lawyer would make an error relating to a client that he himself is representing. He would have his own independent knowledge of this case if he was retained as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lawyer regardless of who asked him to write a letter. </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letter does not make any mention of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allegations that he recognized and confronted an army officer who abducted his </w:t>
      </w:r>
      <w:r>
        <w:rPr>
          <w:rFonts w:ascii="Times New Roman" w:hAnsi="Times New Roman"/>
          <w:sz w:val="24"/>
          <w:szCs w:val="24"/>
          <w:rtl w:val="0"/>
          <w:lang w:val="en-US"/>
        </w:rPr>
        <w:t>girlfriend</w:t>
      </w:r>
      <w:r>
        <w:rPr>
          <w:rFonts w:ascii="Times New Roman" w:hAnsi="Times New Roman"/>
          <w:sz w:val="24"/>
          <w:szCs w:val="24"/>
          <w:rtl w:val="0"/>
          <w:lang w:val="en-US"/>
        </w:rPr>
        <w:t>. This is the core reason that triggered the Appellant</w:t>
      </w:r>
      <w:r>
        <w:rPr>
          <w:rFonts w:ascii="Times New Roman" w:hAnsi="Times New Roman" w:hint="default"/>
          <w:sz w:val="24"/>
          <w:szCs w:val="24"/>
          <w:rtl w:val="0"/>
          <w:lang w:val="en-US"/>
        </w:rPr>
        <w:t>’</w:t>
      </w:r>
      <w:r>
        <w:rPr>
          <w:rFonts w:ascii="Times New Roman" w:hAnsi="Times New Roman"/>
          <w:sz w:val="24"/>
          <w:szCs w:val="24"/>
          <w:rtl w:val="0"/>
          <w:lang w:val="en-US"/>
        </w:rPr>
        <w:t>s problems with authorities and led to him fleeing the country. For a lawyer to submit a letter that makes no mention of this is a major credibility issue. The Appellant himself requested that I re-examine the weight that should be placed on this letter. I have done this and come to the conclusion that it raises serious credibility concerns relating to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core allegations of recognizing and confronting one of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abductors. This, in turn, calls into question whether or not the Appellant was actually targeted by the authorities in 2018.</w:t>
      </w:r>
    </w:p>
    <w:p>
      <w:pPr>
        <w:pStyle w:val="List Paragraph"/>
        <w:tabs>
          <w:tab w:val="left" w:pos="709"/>
        </w:tabs>
        <w:spacing w:before="240" w:after="240" w:line="360" w:lineRule="auto"/>
        <w:ind w:left="0" w:firstLine="0"/>
        <w:jc w:val="both"/>
        <w:rPr>
          <w:rFonts w:ascii="Times New Roman" w:cs="Times New Roman" w:hAnsi="Times New Roman" w:eastAsia="Times New Roman"/>
          <w:i w:val="1"/>
          <w:iCs w:val="1"/>
          <w:sz w:val="24"/>
          <w:szCs w:val="24"/>
          <w:lang w:val="en-US"/>
        </w:rPr>
      </w:pPr>
      <w:r>
        <w:rPr>
          <w:rFonts w:ascii="Times New Roman" w:hAnsi="Times New Roman"/>
          <w:i w:val="1"/>
          <w:iCs w:val="1"/>
          <w:sz w:val="24"/>
          <w:szCs w:val="24"/>
          <w:rtl w:val="0"/>
          <w:lang w:val="en-US"/>
        </w:rPr>
        <w:t>Evasive testimony as to whether or not his girlfriend complained to relevant authorities following the Appellant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identification of one of hi</w:t>
      </w:r>
      <w:r>
        <w:rPr>
          <w:rFonts w:ascii="Times New Roman" w:hAnsi="Times New Roman"/>
          <w:i w:val="1"/>
          <w:iCs w:val="1"/>
          <w:sz w:val="24"/>
          <w:szCs w:val="24"/>
          <w:rtl w:val="0"/>
          <w:lang w:val="en-US"/>
        </w:rPr>
        <w:t xml:space="preserve">s </w:t>
      </w:r>
      <w:r>
        <w:rPr>
          <w:rFonts w:ascii="Times New Roman" w:hAnsi="Times New Roman"/>
          <w:i w:val="1"/>
          <w:iCs w:val="1"/>
          <w:sz w:val="24"/>
          <w:szCs w:val="24"/>
          <w:rtl w:val="0"/>
          <w:lang w:val="en-US"/>
        </w:rPr>
        <w:t>girlfriend</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abductors</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In his BOC, the Appellant alleges that he was interrogated and tortured by the army because they believed that he had told the media and a human rights organization about the officer who abducted his </w:t>
      </w:r>
      <w:r>
        <w:rPr>
          <w:rFonts w:ascii="Times New Roman" w:hAnsi="Times New Roman"/>
          <w:sz w:val="24"/>
          <w:szCs w:val="24"/>
          <w:rtl w:val="0"/>
          <w:lang w:val="en-US"/>
        </w:rPr>
        <w:t>girlfriend</w:t>
      </w:r>
      <w:r>
        <w:rPr>
          <w:rFonts w:ascii="Times New Roman" w:hAnsi="Times New Roman"/>
          <w:sz w:val="24"/>
          <w:szCs w:val="24"/>
          <w:rtl w:val="0"/>
          <w:lang w:val="en-US"/>
        </w:rPr>
        <w:t xml:space="preserve">. He further explains that it was actually his </w:t>
      </w:r>
      <w:r>
        <w:rPr>
          <w:rFonts w:ascii="Times New Roman" w:hAnsi="Times New Roman"/>
          <w:sz w:val="24"/>
          <w:szCs w:val="24"/>
          <w:rtl w:val="0"/>
          <w:lang w:val="en-US"/>
        </w:rPr>
        <w:t>sister</w:t>
      </w:r>
      <w:r>
        <w:rPr>
          <w:rFonts w:ascii="Times New Roman" w:hAnsi="Times New Roman"/>
          <w:sz w:val="24"/>
          <w:szCs w:val="24"/>
          <w:rtl w:val="0"/>
          <w:lang w:val="en-US"/>
        </w:rPr>
        <w:t xml:space="preserve"> who had complained to a human rights organization that her </w:t>
      </w:r>
      <w:r>
        <w:rPr>
          <w:rFonts w:ascii="Times New Roman" w:hAnsi="Times New Roman"/>
          <w:sz w:val="24"/>
          <w:szCs w:val="24"/>
          <w:rtl w:val="0"/>
          <w:lang w:val="en-US"/>
        </w:rPr>
        <w:t>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kidnapper had been identified. However, in the hearing, the Appellant was evasive in describing whether or not his </w:t>
      </w:r>
      <w:r>
        <w:rPr>
          <w:rFonts w:ascii="Times New Roman" w:hAnsi="Times New Roman"/>
          <w:sz w:val="24"/>
          <w:szCs w:val="24"/>
          <w:rtl w:val="0"/>
          <w:lang w:val="en-US"/>
        </w:rPr>
        <w:t>girlfriend</w:t>
      </w:r>
      <w:r>
        <w:rPr>
          <w:rFonts w:ascii="Times New Roman" w:hAnsi="Times New Roman"/>
          <w:sz w:val="24"/>
          <w:szCs w:val="24"/>
          <w:rtl w:val="0"/>
          <w:lang w:val="en-US"/>
        </w:rPr>
        <w:t xml:space="preserve"> even complained to a human rights organization in the first place. The RPD made a negative credibility inference due to the Appellant</w:t>
      </w:r>
      <w:r>
        <w:rPr>
          <w:rFonts w:ascii="Times New Roman" w:hAnsi="Times New Roman" w:hint="default"/>
          <w:sz w:val="24"/>
          <w:szCs w:val="24"/>
          <w:rtl w:val="0"/>
          <w:lang w:val="en-US"/>
        </w:rPr>
        <w:t>’</w:t>
      </w:r>
      <w:r>
        <w:rPr>
          <w:rFonts w:ascii="Times New Roman" w:hAnsi="Times New Roman"/>
          <w:sz w:val="24"/>
          <w:szCs w:val="24"/>
          <w:rtl w:val="0"/>
          <w:lang w:val="en-US"/>
        </w:rPr>
        <w:t>s evasive testimony on this point. The Appellant does not contest this conclusion and I agree with it.</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Appellant first said in his BOC that his </w:t>
      </w:r>
      <w:r>
        <w:rPr>
          <w:rFonts w:ascii="Times New Roman" w:hAnsi="Times New Roman"/>
          <w:sz w:val="24"/>
          <w:szCs w:val="24"/>
          <w:rtl w:val="0"/>
          <w:lang w:val="en-US"/>
        </w:rPr>
        <w:t>girlfriend</w:t>
      </w:r>
      <w:r>
        <w:rPr>
          <w:rFonts w:ascii="Times New Roman" w:hAnsi="Times New Roman"/>
          <w:sz w:val="24"/>
          <w:szCs w:val="24"/>
          <w:rtl w:val="0"/>
          <w:lang w:val="en-US"/>
        </w:rPr>
        <w:t xml:space="preserve"> spoke to a human rights organization. He then admitted that he did not know this for sure but only inferred that she did because he was interrogated about this while being detained. He further testified that he never spoke to his </w:t>
      </w:r>
      <w:r>
        <w:rPr>
          <w:rFonts w:ascii="Times New Roman" w:hAnsi="Times New Roman"/>
          <w:sz w:val="24"/>
          <w:szCs w:val="24"/>
          <w:rtl w:val="0"/>
          <w:lang w:val="en-US"/>
        </w:rPr>
        <w:t>girlfriend</w:t>
      </w:r>
      <w:r>
        <w:rPr>
          <w:rFonts w:ascii="Times New Roman" w:hAnsi="Times New Roman"/>
          <w:sz w:val="24"/>
          <w:szCs w:val="24"/>
          <w:rtl w:val="0"/>
          <w:lang w:val="en-US"/>
        </w:rPr>
        <w:t xml:space="preserve"> after being released from custody, even after travelling to Canada. The Appellant appears to be unsure of what exactly led to his detention and, despite stating the reasons with certainty in his BOC, his testimony was evasive as to this crucial aspect of his claim. I agree with the RPD that this evasive and contradictory testimony impacts his credibility. </w:t>
      </w:r>
    </w:p>
    <w:p>
      <w:pPr>
        <w:pStyle w:val="List Paragraph"/>
        <w:tabs>
          <w:tab w:val="left" w:pos="709"/>
        </w:tabs>
        <w:spacing w:before="240" w:after="240" w:line="360" w:lineRule="auto"/>
        <w:ind w:left="0" w:firstLine="0"/>
        <w:jc w:val="both"/>
        <w:rPr>
          <w:rFonts w:ascii="Times New Roman" w:cs="Times New Roman" w:hAnsi="Times New Roman" w:eastAsia="Times New Roman"/>
          <w:i w:val="1"/>
          <w:iCs w:val="1"/>
          <w:sz w:val="24"/>
          <w:szCs w:val="24"/>
          <w:lang w:val="en-US"/>
        </w:rPr>
      </w:pPr>
      <w:r>
        <w:rPr>
          <w:rFonts w:ascii="Times New Roman" w:hAnsi="Times New Roman"/>
          <w:i w:val="1"/>
          <w:iCs w:val="1"/>
          <w:sz w:val="24"/>
          <w:szCs w:val="24"/>
          <w:rtl w:val="0"/>
          <w:lang w:val="en-US"/>
        </w:rPr>
        <w:t>Incidents alleged in 2018 are not established</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 have identified two major credibility concerns relating to the Appellant being targeted and detained by the army after recognizing one of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abductors. His own lawyer inconsistently describes why he was detained and his own testimony surrounding what led to his detention was evasive. I find that the Appellant has not established that he recognized or confronted an officer involved in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abduction and that he was not targeted or detained by the army in 2018. </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 acknowledge that there is a letter from a priest which states that the Appellant lived in a church in hiding in 2018 and that he was arrested due to being a witness to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abduction. However, this letter does not corroborate the incidents alleged in 2018 that led him to go into hiding and flee the country. It also does not outweigh the credibility concerns I have outlined above. I give it little weight in establishing the incidents alleged in 2018.   </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Other than the lawyer</w:t>
      </w:r>
      <w:r>
        <w:rPr>
          <w:rFonts w:ascii="Times New Roman" w:hAnsi="Times New Roman" w:hint="default"/>
          <w:sz w:val="24"/>
          <w:szCs w:val="24"/>
          <w:rtl w:val="0"/>
          <w:lang w:val="en-US"/>
        </w:rPr>
        <w:t>’</w:t>
      </w:r>
      <w:r>
        <w:rPr>
          <w:rFonts w:ascii="Times New Roman" w:hAnsi="Times New Roman"/>
          <w:sz w:val="24"/>
          <w:szCs w:val="24"/>
          <w:rtl w:val="0"/>
          <w:lang w:val="en-US"/>
        </w:rPr>
        <w:t>s letter which I have discussed above, there is no other documentary evidence to corroborate the Appellant</w:t>
      </w:r>
      <w:r>
        <w:rPr>
          <w:rFonts w:ascii="Times New Roman" w:hAnsi="Times New Roman" w:hint="default"/>
          <w:sz w:val="24"/>
          <w:szCs w:val="24"/>
          <w:rtl w:val="0"/>
          <w:lang w:val="en-US"/>
        </w:rPr>
        <w:t>’</w:t>
      </w:r>
      <w:r>
        <w:rPr>
          <w:rFonts w:ascii="Times New Roman" w:hAnsi="Times New Roman"/>
          <w:sz w:val="24"/>
          <w:szCs w:val="24"/>
          <w:rtl w:val="0"/>
          <w:lang w:val="en-US"/>
        </w:rPr>
        <w:t>s allegations in 2018. Given the credibility concerns associated with these allegations, I find that they are not established.</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As the Appellant points out, it is the events that allegedly took place in 2018 that led him to flee the country and claim refugee status. I have found that these events are not established, on a balance of probabilities. Regardless of whether or not he witnessed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abduction in 2007, I do not find that these older allegations are sufficient to establish that he would face a serious possibility of persecution in Sri Lanka today. Even if he did witness his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abduction, this incident took place so long ago and there is nothing in the record that suggests that he would be targeted today because of what happened in 2007. </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As I have found that the earlier allegations relating to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sz w:val="24"/>
          <w:szCs w:val="24"/>
          <w:rtl w:val="0"/>
          <w:lang w:val="en-US"/>
        </w:rPr>
        <w:t>girlfriend</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abduction in 2007 would not lead him to face a serious possibility of persecution today upon return to Sri Lanka, I do not need to address the RPD conclusions, nor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arguments in relation to these allegations in this decision. </w:t>
      </w:r>
    </w:p>
    <w:p>
      <w:pPr>
        <w:pStyle w:val="List Paragraph"/>
        <w:tabs>
          <w:tab w:val="left" w:pos="709"/>
        </w:tabs>
        <w:spacing w:before="240" w:after="240" w:line="360" w:lineRule="auto"/>
        <w:ind w:left="0" w:firstLine="0"/>
        <w:jc w:val="both"/>
        <w:rPr>
          <w:rFonts w:ascii="Times New Roman" w:cs="Times New Roman" w:hAnsi="Times New Roman" w:eastAsia="Times New Roman"/>
          <w:i w:val="1"/>
          <w:iCs w:val="1"/>
          <w:sz w:val="24"/>
          <w:szCs w:val="24"/>
          <w:lang w:val="en-US"/>
        </w:rPr>
      </w:pPr>
      <w:r>
        <w:rPr>
          <w:rFonts w:ascii="Times New Roman" w:hAnsi="Times New Roman"/>
          <w:i w:val="1"/>
          <w:iCs w:val="1"/>
          <w:sz w:val="24"/>
          <w:szCs w:val="24"/>
          <w:rtl w:val="0"/>
          <w:lang w:val="en-US"/>
        </w:rPr>
        <w:t xml:space="preserve">The Appellant would not face a serious possibility of persecution as a young Tamil male returning to Sri Lanka after claiming refugee status abroad </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 points to the mistreatment of rejected refugee claimants who return to Sri Lanka. Tamil returnees who claimed refugee status abroad and return to Sri Lanka are sometimes interrogated and detained at the airport.</w:t>
      </w:r>
      <w:r>
        <w:rPr>
          <w:rFonts w:ascii="Times New Roman" w:cs="Times New Roman" w:hAnsi="Times New Roman" w:eastAsia="Times New Roman"/>
          <w:sz w:val="24"/>
          <w:szCs w:val="24"/>
          <w:vertAlign w:val="superscript"/>
          <w:lang w:val="en-US"/>
        </w:rPr>
        <w:endnoteReference w:id="3"/>
      </w:r>
      <w:r>
        <w:rPr>
          <w:rFonts w:ascii="Times New Roman" w:hAnsi="Times New Roman"/>
          <w:sz w:val="24"/>
          <w:szCs w:val="24"/>
          <w:rtl w:val="0"/>
          <w:lang w:val="en-US"/>
        </w:rPr>
        <w:t xml:space="preserve"> While this is a risk for the Appellant, he is not currently sought by authorities as I have found that his allegations from 2018 are not established. I do not find this risk in isolation to be sufficient to establish that he is a Convention refugee or a person in need of protection. I note that the situation of returnees has been improving as Sri Lanka is aware that authorities from other countries are monitoring the situation.</w:t>
      </w:r>
      <w:r>
        <w:rPr>
          <w:rFonts w:ascii="Times New Roman" w:cs="Times New Roman" w:hAnsi="Times New Roman" w:eastAsia="Times New Roman"/>
          <w:sz w:val="24"/>
          <w:szCs w:val="24"/>
          <w:vertAlign w:val="superscript"/>
          <w:lang w:val="en-US"/>
        </w:rPr>
        <w:endnoteReference w:id="4"/>
      </w:r>
      <w:r>
        <w:rPr>
          <w:rFonts w:ascii="Times New Roman" w:hAnsi="Times New Roman"/>
          <w:sz w:val="24"/>
          <w:szCs w:val="24"/>
          <w:rtl w:val="0"/>
          <w:lang w:val="en-US"/>
        </w:rPr>
        <w:t xml:space="preserve"> I also note that many of the individuals detained have been or are suspected of being involved with the Liberation Tigers of Tamil Eelam (LTTE).</w:t>
      </w:r>
      <w:r>
        <w:rPr>
          <w:rFonts w:ascii="Times New Roman" w:cs="Times New Roman" w:hAnsi="Times New Roman" w:eastAsia="Times New Roman"/>
          <w:sz w:val="24"/>
          <w:szCs w:val="24"/>
          <w:vertAlign w:val="superscript"/>
          <w:lang w:val="en-US"/>
        </w:rPr>
        <w:endnoteReference w:id="5"/>
      </w:r>
      <w:r>
        <w:rPr>
          <w:rFonts w:ascii="Times New Roman" w:hAnsi="Times New Roman"/>
          <w:sz w:val="24"/>
          <w:szCs w:val="24"/>
          <w:rtl w:val="0"/>
          <w:lang w:val="en-US"/>
        </w:rPr>
        <w:t xml:space="preserve"> The Appellant has never been involved with the LTTE and has never alleged that the authorities have suspected him of being involved, and this decreases the chances that he would face issues as a Tamil returnee to Sri Lanka.</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 further alleges that he would face discrimination amounting to persecution as a young Tamil male in Sri Lanka. I agree with the RPD that this discrimination does not rise to the level of persecution. The Appellant worked and lived for many years in Sri Lanka without any particular problems. While suspected sympathizers of the LTTE are still subject to arbitrary arrest,</w:t>
      </w:r>
      <w:r>
        <w:rPr>
          <w:rFonts w:ascii="Times New Roman" w:cs="Times New Roman" w:hAnsi="Times New Roman" w:eastAsia="Times New Roman"/>
          <w:sz w:val="24"/>
          <w:szCs w:val="24"/>
          <w:vertAlign w:val="superscript"/>
          <w:lang w:val="en-US"/>
        </w:rPr>
        <w:endnoteReference w:id="6"/>
      </w:r>
      <w:r>
        <w:rPr>
          <w:rFonts w:ascii="Times New Roman" w:hAnsi="Times New Roman"/>
          <w:sz w:val="24"/>
          <w:szCs w:val="24"/>
          <w:rtl w:val="0"/>
          <w:lang w:val="en-US"/>
        </w:rPr>
        <w:t xml:space="preserve"> the Appellant has not alleged that he is an LTTE sympathizer. Even though much of the North remains under army control, I do not find that this represents a serious possibility of persecution for the Appellant. For the same reasons, he would also not face any of the risks contemplated under section 97, on a balance of probabilities.  </w:t>
      </w:r>
    </w:p>
    <w:p>
      <w:pPr>
        <w:pStyle w:val="Normal_ParagNum"/>
        <w:tabs>
          <w:tab w:val="clear" w:pos="720"/>
        </w:tabs>
        <w:spacing w:before="240" w:after="240"/>
        <w:ind w:left="0" w:firstLine="0"/>
        <w:rPr>
          <w:b w:val="1"/>
          <w:bCs w:val="1"/>
          <w:lang w:val="en-US"/>
        </w:rPr>
      </w:pPr>
      <w:r>
        <w:rPr>
          <w:b w:val="1"/>
          <w:bCs w:val="1"/>
          <w:rtl w:val="0"/>
          <w:lang w:val="en-US"/>
        </w:rPr>
        <w:t xml:space="preserve">CONCLUSION </w:t>
      </w:r>
    </w:p>
    <w:p>
      <w:pPr>
        <w:pStyle w:val="List Paragraph"/>
        <w:numPr>
          <w:ilvl w:val="0"/>
          <w:numId w:val="2"/>
        </w:numPr>
        <w:bidi w:val="0"/>
        <w:spacing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dismiss the appeal and confirm the decision of the RPD that the Appellant is neither a Convention refugee, nor a person in need of protection.</w:t>
      </w:r>
    </w:p>
    <w:p>
      <w:pPr>
        <w:pStyle w:val="Body"/>
        <w:spacing w:before="0" w:after="0" w:line="360" w:lineRule="auto"/>
        <w:rPr>
          <w:shd w:val="clear" w:color="auto" w:fill="ffff00"/>
          <w:lang w:val="en-US"/>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7"/>
        <w:gridCol w:w="4733"/>
      </w:tblGrid>
      <w:tr>
        <w:tblPrEx>
          <w:shd w:val="clear" w:color="auto" w:fill="ced7e7"/>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pPr>
              <w:pStyle w:val="Body"/>
              <w:spacing w:after="0"/>
              <w:jc w:val="right"/>
            </w:pPr>
            <w:r>
              <w:rPr>
                <w:shd w:val="nil" w:color="auto" w:fill="auto"/>
                <w:rtl w:val="0"/>
                <w:lang w:val="en-US"/>
              </w:rPr>
              <w:t>(</w:t>
            </w:r>
            <w:r>
              <w:rPr>
                <w:i w:val="1"/>
                <w:iCs w:val="1"/>
                <w:shd w:val="nil" w:color="auto" w:fill="auto"/>
                <w:rtl w:val="0"/>
                <w:lang w:val="en-US"/>
              </w:rPr>
              <w:t>signed</w:t>
            </w:r>
            <w:r>
              <w:rPr>
                <w:shd w:val="nil" w:color="auto" w:fill="auto"/>
                <w:rtl w:val="0"/>
                <w:lang w:val="en-US"/>
              </w:rPr>
              <w:t>)</w:t>
            </w: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spacing w:before="0" w:after="0"/>
              <w:jc w:val="center"/>
            </w:pPr>
            <w:r>
              <w:rPr>
                <w:shd w:val="nil" w:color="auto" w:fill="auto"/>
                <w:rtl w:val="0"/>
                <w:lang w:val="en-US"/>
              </w:rPr>
              <w:t>Sasha Kiran Cragg-Gore</w:t>
            </w:r>
          </w:p>
        </w:tc>
      </w:tr>
      <w:tr>
        <w:tblPrEx>
          <w:shd w:val="clear" w:color="auto" w:fill="ced7e7"/>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before="0" w:after="240"/>
              <w:jc w:val="center"/>
            </w:pPr>
            <w:r>
              <w:rPr>
                <w:b w:val="1"/>
                <w:bCs w:val="1"/>
                <w:shd w:val="nil" w:color="auto" w:fill="auto"/>
                <w:rtl w:val="0"/>
                <w:lang w:val="en-US"/>
              </w:rPr>
              <w:t>Sasha Kiran Cragg-Gore</w:t>
            </w:r>
          </w:p>
        </w:tc>
      </w:tr>
      <w:tr>
        <w:tblPrEx>
          <w:shd w:val="clear" w:color="auto" w:fill="ced7e7"/>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April 15, 2021</w:t>
            </w:r>
          </w:p>
        </w:tc>
      </w:tr>
      <w:tr>
        <w:tblPrEx>
          <w:shd w:val="clear" w:color="auto" w:fill="ced7e7"/>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before="0" w:after="0"/>
              <w:jc w:val="center"/>
            </w:pPr>
            <w:r>
              <w:rPr>
                <w:b w:val="1"/>
                <w:bCs w:val="1"/>
                <w:shd w:val="nil" w:color="auto" w:fill="auto"/>
                <w:rtl w:val="0"/>
                <w:lang w:val="en-US"/>
              </w:rPr>
              <w:t>Date</w:t>
            </w:r>
          </w:p>
        </w:tc>
      </w:tr>
    </w:tbl>
    <w:p>
      <w:pPr>
        <w:pStyle w:val="Body"/>
        <w:widowControl w:val="0"/>
        <w:spacing w:before="0" w:after="0"/>
        <w:jc w:val="center"/>
        <w:rPr>
          <w:shd w:val="clear" w:color="auto" w:fill="ffff00"/>
          <w:lang w:val="en-US"/>
        </w:rPr>
      </w:pPr>
    </w:p>
    <w:p>
      <w:pPr>
        <w:pStyle w:val="Body"/>
        <w:tabs>
          <w:tab w:val="left" w:pos="4320"/>
          <w:tab w:val="left" w:pos="5529"/>
          <w:tab w:val="left" w:pos="6096"/>
        </w:tabs>
        <w:spacing w:before="0" w:after="0"/>
        <w:jc w:val="left"/>
        <w:rPr>
          <w:shd w:val="clear" w:color="auto" w:fill="ffff00"/>
          <w:lang w:val="en-US"/>
        </w:rPr>
      </w:pPr>
    </w:p>
    <w:p>
      <w:pPr>
        <w:pStyle w:val="Body"/>
        <w:tabs>
          <w:tab w:val="left" w:pos="4320"/>
          <w:tab w:val="left" w:pos="5529"/>
          <w:tab w:val="left" w:pos="6096"/>
        </w:tabs>
        <w:spacing w:before="0" w:after="0"/>
        <w:jc w:val="left"/>
        <w:rPr>
          <w:shd w:val="clear" w:color="auto" w:fill="ffff00"/>
          <w:lang w:val="en-US"/>
        </w:rPr>
      </w:pPr>
    </w:p>
    <w:p>
      <w:pPr>
        <w:pStyle w:val="Body"/>
        <w:tabs>
          <w:tab w:val="left" w:pos="4320"/>
          <w:tab w:val="left" w:pos="5529"/>
          <w:tab w:val="left" w:pos="6096"/>
        </w:tabs>
        <w:spacing w:before="0" w:after="0"/>
        <w:jc w:val="left"/>
        <w:rPr>
          <w:shd w:val="clear" w:color="auto" w:fill="ffff00"/>
          <w:lang w:val="en-US"/>
        </w:rPr>
      </w:pPr>
    </w:p>
    <w:p>
      <w:pPr>
        <w:pStyle w:val="Body"/>
        <w:tabs>
          <w:tab w:val="left" w:pos="4320"/>
          <w:tab w:val="left" w:pos="5529"/>
          <w:tab w:val="left" w:pos="6096"/>
        </w:tabs>
        <w:spacing w:before="0" w:after="0"/>
        <w:jc w:val="left"/>
        <w:rPr>
          <w:shd w:val="clear" w:color="auto" w:fill="ffff00"/>
          <w:lang w:val="en-US"/>
        </w:rPr>
      </w:pPr>
    </w:p>
    <w:p>
      <w:pPr>
        <w:pStyle w:val="Body"/>
        <w:tabs>
          <w:tab w:val="left" w:pos="4320"/>
          <w:tab w:val="left" w:pos="5529"/>
          <w:tab w:val="left" w:pos="6096"/>
        </w:tabs>
        <w:spacing w:before="0" w:after="0"/>
        <w:jc w:val="left"/>
        <w:rPr>
          <w:shd w:val="clear" w:color="auto" w:fill="ffff00"/>
          <w:lang w:val="en-US"/>
        </w:rPr>
      </w:pPr>
    </w:p>
    <w:p>
      <w:pPr>
        <w:pStyle w:val="Body"/>
        <w:tabs>
          <w:tab w:val="left" w:pos="4320"/>
          <w:tab w:val="left" w:pos="5529"/>
          <w:tab w:val="left" w:pos="6096"/>
        </w:tabs>
        <w:spacing w:before="0" w:after="0"/>
        <w:jc w:val="left"/>
        <w:rPr>
          <w:shd w:val="clear" w:color="auto" w:fill="ffff00"/>
          <w:lang w:val="en-US"/>
        </w:rPr>
      </w:pPr>
    </w:p>
    <w:p>
      <w:pPr>
        <w:pStyle w:val="Body"/>
        <w:tabs>
          <w:tab w:val="left" w:pos="4320"/>
          <w:tab w:val="left" w:pos="5529"/>
          <w:tab w:val="left" w:pos="6096"/>
        </w:tabs>
        <w:spacing w:before="0" w:after="0"/>
        <w:jc w:val="left"/>
        <w:rPr>
          <w:shd w:val="clear" w:color="auto" w:fill="ffff00"/>
          <w:lang w:val="en-US"/>
        </w:rPr>
      </w:pPr>
    </w:p>
    <w:p>
      <w:pPr>
        <w:pStyle w:val="Body"/>
        <w:tabs>
          <w:tab w:val="left" w:pos="4320"/>
          <w:tab w:val="left" w:pos="5529"/>
          <w:tab w:val="left" w:pos="6096"/>
        </w:tabs>
        <w:spacing w:before="0" w:after="0"/>
        <w:jc w:val="left"/>
        <w:rPr>
          <w:shd w:val="clear" w:color="auto" w:fill="ffff00"/>
          <w:lang w:val="en-US"/>
        </w:rPr>
      </w:pPr>
    </w:p>
    <w:p>
      <w:pPr>
        <w:pStyle w:val="Body"/>
        <w:tabs>
          <w:tab w:val="left" w:pos="4320"/>
          <w:tab w:val="left" w:pos="5529"/>
          <w:tab w:val="left" w:pos="6096"/>
        </w:tabs>
        <w:spacing w:before="0" w:after="0"/>
        <w:jc w:val="left"/>
      </w:pPr>
      <w:r>
        <w:rPr>
          <w:shd w:val="clear" w:color="auto" w:fill="ffff00"/>
          <w:lang w:val="en-US"/>
        </w:rPr>
      </w:r>
    </w:p>
    <w:sectPr>
      <w:headerReference w:type="default" r:id="rId4"/>
      <w:headerReference w:type="first" r:id="rId5"/>
      <w:footerReference w:type="default" r:id="rId6"/>
      <w:footerReference w:type="first" r:id="rId7"/>
      <w:pgSz w:w="12240" w:h="15840" w:orient="portrait"/>
      <w:pgMar w:top="1099" w:right="1440" w:bottom="1440" w:left="1440" w:header="720" w:footer="454"/>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sz w:val="24"/>
          <w:szCs w:val="24"/>
          <w:vertAlign w:val="superscript"/>
        </w:rPr>
        <w:endnoteRef/>
      </w:r>
      <w:r>
        <w:rPr>
          <w:rFonts w:cs="Arial Unicode MS" w:eastAsia="Arial Unicode MS"/>
          <w:i w:val="1"/>
          <w:iCs w:val="1"/>
          <w:rtl w:val="0"/>
          <w:lang w:val="en-US"/>
        </w:rPr>
        <w:t>Canada (Citizenship and Immigration) v. Huruglica</w:t>
      </w:r>
      <w:r>
        <w:rPr>
          <w:rFonts w:cs="Arial Unicode MS" w:eastAsia="Arial Unicode MS"/>
          <w:rtl w:val="0"/>
          <w:lang w:val="en-US"/>
        </w:rPr>
        <w:t xml:space="preserve">, 2016 FCA 93; </w:t>
      </w:r>
      <w:r>
        <w:rPr>
          <w:rFonts w:cs="Arial Unicode MS" w:eastAsia="Arial Unicode MS"/>
          <w:i w:val="1"/>
          <w:iCs w:val="1"/>
          <w:rtl w:val="0"/>
          <w:lang w:val="en-US"/>
        </w:rPr>
        <w:t>Rozas del Solar v. Canada (Citizenship and Immigration),</w:t>
      </w:r>
      <w:r>
        <w:rPr>
          <w:rFonts w:cs="Arial Unicode MS" w:eastAsia="Arial Unicode MS"/>
          <w:rtl w:val="0"/>
          <w:lang w:val="en-US"/>
        </w:rPr>
        <w:t xml:space="preserve"> 2018 FC 1145.</w:t>
      </w:r>
    </w:p>
  </w:endnote>
  <w:endnote w:id="2">
    <w:p>
      <w:pPr>
        <w:pStyle w:val="endnote text"/>
      </w:pPr>
      <w:r>
        <w:rPr>
          <w:sz w:val="24"/>
          <w:szCs w:val="24"/>
          <w:vertAlign w:val="superscript"/>
          <w:lang w:val="en-US"/>
        </w:rPr>
        <w:endnoteRef/>
      </w:r>
      <w:r>
        <w:rPr>
          <w:rFonts w:cs="Arial Unicode MS" w:eastAsia="Arial Unicode MS"/>
          <w:rtl w:val="0"/>
          <w:lang w:val="en-US"/>
        </w:rPr>
        <w:t xml:space="preserve"> Exhibit RPD-1, RPD Record, page 123.</w:t>
      </w:r>
    </w:p>
  </w:endnote>
  <w:endnote w:id="3">
    <w:p>
      <w:pPr>
        <w:pStyle w:val="endnote text"/>
      </w:pPr>
      <w:r>
        <w:rPr>
          <w:sz w:val="24"/>
          <w:szCs w:val="24"/>
          <w:vertAlign w:val="superscript"/>
          <w:lang w:val="en-US"/>
        </w:rPr>
        <w:endnoteRef/>
      </w:r>
      <w:r>
        <w:rPr>
          <w:rFonts w:cs="Arial Unicode MS" w:eastAsia="Arial Unicode MS"/>
          <w:rtl w:val="0"/>
          <w:lang w:val="en-US"/>
        </w:rPr>
        <w:t xml:space="preserve"> Exhibit RPD-1, RPD Record, exhibit 3,  National Documentation Package, Sri Lanka, 29 March 2019, tab 14.5: </w:t>
      </w:r>
      <w:r>
        <w:rPr>
          <w:rFonts w:cs="Arial Unicode MS" w:eastAsia="Arial Unicode MS" w:hint="default"/>
          <w:i w:val="1"/>
          <w:iCs w:val="1"/>
          <w:rtl w:val="0"/>
          <w:lang w:val="es-ES_tradnl"/>
        </w:rPr>
        <w:t>​</w:t>
      </w:r>
      <w:r>
        <w:rPr>
          <w:rFonts w:cs="Arial Unicode MS" w:eastAsia="Arial Unicode MS"/>
          <w:i w:val="1"/>
          <w:iCs w:val="1"/>
          <w:rtl w:val="0"/>
        </w:rPr>
        <w:t>Sri Lanka: dangers li</w:t>
      </w:r>
      <w:r>
        <w:rPr>
          <w:rFonts w:cs="Arial Unicode MS" w:eastAsia="Arial Unicode MS" w:hint="default"/>
          <w:i w:val="1"/>
          <w:iCs w:val="1"/>
          <w:rtl w:val="0"/>
          <w:lang w:val="fr-FR"/>
        </w:rPr>
        <w:t>é</w:t>
      </w:r>
      <w:r>
        <w:rPr>
          <w:rFonts w:cs="Arial Unicode MS" w:eastAsia="Arial Unicode MS"/>
          <w:i w:val="1"/>
          <w:iCs w:val="1"/>
          <w:rtl w:val="0"/>
          <w:lang w:val="fr-FR"/>
        </w:rPr>
        <w:t>s au renvoi des personnes d'origine tamoule : Renseignement de l</w:t>
      </w:r>
      <w:r>
        <w:rPr>
          <w:rFonts w:cs="Arial Unicode MS" w:eastAsia="Arial Unicode MS" w:hint="default"/>
          <w:i w:val="1"/>
          <w:iCs w:val="1"/>
          <w:rtl w:val="0"/>
        </w:rPr>
        <w:t>’</w:t>
      </w:r>
      <w:r>
        <w:rPr>
          <w:rFonts w:cs="Arial Unicode MS" w:eastAsia="Arial Unicode MS"/>
          <w:i w:val="1"/>
          <w:iCs w:val="1"/>
          <w:rtl w:val="0"/>
          <w:lang w:val="fr-FR"/>
        </w:rPr>
        <w:t>analyse-pays de l</w:t>
      </w:r>
      <w:r>
        <w:rPr>
          <w:rFonts w:cs="Arial Unicode MS" w:eastAsia="Arial Unicode MS" w:hint="default"/>
          <w:i w:val="1"/>
          <w:iCs w:val="1"/>
          <w:rtl w:val="0"/>
        </w:rPr>
        <w:t>’</w:t>
      </w:r>
      <w:r>
        <w:rPr>
          <w:rFonts w:cs="Arial Unicode MS" w:eastAsia="Arial Unicode MS"/>
          <w:i w:val="1"/>
          <w:iCs w:val="1"/>
          <w:rtl w:val="0"/>
        </w:rPr>
        <w:t xml:space="preserve">OSAR. </w:t>
      </w:r>
      <w:r>
        <w:rPr>
          <w:rFonts w:cs="Arial Unicode MS" w:eastAsia="Arial Unicode MS"/>
          <w:i w:val="1"/>
          <w:iCs w:val="1"/>
          <w:rtl w:val="0"/>
          <w:lang w:val="en-US"/>
        </w:rPr>
        <w:t>Swiss Refugee Council. Adrian Schuster. 16 June 2015.</w:t>
      </w:r>
    </w:p>
  </w:endnote>
  <w:endnote w:id="4">
    <w:p>
      <w:pPr>
        <w:pStyle w:val="endnote text"/>
      </w:pPr>
      <w:r>
        <w:rPr>
          <w:sz w:val="24"/>
          <w:szCs w:val="24"/>
          <w:vertAlign w:val="superscript"/>
          <w:lang w:val="en-US"/>
        </w:rPr>
        <w:endnoteRef/>
      </w:r>
      <w:r>
        <w:rPr>
          <w:rFonts w:cs="Arial Unicode MS" w:eastAsia="Arial Unicode MS"/>
          <w:rtl w:val="0"/>
          <w:lang w:val="en-US"/>
        </w:rPr>
        <w:t xml:space="preserve"> Exhibit RPD-1, RPD Record, exhibit 3,   National Documentation Package, Sri Lanka, 29 March 2019, tab 14.1: </w:t>
      </w:r>
      <w:r>
        <w:rPr>
          <w:rFonts w:cs="Arial Unicode MS" w:eastAsia="Arial Unicode MS" w:hint="default"/>
          <w:rtl w:val="0"/>
          <w:lang w:val="en-US"/>
        </w:rPr>
        <w:t>​</w:t>
      </w:r>
      <w:r>
        <w:rPr>
          <w:rFonts w:cs="Arial Unicode MS" w:eastAsia="Arial Unicode MS"/>
          <w:i w:val="1"/>
          <w:iCs w:val="1"/>
          <w:rtl w:val="0"/>
          <w:lang w:val="en-US"/>
        </w:rPr>
        <w:t>Entry and exit procedures at international airports, including security screening and documents required for citizens to enter and leave the country; treatment of returnees upon arrival at international airports, including failed asylum seekers ... Immigration and Refugee Board of Canada. 10 November 2017.</w:t>
      </w:r>
      <w:r>
        <w:rPr>
          <w:rFonts w:cs="Arial Unicode MS" w:eastAsia="Arial Unicode MS"/>
          <w:rtl w:val="0"/>
          <w:lang w:val="en-US"/>
        </w:rPr>
        <w:t xml:space="preserve"> LKA106007.E.</w:t>
      </w:r>
    </w:p>
  </w:endnote>
  <w:endnote w:id="5">
    <w:p>
      <w:pPr>
        <w:pStyle w:val="endnote text"/>
      </w:pPr>
      <w:r>
        <w:rPr>
          <w:sz w:val="24"/>
          <w:szCs w:val="24"/>
          <w:vertAlign w:val="superscript"/>
          <w:lang w:val="en-US"/>
        </w:rPr>
        <w:endnoteRef/>
      </w:r>
      <w:r>
        <w:rPr>
          <w:rFonts w:cs="Arial Unicode MS" w:eastAsia="Arial Unicode MS"/>
          <w:rtl w:val="0"/>
          <w:lang w:val="en-US"/>
        </w:rPr>
        <w:t xml:space="preserve"> </w:t>
      </w:r>
      <w:r>
        <w:rPr>
          <w:rFonts w:cs="Arial Unicode MS" w:eastAsia="Arial Unicode MS"/>
          <w:rtl w:val="0"/>
          <w:lang w:val="en-US"/>
        </w:rPr>
        <w:t>Ibid.</w:t>
      </w:r>
    </w:p>
  </w:endnote>
  <w:endnote w:id="6">
    <w:p>
      <w:pPr>
        <w:pStyle w:val="endnote text"/>
      </w:pPr>
      <w:r>
        <w:rPr>
          <w:sz w:val="24"/>
          <w:szCs w:val="24"/>
          <w:vertAlign w:val="superscript"/>
          <w:lang w:val="en-US"/>
        </w:rPr>
        <w:endnoteRef/>
      </w:r>
      <w:r>
        <w:rPr>
          <w:rFonts w:cs="Arial Unicode MS" w:eastAsia="Arial Unicode MS"/>
          <w:rtl w:val="0"/>
          <w:lang w:val="en-US"/>
        </w:rPr>
        <w:t xml:space="preserve"> Ibid.,  tab 4.1: </w:t>
      </w:r>
      <w:r>
        <w:rPr>
          <w:rFonts w:cs="Arial Unicode MS" w:eastAsia="Arial Unicode MS" w:hint="default"/>
          <w:i w:val="1"/>
          <w:iCs w:val="1"/>
          <w:rtl w:val="0"/>
          <w:lang w:val="en-US"/>
        </w:rPr>
        <w:t>​</w:t>
      </w:r>
      <w:r>
        <w:rPr>
          <w:rFonts w:cs="Arial Unicode MS" w:eastAsia="Arial Unicode MS"/>
          <w:i w:val="1"/>
          <w:iCs w:val="1"/>
          <w:rtl w:val="0"/>
          <w:lang w:val="en-US"/>
        </w:rPr>
        <w:t xml:space="preserve">Activity of the Liberation Tigers of Tamil Eelam (LTTE) in Sri Lanka, including arrests, whether LTTE members have been responsible for extortion, disappearances or bombings since the government defeated the LTTE, and whether the LTTE has the capacity... Immigration and Refugee Board of Canada. 15 March 2016. </w:t>
      </w:r>
      <w:r>
        <w:rPr>
          <w:rFonts w:cs="Arial Unicode MS" w:eastAsia="Arial Unicode MS"/>
          <w:rtl w:val="0"/>
          <w:lang w:val="en-US"/>
        </w:rPr>
        <w:t>LKA105432.E.</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0" w:after="0" w:line="240" w:lineRule="exact"/>
      <w:ind w:left="0" w:right="0" w:firstLine="0"/>
      <w:jc w:val="both"/>
      <w:rPr>
        <w:spacing w:val="-1"/>
        <w:sz w:val="20"/>
        <w:szCs w:val="20"/>
        <w:shd w:val="nil" w:color="auto" w:fill="auto"/>
        <w:rtl w:val="0"/>
      </w:rPr>
    </w:pPr>
    <w:r>
      <w:rPr>
        <w:spacing w:val="-1"/>
        <w:sz w:val="20"/>
        <w:szCs w:val="20"/>
        <w:shd w:val="nil" w:color="auto" w:fill="auto"/>
        <w:rtl w:val="0"/>
        <w:lang w:val="en-US"/>
      </w:rPr>
      <w:t>RAD.25.02 (January, 2020)</w:t>
    </w:r>
  </w:p>
  <w:p>
    <w:pPr>
      <w:pStyle w:val="Body"/>
      <w:bidi w:val="0"/>
      <w:spacing w:before="0" w:after="0"/>
      <w:ind w:left="0" w:right="0" w:firstLine="0"/>
      <w:jc w:val="right"/>
      <w:rPr>
        <w:rtl w:val="0"/>
      </w:rPr>
    </w:pPr>
    <w:r>
      <w:rPr>
        <w:i w:val="1"/>
        <w:iCs w:val="1"/>
        <w:spacing w:val="-1"/>
        <w:sz w:val="20"/>
        <w:szCs w:val="20"/>
        <w:shd w:val="nil" w:color="auto" w:fill="auto"/>
        <w:rtl w:val="0"/>
        <w:lang w:val="fr-FR"/>
      </w:rPr>
      <w:t>Disponible en fran</w:t>
    </w:r>
    <w:r>
      <w:rPr>
        <w:i w:val="1"/>
        <w:iCs w:val="1"/>
        <w:spacing w:val="-1"/>
        <w:sz w:val="20"/>
        <w:szCs w:val="20"/>
        <w:shd w:val="nil" w:color="auto" w:fill="auto"/>
        <w:rtl w:val="0"/>
        <w:lang w:val="pt-PT"/>
      </w:rPr>
      <w:t>ç</w:t>
    </w:r>
    <w:r>
      <w:rPr>
        <w:i w:val="1"/>
        <w:iCs w:val="1"/>
        <w:spacing w:val="-1"/>
        <w:sz w:val="20"/>
        <w:szCs w:val="20"/>
        <w:shd w:val="nil" w:color="auto" w:fill="auto"/>
        <w:rtl w:val="0"/>
      </w:rPr>
      <w:t>ais</w:t>
      <w:tab/>
    </w:r>
    <w:r>
      <w:rPr>
        <w:spacing w:val="-2"/>
        <w:sz w:val="24"/>
        <w:szCs w:val="24"/>
        <w:shd w:val="nil" w:color="auto" w:fill="auto"/>
        <w:lang w:val="fr-FR"/>
      </w:rPr>
      <w:fldChar w:fldCharType="begin" w:fldLock="0"/>
    </w:r>
    <w:r>
      <w:rPr>
        <w:spacing w:val="-2"/>
        <w:sz w:val="24"/>
        <w:szCs w:val="24"/>
        <w:shd w:val="nil" w:color="auto" w:fill="auto"/>
        <w:lang w:val="fr-FR"/>
      </w:rPr>
      <w:instrText xml:space="preserve"> PAGE </w:instrText>
    </w:r>
    <w:r>
      <w:rPr>
        <w:spacing w:val="-2"/>
        <w:sz w:val="24"/>
        <w:szCs w:val="24"/>
        <w:shd w:val="nil" w:color="auto" w:fill="auto"/>
        <w:lang w:val="fr-FR"/>
      </w:rPr>
      <w:fldChar w:fldCharType="separate" w:fldLock="0"/>
    </w:r>
    <w:r>
      <w:rPr>
        <w:spacing w:val="-2"/>
        <w:sz w:val="24"/>
        <w:szCs w:val="24"/>
        <w:shd w:val="nil" w:color="auto" w:fill="auto"/>
        <w:lang w:val="fr-FR"/>
      </w:rPr>
    </w:r>
    <w:r>
      <w:rPr>
        <w:spacing w:val="-2"/>
        <w:sz w:val="24"/>
        <w:szCs w:val="24"/>
        <w:shd w:val="nil" w:color="auto" w:fill="auto"/>
        <w:lang w:val="fr-FR"/>
      </w:rPr>
      <w:fldChar w:fldCharType="end" w:fldLock="0"/>
    </w:r>
    <w:r>
      <w:rPr>
        <w:spacing w:val="-2"/>
        <w:sz w:val="24"/>
        <w:szCs w:val="24"/>
        <w:shd w:val="nil" w:color="auto" w:fill="auto"/>
        <w:lang w:val="fr-FR"/>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0" w:after="0"/>
      <w:ind w:left="0" w:right="0" w:firstLine="0"/>
      <w:jc w:val="both"/>
      <w:rPr>
        <w:spacing w:val="-1"/>
        <w:sz w:val="20"/>
        <w:szCs w:val="20"/>
        <w:shd w:val="nil" w:color="auto" w:fill="auto"/>
        <w:rtl w:val="0"/>
      </w:rPr>
    </w:pPr>
    <w:r>
      <w:rPr>
        <w:spacing w:val="-1"/>
        <w:sz w:val="20"/>
        <w:szCs w:val="20"/>
        <w:shd w:val="nil" w:color="auto" w:fill="auto"/>
        <w:rtl w:val="0"/>
        <w:lang w:val="en-US"/>
      </w:rPr>
      <w:t>RAD.25.02 (January,  2020)</w:t>
    </w:r>
  </w:p>
  <w:p>
    <w:pPr>
      <w:pStyle w:val="Body"/>
      <w:bidi w:val="0"/>
      <w:spacing w:before="0" w:after="0"/>
      <w:ind w:left="0" w:right="0" w:firstLine="0"/>
      <w:jc w:val="right"/>
      <w:rPr>
        <w:rtl w:val="0"/>
      </w:rPr>
    </w:pPr>
    <w:r>
      <w:rPr>
        <w:spacing w:val="-2"/>
        <w:sz w:val="24"/>
        <w:szCs w:val="24"/>
        <w:shd w:val="nil" w:color="auto" w:fill="auto"/>
        <w:rtl w:val="0"/>
        <w:lang w:val="fr-FR"/>
      </w:rPr>
      <w:t>Disponible en fran</w:t>
    </w:r>
    <w:r>
      <w:rPr>
        <w:spacing w:val="-2"/>
        <w:sz w:val="24"/>
        <w:szCs w:val="24"/>
        <w:shd w:val="nil" w:color="auto" w:fill="auto"/>
        <w:rtl w:val="0"/>
        <w:lang w:val="pt-PT"/>
      </w:rPr>
      <w:t>ç</w:t>
    </w:r>
    <w:r>
      <w:rPr>
        <w:spacing w:val="-2"/>
        <w:sz w:val="24"/>
        <w:szCs w:val="24"/>
        <w:shd w:val="nil" w:color="auto" w:fill="auto"/>
        <w:rtl w:val="0"/>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after="0"/>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813817" cy="237744"/>
                  </a:xfrm>
                  <a:prstGeom prst="rect">
                    <a:avLst/>
                  </a:prstGeom>
                  <a:ln w="12700" cap="flat">
                    <a:noFill/>
                    <a:miter lim="400000"/>
                  </a:ln>
                  <a:effectLst/>
                </pic:spPr>
              </pic:pic>
            </a:graphicData>
          </a:graphic>
        </wp:anchor>
      </w:drawing>
    </w:r>
    <w:r>
      <w:rPr>
        <w:b w:val="1"/>
        <w:bCs w:val="1"/>
        <w:sz w:val="20"/>
        <w:szCs w:val="20"/>
        <w:rtl w:val="0"/>
        <w:lang w:val="fr-FR"/>
      </w:rPr>
      <w:t>RAD File / Dossier de la SAR</w:t>
    </w:r>
    <w:r>
      <w:rPr>
        <w:b w:val="1"/>
        <w:bCs w:val="1"/>
        <w:sz w:val="20"/>
        <w:szCs w:val="20"/>
        <w:rtl w:val="0"/>
        <w:lang w:val="fr-FR"/>
      </w:rPr>
      <w:t> </w:t>
    </w:r>
    <w:r>
      <w:rPr>
        <w:b w:val="1"/>
        <w:bCs w:val="1"/>
        <w:sz w:val="20"/>
        <w:szCs w:val="20"/>
        <w:rtl w:val="0"/>
        <w:lang w:val="fr-FR"/>
      </w:rPr>
      <w:t>: MC0-06571</w:t>
    </w:r>
    <w:r>
      <w:rPr>
        <w:sz w:val="20"/>
        <w:szCs w:val="20"/>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after="240"/>
      <w:ind w:left="0" w:right="0" w:firstLine="0"/>
      <w:jc w:val="left"/>
      <w:rPr>
        <w:spacing w:val="-1"/>
        <w:sz w:val="22"/>
        <w:szCs w:val="22"/>
        <w:shd w:val="nil" w:color="auto" w:fill="auto"/>
        <w:rtl w:val="0"/>
      </w:rPr>
    </w:pPr>
    <w:r>
      <w:rPr>
        <w:spacing w:val="-1"/>
        <w:sz w:val="22"/>
        <w:szCs w:val="22"/>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6"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6"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spacing w:val="-1"/>
        <w:sz w:val="22"/>
        <w:szCs w:val="22"/>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2"/>
        <w:szCs w:val="22"/>
        <w:shd w:val="nil" w:color="auto" w:fill="auto"/>
        <w:rtl w:val="0"/>
        <w:lang w:val="en-US"/>
      </w:rPr>
      <w:t>Immigration and Refugee</w:t>
    </w:r>
    <w:r>
      <w:rPr>
        <w:rFonts w:ascii="Arial Unicode MS" w:cs="Arial Unicode MS" w:hAnsi="Arial Unicode MS" w:eastAsia="Arial Unicode MS"/>
        <w:b w:val="0"/>
        <w:bCs w:val="0"/>
        <w:i w:val="0"/>
        <w:iCs w:val="0"/>
        <w:spacing w:val="-1"/>
        <w:sz w:val="22"/>
        <w:szCs w:val="22"/>
        <w:shd w:val="nil" w:color="auto" w:fill="auto"/>
        <w:lang w:val="en-US"/>
      </w:rPr>
      <w:br w:type="textWrapping"/>
    </w:r>
    <w:r>
      <w:rPr>
        <w:spacing w:val="-1"/>
        <w:sz w:val="22"/>
        <w:szCs w:val="22"/>
        <w:shd w:val="nil" w:color="auto" w:fill="auto"/>
        <w:rtl w:val="0"/>
        <w:lang w:val="en-US"/>
      </w:rPr>
      <w:t>Board of Canada</w:t>
    </w:r>
  </w:p>
  <w:p>
    <w:pPr>
      <w:pStyle w:val="Body"/>
      <w:bidi w:val="0"/>
      <w:spacing w:after="240"/>
      <w:ind w:left="0" w:right="0" w:firstLine="0"/>
      <w:jc w:val="right"/>
      <w:rPr>
        <w:spacing w:val="-1"/>
        <w:sz w:val="22"/>
        <w:szCs w:val="22"/>
        <w:shd w:val="nil" w:color="auto" w:fill="auto"/>
        <w:rtl w:val="0"/>
      </w:rPr>
    </w:pPr>
    <w:r>
      <w:rPr>
        <w:b w:val="1"/>
        <w:bCs w:val="1"/>
        <w:spacing w:val="-2"/>
        <w:sz w:val="24"/>
        <w:szCs w:val="24"/>
        <w:shd w:val="nil" w:color="auto" w:fill="auto"/>
        <w:vertAlign w:val="baseline"/>
        <w:rtl w:val="0"/>
        <w:lang w:val="fr-FR"/>
      </w:rPr>
      <w:t>Refugee Appeal Division</w:t>
      <w:tab/>
      <w:tab/>
    </w:r>
    <w:r>
      <w:rPr>
        <w:spacing w:val="-1"/>
        <w:sz w:val="22"/>
        <w:szCs w:val="22"/>
        <w:shd w:val="nil" w:color="auto" w:fill="auto"/>
        <w:rtl w:val="0"/>
        <w:lang w:val="fr-FR"/>
      </w:rPr>
      <w:t>Commission de l</w:t>
    </w:r>
    <w:r>
      <w:rPr>
        <w:spacing w:val="-1"/>
        <w:sz w:val="22"/>
        <w:szCs w:val="22"/>
        <w:shd w:val="nil" w:color="auto" w:fill="auto"/>
        <w:rtl w:val="0"/>
        <w:lang w:val="fr-FR"/>
      </w:rPr>
      <w:t>’</w:t>
    </w:r>
    <w:r>
      <w:rPr>
        <w:spacing w:val="-1"/>
        <w:sz w:val="22"/>
        <w:szCs w:val="22"/>
        <w:shd w:val="nil" w:color="auto" w:fill="auto"/>
        <w:rtl w:val="0"/>
        <w:lang w:val="fr-FR"/>
      </w:rPr>
      <w:t>immigration</w:t>
    </w:r>
    <w:r>
      <w:rPr>
        <w:rFonts w:ascii="Arial Unicode MS" w:cs="Arial Unicode MS" w:hAnsi="Arial Unicode MS" w:eastAsia="Arial Unicode MS"/>
        <w:b w:val="0"/>
        <w:bCs w:val="0"/>
        <w:i w:val="0"/>
        <w:iCs w:val="0"/>
        <w:spacing w:val="-1"/>
        <w:sz w:val="22"/>
        <w:szCs w:val="22"/>
        <w:shd w:val="nil" w:color="auto" w:fill="auto"/>
        <w:lang w:val="fr-FR"/>
      </w:rPr>
      <w:br w:type="textWrapping"/>
    </w:r>
    <w:r>
      <w:rPr>
        <w:spacing w:val="-1"/>
        <w:sz w:val="22"/>
        <w:szCs w:val="22"/>
        <w:shd w:val="nil" w:color="auto" w:fill="auto"/>
        <w:rtl w:val="0"/>
        <w:lang w:val="fr-FR"/>
      </w:rPr>
      <w:t>et du statut de r</w:t>
    </w:r>
    <w:r>
      <w:rPr>
        <w:spacing w:val="-1"/>
        <w:sz w:val="22"/>
        <w:szCs w:val="22"/>
        <w:shd w:val="nil" w:color="auto" w:fill="auto"/>
        <w:rtl w:val="0"/>
        <w:lang w:val="fr-FR"/>
      </w:rPr>
      <w:t>é</w:t>
    </w:r>
    <w:r>
      <w:rPr>
        <w:spacing w:val="-1"/>
        <w:sz w:val="22"/>
        <w:szCs w:val="22"/>
        <w:shd w:val="nil" w:color="auto" w:fill="auto"/>
        <w:rtl w:val="0"/>
        <w:lang w:val="fr-FR"/>
      </w:rPr>
      <w:t>fugi</w:t>
    </w:r>
    <w:r>
      <w:rPr>
        <w:spacing w:val="-1"/>
        <w:sz w:val="22"/>
        <w:szCs w:val="22"/>
        <w:shd w:val="nil" w:color="auto" w:fill="auto"/>
        <w:rtl w:val="0"/>
        <w:lang w:val="fr-FR"/>
      </w:rPr>
      <w:t xml:space="preserve">é </w:t>
    </w:r>
    <w:r>
      <w:rPr>
        <w:spacing w:val="-1"/>
        <w:sz w:val="22"/>
        <w:szCs w:val="22"/>
        <w:shd w:val="nil" w:color="auto" w:fill="auto"/>
        <w:rtl w:val="0"/>
        <w:lang w:val="fr-FR"/>
      </w:rPr>
      <w:t>du Canada</w:t>
    </w:r>
  </w:p>
  <w:p>
    <w:pPr>
      <w:pStyle w:val="Body"/>
      <w:bidi w:val="0"/>
      <w:spacing w:after="240"/>
      <w:ind w:left="0" w:right="0" w:firstLine="0"/>
      <w:jc w:val="right"/>
      <w:rPr>
        <w:rtl w:val="0"/>
      </w:rPr>
    </w:pPr>
    <w:r>
      <w:rPr>
        <w:b w:val="1"/>
        <w:bCs w:val="1"/>
        <w:spacing w:val="-1"/>
        <w:sz w:val="22"/>
        <w:szCs w:val="22"/>
        <w:shd w:val="nil" w:color="auto" w:fill="auto"/>
        <w:rtl w:val="0"/>
        <w:lang w:val="fr-FR"/>
      </w:rPr>
      <w:t>Section d</w:t>
    </w:r>
    <w:r>
      <w:rPr>
        <w:b w:val="1"/>
        <w:bCs w:val="1"/>
        <w:spacing w:val="-1"/>
        <w:sz w:val="22"/>
        <w:szCs w:val="22"/>
        <w:shd w:val="nil" w:color="auto" w:fill="auto"/>
        <w:rtl w:val="0"/>
        <w:lang w:val="fr-FR"/>
      </w:rPr>
      <w:t>’</w:t>
    </w:r>
    <w:r>
      <w:rPr>
        <w:b w:val="1"/>
        <w:bCs w:val="1"/>
        <w:spacing w:val="-1"/>
        <w:sz w:val="22"/>
        <w:szCs w:val="22"/>
        <w:shd w:val="nil" w:color="auto" w:fill="auto"/>
        <w:rtl w:val="0"/>
        <w:lang w:val="fr-FR"/>
      </w:rPr>
      <w:t>appel des r</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fugi</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4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4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4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862"/>
            <w:tab w:val="left" w:pos="1418"/>
            <w:tab w:val="left" w:pos="6660"/>
            <w:tab w:val="clear" w:pos="709"/>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14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4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4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4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CG Body">
    <w:name w:val="CG Body"/>
    <w:next w:val="CG Body"/>
    <w:pPr>
      <w:keepNext w:val="0"/>
      <w:keepLines w:val="0"/>
      <w:pageBreakBefore w:val="0"/>
      <w:widowControl w:val="1"/>
      <w:shd w:val="clear" w:color="auto" w:fill="auto"/>
      <w:tabs>
        <w:tab w:val="left" w:pos="709"/>
        <w:tab w:val="left" w:pos="1418"/>
        <w:tab w:val="left" w:pos="6660"/>
      </w:tabs>
      <w:suppressAutoHyphens w:val="0"/>
      <w:bidi w:val="0"/>
      <w:spacing w:before="0" w:after="24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ParagNum">
    <w:name w:val="Normal_ParagNum"/>
    <w:next w:val="Normal_ParagNum"/>
    <w:pPr>
      <w:keepNext w:val="0"/>
      <w:keepLines w:val="0"/>
      <w:pageBreakBefore w:val="0"/>
      <w:widowControl w:val="1"/>
      <w:shd w:val="clear" w:color="auto" w:fill="auto"/>
      <w:tabs>
        <w:tab w:val="left" w:pos="720"/>
      </w:tabs>
      <w:suppressAutoHyphens w:val="0"/>
      <w:bidi w:val="0"/>
      <w:spacing w:before="0" w:after="0" w:line="360" w:lineRule="auto"/>
      <w:ind w:left="720" w:right="0" w:hanging="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