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2AA93" w14:textId="77777777" w:rsidR="008805C0" w:rsidRDefault="008805C0">
      <w:pPr>
        <w:pStyle w:val="Body"/>
        <w:tabs>
          <w:tab w:val="clear" w:pos="576"/>
          <w:tab w:val="clear" w:pos="1008"/>
          <w:tab w:val="clear" w:pos="1440"/>
          <w:tab w:val="clear" w:pos="1872"/>
          <w:tab w:val="clear" w:pos="2304"/>
          <w:tab w:val="clear" w:pos="2736"/>
        </w:tabs>
        <w:spacing w:before="0" w:after="0"/>
        <w:jc w:val="right"/>
        <w:rPr>
          <w:b/>
          <w:bCs/>
          <w:sz w:val="20"/>
          <w:szCs w:val="20"/>
          <w:lang w:val="en-US"/>
        </w:rPr>
      </w:pPr>
    </w:p>
    <w:p w14:paraId="32669083" w14:textId="77777777" w:rsidR="008805C0" w:rsidRDefault="00531787">
      <w:pPr>
        <w:pStyle w:val="Body"/>
        <w:tabs>
          <w:tab w:val="clear" w:pos="576"/>
          <w:tab w:val="clear" w:pos="1008"/>
          <w:tab w:val="clear" w:pos="1440"/>
          <w:tab w:val="clear" w:pos="1872"/>
          <w:tab w:val="clear" w:pos="2304"/>
          <w:tab w:val="clear" w:pos="2736"/>
        </w:tabs>
        <w:spacing w:before="0" w:after="0"/>
        <w:jc w:val="right"/>
        <w:rPr>
          <w:b/>
          <w:bCs/>
          <w:sz w:val="22"/>
          <w:szCs w:val="22"/>
        </w:rPr>
      </w:pPr>
      <w:r>
        <w:rPr>
          <w:b/>
          <w:bCs/>
          <w:sz w:val="22"/>
          <w:szCs w:val="22"/>
        </w:rPr>
        <w:t>RAD File / Dossier de la SAR</w:t>
      </w:r>
      <w:r>
        <w:rPr>
          <w:b/>
          <w:bCs/>
          <w:sz w:val="22"/>
          <w:szCs w:val="22"/>
        </w:rPr>
        <w:t> : MC008732</w:t>
      </w:r>
    </w:p>
    <w:p w14:paraId="23C2B387" w14:textId="77777777" w:rsidR="008805C0" w:rsidRDefault="008805C0">
      <w:pPr>
        <w:pStyle w:val="Body"/>
        <w:tabs>
          <w:tab w:val="clear" w:pos="576"/>
          <w:tab w:val="clear" w:pos="1008"/>
          <w:tab w:val="clear" w:pos="1440"/>
          <w:tab w:val="clear" w:pos="1872"/>
          <w:tab w:val="clear" w:pos="2304"/>
          <w:tab w:val="clear" w:pos="2736"/>
        </w:tabs>
        <w:spacing w:before="0" w:after="0"/>
        <w:jc w:val="right"/>
        <w:rPr>
          <w:rStyle w:val="reflex3-block"/>
          <w:sz w:val="20"/>
          <w:szCs w:val="20"/>
        </w:rPr>
      </w:pPr>
    </w:p>
    <w:p w14:paraId="7F6E15E2" w14:textId="77777777" w:rsidR="008805C0" w:rsidRDefault="00531787">
      <w:pPr>
        <w:pStyle w:val="Header"/>
        <w:tabs>
          <w:tab w:val="clear" w:pos="576"/>
          <w:tab w:val="clear" w:pos="1008"/>
          <w:tab w:val="clear" w:pos="1440"/>
          <w:tab w:val="clear" w:pos="1872"/>
          <w:tab w:val="clear" w:pos="2304"/>
          <w:tab w:val="clear" w:pos="2736"/>
          <w:tab w:val="clear" w:pos="4320"/>
          <w:tab w:val="clear" w:pos="8640"/>
        </w:tabs>
        <w:jc w:val="right"/>
        <w:rPr>
          <w:rFonts w:ascii="Times New Roman" w:eastAsia="Times New Roman" w:hAnsi="Times New Roman" w:cs="Times New Roman"/>
          <w:b/>
          <w:bCs/>
          <w:i/>
          <w:iCs/>
          <w:sz w:val="22"/>
          <w:szCs w:val="22"/>
        </w:rPr>
      </w:pPr>
      <w:r>
        <w:rPr>
          <w:rFonts w:ascii="Times New Roman" w:hAnsi="Times New Roman"/>
          <w:b/>
          <w:bCs/>
          <w:i/>
          <w:iCs/>
          <w:sz w:val="22"/>
          <w:szCs w:val="22"/>
        </w:rPr>
        <w:t xml:space="preserve">Private </w:t>
      </w:r>
      <w:proofErr w:type="gramStart"/>
      <w:r>
        <w:rPr>
          <w:rFonts w:ascii="Times New Roman" w:hAnsi="Times New Roman"/>
          <w:b/>
          <w:bCs/>
          <w:i/>
          <w:iCs/>
          <w:sz w:val="22"/>
          <w:szCs w:val="22"/>
        </w:rPr>
        <w:t>Proceeding /</w:t>
      </w:r>
      <w:proofErr w:type="gramEnd"/>
      <w:r>
        <w:rPr>
          <w:rFonts w:ascii="Times New Roman" w:hAnsi="Times New Roman"/>
          <w:b/>
          <w:bCs/>
          <w:i/>
          <w:iCs/>
          <w:sz w:val="22"/>
          <w:szCs w:val="22"/>
        </w:rPr>
        <w:t xml:space="preserve"> Huis </w:t>
      </w:r>
      <w:proofErr w:type="spellStart"/>
      <w:r>
        <w:rPr>
          <w:rFonts w:ascii="Times New Roman" w:hAnsi="Times New Roman"/>
          <w:b/>
          <w:bCs/>
          <w:i/>
          <w:iCs/>
          <w:sz w:val="22"/>
          <w:szCs w:val="22"/>
        </w:rPr>
        <w:t>clos</w:t>
      </w:r>
      <w:proofErr w:type="spellEnd"/>
    </w:p>
    <w:p w14:paraId="3D4A891F" w14:textId="77777777" w:rsidR="008805C0" w:rsidRDefault="008805C0">
      <w:pPr>
        <w:pStyle w:val="Header"/>
        <w:tabs>
          <w:tab w:val="clear" w:pos="576"/>
          <w:tab w:val="clear" w:pos="1008"/>
          <w:tab w:val="clear" w:pos="1440"/>
          <w:tab w:val="clear" w:pos="1872"/>
          <w:tab w:val="clear" w:pos="2304"/>
          <w:tab w:val="clear" w:pos="2736"/>
          <w:tab w:val="clear" w:pos="4320"/>
          <w:tab w:val="clear" w:pos="8640"/>
        </w:tabs>
        <w:rPr>
          <w:rFonts w:ascii="Times New Roman" w:eastAsia="Times New Roman" w:hAnsi="Times New Roman" w:cs="Times New Roman"/>
          <w:sz w:val="22"/>
          <w:szCs w:val="22"/>
        </w:rPr>
      </w:pPr>
    </w:p>
    <w:p w14:paraId="6F7B3437" w14:textId="77777777" w:rsidR="008805C0" w:rsidRDefault="00531787">
      <w:pPr>
        <w:pStyle w:val="Body"/>
        <w:keepNext/>
        <w:spacing w:after="240"/>
        <w:jc w:val="center"/>
        <w:outlineLvl w:val="1"/>
        <w:rPr>
          <w:b/>
          <w:bCs/>
          <w:sz w:val="32"/>
          <w:szCs w:val="32"/>
        </w:rPr>
      </w:pPr>
      <w:r>
        <w:rPr>
          <w:b/>
          <w:bCs/>
          <w:sz w:val="32"/>
          <w:szCs w:val="32"/>
          <w:lang w:val="en-US"/>
        </w:rPr>
        <w:t xml:space="preserve">Reasons and decision </w:t>
      </w:r>
      <w:r>
        <w:rPr>
          <w:rFonts w:ascii="Symbol" w:hAnsi="Symbol"/>
          <w:sz w:val="32"/>
          <w:szCs w:val="32"/>
        </w:rPr>
        <w:t>-</w:t>
      </w:r>
      <w:r>
        <w:rPr>
          <w:b/>
          <w:bCs/>
          <w:sz w:val="32"/>
          <w:szCs w:val="32"/>
        </w:rPr>
        <w:t xml:space="preserve"> Motifs et dé</w:t>
      </w:r>
      <w:proofErr w:type="spellStart"/>
      <w:r>
        <w:rPr>
          <w:b/>
          <w:bCs/>
          <w:sz w:val="32"/>
          <w:szCs w:val="32"/>
          <w:lang w:val="it-IT"/>
        </w:rPr>
        <w:t>cision</w:t>
      </w:r>
      <w:proofErr w:type="spellEnd"/>
    </w:p>
    <w:p w14:paraId="648F0688" w14:textId="77777777" w:rsidR="008805C0" w:rsidRDefault="008805C0">
      <w:pPr>
        <w:pStyle w:val="Header"/>
        <w:tabs>
          <w:tab w:val="clear" w:pos="576"/>
          <w:tab w:val="clear" w:pos="1008"/>
          <w:tab w:val="clear" w:pos="1440"/>
          <w:tab w:val="clear" w:pos="1872"/>
          <w:tab w:val="clear" w:pos="2304"/>
          <w:tab w:val="clear" w:pos="2736"/>
          <w:tab w:val="clear" w:pos="4320"/>
          <w:tab w:val="clear" w:pos="8640"/>
        </w:tabs>
        <w:rPr>
          <w:rFonts w:ascii="Times New Roman" w:eastAsia="Times New Roman" w:hAnsi="Times New Roman" w:cs="Times New Roman"/>
          <w:sz w:val="22"/>
          <w:szCs w:val="22"/>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410"/>
        <w:gridCol w:w="4961"/>
        <w:gridCol w:w="1989"/>
      </w:tblGrid>
      <w:tr w:rsidR="008805C0" w14:paraId="0E125165" w14:textId="77777777">
        <w:trPr>
          <w:trHeight w:val="452"/>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5DFA869E" w14:textId="77777777" w:rsidR="008805C0" w:rsidRDefault="0053178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Person who is the subject of the appeal</w:t>
            </w:r>
          </w:p>
        </w:tc>
        <w:tc>
          <w:tcPr>
            <w:tcW w:w="4961" w:type="dxa"/>
            <w:tcBorders>
              <w:top w:val="nil"/>
              <w:left w:val="nil"/>
              <w:bottom w:val="nil"/>
              <w:right w:val="nil"/>
            </w:tcBorders>
            <w:shd w:val="clear" w:color="auto" w:fill="auto"/>
            <w:tcMar>
              <w:top w:w="80" w:type="dxa"/>
              <w:left w:w="80" w:type="dxa"/>
              <w:bottom w:w="80" w:type="dxa"/>
              <w:right w:w="80" w:type="dxa"/>
            </w:tcMar>
          </w:tcPr>
          <w:p w14:paraId="6F0B34DC" w14:textId="77777777" w:rsidR="008805C0" w:rsidRDefault="00531787">
            <w:pPr>
              <w:pStyle w:val="Body"/>
              <w:tabs>
                <w:tab w:val="clear" w:pos="576"/>
                <w:tab w:val="clear" w:pos="1008"/>
                <w:tab w:val="clear" w:pos="1440"/>
                <w:tab w:val="clear" w:pos="1872"/>
                <w:tab w:val="clear" w:pos="2304"/>
                <w:tab w:val="clear" w:pos="2736"/>
              </w:tabs>
              <w:spacing w:before="0" w:after="0"/>
              <w:jc w:val="center"/>
            </w:pPr>
            <w:proofErr w:type="spellStart"/>
            <w:r>
              <w:rPr>
                <w:b/>
                <w:bCs/>
              </w:rPr>
              <w:t>Soheil</w:t>
            </w:r>
            <w:proofErr w:type="spellEnd"/>
            <w:r>
              <w:rPr>
                <w:b/>
                <w:bCs/>
              </w:rPr>
              <w:t xml:space="preserve"> </w:t>
            </w:r>
            <w:proofErr w:type="spellStart"/>
            <w:r>
              <w:rPr>
                <w:b/>
                <w:bCs/>
              </w:rPr>
              <w:t>Mohib</w:t>
            </w:r>
            <w:proofErr w:type="spellEnd"/>
          </w:p>
        </w:tc>
        <w:tc>
          <w:tcPr>
            <w:tcW w:w="1989" w:type="dxa"/>
            <w:tcBorders>
              <w:top w:val="nil"/>
              <w:left w:val="nil"/>
              <w:bottom w:val="nil"/>
              <w:right w:val="nil"/>
            </w:tcBorders>
            <w:shd w:val="clear" w:color="auto" w:fill="auto"/>
            <w:tcMar>
              <w:top w:w="80" w:type="dxa"/>
              <w:left w:w="80" w:type="dxa"/>
              <w:bottom w:w="80" w:type="dxa"/>
              <w:right w:w="80" w:type="dxa"/>
            </w:tcMar>
          </w:tcPr>
          <w:p w14:paraId="1BF7D77B" w14:textId="77777777" w:rsidR="008805C0" w:rsidRDefault="0053178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Personne en cause</w:t>
            </w:r>
          </w:p>
        </w:tc>
      </w:tr>
      <w:tr w:rsidR="008805C0" w14:paraId="0319C1AD"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6FC93CA5" w14:textId="77777777" w:rsidR="008805C0" w:rsidRDefault="008805C0"/>
        </w:tc>
        <w:tc>
          <w:tcPr>
            <w:tcW w:w="4961" w:type="dxa"/>
            <w:tcBorders>
              <w:top w:val="nil"/>
              <w:left w:val="nil"/>
              <w:bottom w:val="nil"/>
              <w:right w:val="nil"/>
            </w:tcBorders>
            <w:shd w:val="clear" w:color="auto" w:fill="auto"/>
            <w:tcMar>
              <w:top w:w="80" w:type="dxa"/>
              <w:left w:w="80" w:type="dxa"/>
              <w:bottom w:w="80" w:type="dxa"/>
              <w:right w:w="80" w:type="dxa"/>
            </w:tcMar>
          </w:tcPr>
          <w:p w14:paraId="1628858C" w14:textId="77777777" w:rsidR="008805C0" w:rsidRDefault="008805C0"/>
        </w:tc>
        <w:tc>
          <w:tcPr>
            <w:tcW w:w="1989" w:type="dxa"/>
            <w:tcBorders>
              <w:top w:val="nil"/>
              <w:left w:val="nil"/>
              <w:bottom w:val="nil"/>
              <w:right w:val="nil"/>
            </w:tcBorders>
            <w:shd w:val="clear" w:color="auto" w:fill="auto"/>
            <w:tcMar>
              <w:top w:w="80" w:type="dxa"/>
              <w:left w:w="80" w:type="dxa"/>
              <w:bottom w:w="80" w:type="dxa"/>
              <w:right w:w="80" w:type="dxa"/>
            </w:tcMar>
          </w:tcPr>
          <w:p w14:paraId="2B980C39" w14:textId="77777777" w:rsidR="008805C0" w:rsidRDefault="008805C0"/>
        </w:tc>
      </w:tr>
      <w:tr w:rsidR="008805C0" w14:paraId="6331EBD3" w14:textId="77777777">
        <w:trPr>
          <w:trHeight w:val="452"/>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0E27AA98" w14:textId="77777777" w:rsidR="008805C0" w:rsidRDefault="0053178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 xml:space="preserve">Appeal considered / heard at </w:t>
            </w:r>
          </w:p>
        </w:tc>
        <w:tc>
          <w:tcPr>
            <w:tcW w:w="4961" w:type="dxa"/>
            <w:tcBorders>
              <w:top w:val="nil"/>
              <w:left w:val="nil"/>
              <w:bottom w:val="nil"/>
              <w:right w:val="nil"/>
            </w:tcBorders>
            <w:shd w:val="clear" w:color="auto" w:fill="auto"/>
            <w:tcMar>
              <w:top w:w="80" w:type="dxa"/>
              <w:left w:w="80" w:type="dxa"/>
              <w:bottom w:w="80" w:type="dxa"/>
              <w:right w:w="80" w:type="dxa"/>
            </w:tcMar>
          </w:tcPr>
          <w:p w14:paraId="22C84B29" w14:textId="77777777" w:rsidR="008805C0" w:rsidRDefault="00531787">
            <w:pPr>
              <w:pStyle w:val="Header"/>
              <w:tabs>
                <w:tab w:val="clear" w:pos="576"/>
                <w:tab w:val="clear" w:pos="1008"/>
                <w:tab w:val="clear" w:pos="1440"/>
                <w:tab w:val="clear" w:pos="1872"/>
                <w:tab w:val="clear" w:pos="2304"/>
                <w:tab w:val="clear" w:pos="2736"/>
                <w:tab w:val="left" w:pos="720"/>
              </w:tabs>
              <w:spacing w:before="0" w:after="0"/>
              <w:jc w:val="center"/>
            </w:pPr>
            <w:r>
              <w:rPr>
                <w:rFonts w:ascii="Times New Roman" w:hAnsi="Times New Roman"/>
                <w:sz w:val="24"/>
                <w:szCs w:val="24"/>
                <w:lang w:val="en-US"/>
              </w:rPr>
              <w:t>Montreal, QC</w:t>
            </w:r>
          </w:p>
        </w:tc>
        <w:tc>
          <w:tcPr>
            <w:tcW w:w="1989" w:type="dxa"/>
            <w:tcBorders>
              <w:top w:val="nil"/>
              <w:left w:val="nil"/>
              <w:bottom w:val="nil"/>
              <w:right w:val="nil"/>
            </w:tcBorders>
            <w:shd w:val="clear" w:color="auto" w:fill="auto"/>
            <w:tcMar>
              <w:top w:w="80" w:type="dxa"/>
              <w:left w:w="80" w:type="dxa"/>
              <w:bottom w:w="80" w:type="dxa"/>
              <w:right w:w="80" w:type="dxa"/>
            </w:tcMar>
          </w:tcPr>
          <w:p w14:paraId="78F82860" w14:textId="77777777" w:rsidR="008805C0" w:rsidRDefault="0053178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Appel instruit / entendu à</w:t>
            </w:r>
          </w:p>
        </w:tc>
      </w:tr>
      <w:tr w:rsidR="008805C0" w14:paraId="43BEFFEB"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0D30EEB9" w14:textId="77777777" w:rsidR="008805C0" w:rsidRDefault="008805C0"/>
        </w:tc>
        <w:tc>
          <w:tcPr>
            <w:tcW w:w="4961" w:type="dxa"/>
            <w:tcBorders>
              <w:top w:val="nil"/>
              <w:left w:val="nil"/>
              <w:bottom w:val="nil"/>
              <w:right w:val="nil"/>
            </w:tcBorders>
            <w:shd w:val="clear" w:color="auto" w:fill="auto"/>
            <w:tcMar>
              <w:top w:w="80" w:type="dxa"/>
              <w:left w:w="212" w:type="dxa"/>
              <w:bottom w:w="80" w:type="dxa"/>
              <w:right w:w="80" w:type="dxa"/>
            </w:tcMar>
          </w:tcPr>
          <w:p w14:paraId="2942E65B" w14:textId="77777777" w:rsidR="008805C0" w:rsidRDefault="008805C0"/>
        </w:tc>
        <w:tc>
          <w:tcPr>
            <w:tcW w:w="1989" w:type="dxa"/>
            <w:tcBorders>
              <w:top w:val="nil"/>
              <w:left w:val="nil"/>
              <w:bottom w:val="nil"/>
              <w:right w:val="nil"/>
            </w:tcBorders>
            <w:shd w:val="clear" w:color="auto" w:fill="auto"/>
            <w:tcMar>
              <w:top w:w="80" w:type="dxa"/>
              <w:left w:w="80" w:type="dxa"/>
              <w:bottom w:w="80" w:type="dxa"/>
              <w:right w:w="80" w:type="dxa"/>
            </w:tcMar>
          </w:tcPr>
          <w:p w14:paraId="068BFEEA" w14:textId="77777777" w:rsidR="008805C0" w:rsidRDefault="008805C0"/>
        </w:tc>
      </w:tr>
      <w:tr w:rsidR="008805C0" w14:paraId="536D22E7"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116CBAF5" w14:textId="77777777" w:rsidR="008805C0" w:rsidRDefault="00531787">
            <w:pPr>
              <w:pStyle w:val="Body"/>
              <w:tabs>
                <w:tab w:val="clear" w:pos="576"/>
                <w:tab w:val="clear" w:pos="1008"/>
                <w:tab w:val="clear" w:pos="1440"/>
                <w:tab w:val="clear" w:pos="1872"/>
                <w:tab w:val="clear" w:pos="2304"/>
                <w:tab w:val="clear" w:pos="2736"/>
              </w:tabs>
              <w:spacing w:before="0" w:after="0"/>
              <w:jc w:val="left"/>
            </w:pPr>
            <w:r>
              <w:rPr>
                <w:b/>
                <w:bCs/>
                <w:spacing w:val="-1"/>
                <w:sz w:val="20"/>
                <w:szCs w:val="20"/>
              </w:rPr>
              <w:t xml:space="preserve">Date of </w:t>
            </w:r>
            <w:proofErr w:type="spellStart"/>
            <w:r>
              <w:rPr>
                <w:b/>
                <w:bCs/>
                <w:spacing w:val="-1"/>
                <w:sz w:val="20"/>
                <w:szCs w:val="20"/>
              </w:rPr>
              <w:t>decision</w:t>
            </w:r>
            <w:proofErr w:type="spellEnd"/>
            <w:r>
              <w:rPr>
                <w:b/>
                <w:bCs/>
                <w:spacing w:val="-1"/>
                <w:sz w:val="20"/>
                <w:szCs w:val="20"/>
              </w:rPr>
              <w:t xml:space="preserve"> </w:t>
            </w:r>
          </w:p>
        </w:tc>
        <w:tc>
          <w:tcPr>
            <w:tcW w:w="4961" w:type="dxa"/>
            <w:tcBorders>
              <w:top w:val="nil"/>
              <w:left w:val="nil"/>
              <w:bottom w:val="nil"/>
              <w:right w:val="nil"/>
            </w:tcBorders>
            <w:shd w:val="clear" w:color="auto" w:fill="auto"/>
            <w:tcMar>
              <w:top w:w="80" w:type="dxa"/>
              <w:left w:w="80" w:type="dxa"/>
              <w:bottom w:w="80" w:type="dxa"/>
              <w:right w:w="80" w:type="dxa"/>
            </w:tcMar>
          </w:tcPr>
          <w:p w14:paraId="134D01A7" w14:textId="77777777" w:rsidR="008805C0" w:rsidRDefault="00531787">
            <w:pPr>
              <w:pStyle w:val="Body"/>
              <w:tabs>
                <w:tab w:val="clear" w:pos="576"/>
                <w:tab w:val="clear" w:pos="1008"/>
                <w:tab w:val="clear" w:pos="1440"/>
                <w:tab w:val="clear" w:pos="1872"/>
                <w:tab w:val="clear" w:pos="2304"/>
                <w:tab w:val="clear" w:pos="2736"/>
              </w:tabs>
              <w:spacing w:before="0" w:after="0"/>
              <w:jc w:val="center"/>
            </w:pPr>
            <w:r>
              <w:t>March 30, 2021</w:t>
            </w:r>
          </w:p>
        </w:tc>
        <w:tc>
          <w:tcPr>
            <w:tcW w:w="1989" w:type="dxa"/>
            <w:tcBorders>
              <w:top w:val="nil"/>
              <w:left w:val="nil"/>
              <w:bottom w:val="nil"/>
              <w:right w:val="nil"/>
            </w:tcBorders>
            <w:shd w:val="clear" w:color="auto" w:fill="auto"/>
            <w:tcMar>
              <w:top w:w="80" w:type="dxa"/>
              <w:left w:w="80" w:type="dxa"/>
              <w:bottom w:w="80" w:type="dxa"/>
              <w:right w:w="80" w:type="dxa"/>
            </w:tcMar>
          </w:tcPr>
          <w:p w14:paraId="0C45236F" w14:textId="77777777" w:rsidR="008805C0" w:rsidRDefault="0053178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 xml:space="preserve">Date de la décision </w:t>
            </w:r>
          </w:p>
        </w:tc>
      </w:tr>
      <w:tr w:rsidR="008805C0" w14:paraId="77FA6AFD"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1CE0DFFF" w14:textId="77777777" w:rsidR="008805C0" w:rsidRDefault="008805C0"/>
        </w:tc>
        <w:tc>
          <w:tcPr>
            <w:tcW w:w="4961" w:type="dxa"/>
            <w:tcBorders>
              <w:top w:val="nil"/>
              <w:left w:val="nil"/>
              <w:bottom w:val="nil"/>
              <w:right w:val="nil"/>
            </w:tcBorders>
            <w:shd w:val="clear" w:color="auto" w:fill="auto"/>
            <w:tcMar>
              <w:top w:w="80" w:type="dxa"/>
              <w:left w:w="80" w:type="dxa"/>
              <w:bottom w:w="80" w:type="dxa"/>
              <w:right w:w="80" w:type="dxa"/>
            </w:tcMar>
          </w:tcPr>
          <w:p w14:paraId="79FDF893" w14:textId="77777777" w:rsidR="008805C0" w:rsidRDefault="008805C0"/>
        </w:tc>
        <w:tc>
          <w:tcPr>
            <w:tcW w:w="1989" w:type="dxa"/>
            <w:tcBorders>
              <w:top w:val="nil"/>
              <w:left w:val="nil"/>
              <w:bottom w:val="nil"/>
              <w:right w:val="nil"/>
            </w:tcBorders>
            <w:shd w:val="clear" w:color="auto" w:fill="auto"/>
            <w:tcMar>
              <w:top w:w="80" w:type="dxa"/>
              <w:left w:w="80" w:type="dxa"/>
              <w:bottom w:w="80" w:type="dxa"/>
              <w:right w:w="80" w:type="dxa"/>
            </w:tcMar>
          </w:tcPr>
          <w:p w14:paraId="1F360F6C" w14:textId="77777777" w:rsidR="008805C0" w:rsidRDefault="008805C0"/>
        </w:tc>
      </w:tr>
      <w:tr w:rsidR="008805C0" w14:paraId="24EC42DD"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5CE7540F" w14:textId="77777777" w:rsidR="008805C0" w:rsidRDefault="00531787">
            <w:pPr>
              <w:pStyle w:val="Body"/>
              <w:tabs>
                <w:tab w:val="clear" w:pos="576"/>
                <w:tab w:val="clear" w:pos="1008"/>
                <w:tab w:val="clear" w:pos="1440"/>
                <w:tab w:val="clear" w:pos="1872"/>
                <w:tab w:val="clear" w:pos="2304"/>
                <w:tab w:val="clear" w:pos="2736"/>
              </w:tabs>
              <w:spacing w:before="0" w:after="0"/>
              <w:jc w:val="left"/>
            </w:pPr>
            <w:r>
              <w:rPr>
                <w:b/>
                <w:bCs/>
                <w:spacing w:val="-1"/>
                <w:sz w:val="20"/>
                <w:szCs w:val="20"/>
              </w:rPr>
              <w:t>Panel</w:t>
            </w:r>
          </w:p>
        </w:tc>
        <w:tc>
          <w:tcPr>
            <w:tcW w:w="4961" w:type="dxa"/>
            <w:tcBorders>
              <w:top w:val="nil"/>
              <w:left w:val="nil"/>
              <w:bottom w:val="nil"/>
              <w:right w:val="nil"/>
            </w:tcBorders>
            <w:shd w:val="clear" w:color="auto" w:fill="auto"/>
            <w:tcMar>
              <w:top w:w="80" w:type="dxa"/>
              <w:left w:w="80" w:type="dxa"/>
              <w:bottom w:w="80" w:type="dxa"/>
              <w:right w:w="80" w:type="dxa"/>
            </w:tcMar>
          </w:tcPr>
          <w:p w14:paraId="3190AFDF" w14:textId="77777777" w:rsidR="008805C0" w:rsidRDefault="00531787">
            <w:pPr>
              <w:pStyle w:val="Body"/>
              <w:tabs>
                <w:tab w:val="clear" w:pos="576"/>
                <w:tab w:val="clear" w:pos="1008"/>
                <w:tab w:val="clear" w:pos="1440"/>
                <w:tab w:val="clear" w:pos="1872"/>
                <w:tab w:val="clear" w:pos="2304"/>
                <w:tab w:val="clear" w:pos="2736"/>
              </w:tabs>
              <w:spacing w:before="0" w:after="0"/>
              <w:jc w:val="center"/>
            </w:pPr>
            <w:r>
              <w:t>M</w:t>
            </w:r>
            <w:r>
              <w:rPr>
                <w:vertAlign w:val="superscript"/>
              </w:rPr>
              <w:t>e</w:t>
            </w:r>
            <w:r>
              <w:t xml:space="preserve"> Bianca Eleonora </w:t>
            </w:r>
            <w:proofErr w:type="spellStart"/>
            <w:r>
              <w:t>Suciu</w:t>
            </w:r>
            <w:proofErr w:type="spellEnd"/>
          </w:p>
        </w:tc>
        <w:tc>
          <w:tcPr>
            <w:tcW w:w="1989" w:type="dxa"/>
            <w:tcBorders>
              <w:top w:val="nil"/>
              <w:left w:val="nil"/>
              <w:bottom w:val="nil"/>
              <w:right w:val="nil"/>
            </w:tcBorders>
            <w:shd w:val="clear" w:color="auto" w:fill="auto"/>
            <w:tcMar>
              <w:top w:w="80" w:type="dxa"/>
              <w:left w:w="80" w:type="dxa"/>
              <w:bottom w:w="80" w:type="dxa"/>
              <w:right w:w="80" w:type="dxa"/>
            </w:tcMar>
          </w:tcPr>
          <w:p w14:paraId="16B7D17C" w14:textId="77777777" w:rsidR="008805C0" w:rsidRDefault="0053178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Tribunal</w:t>
            </w:r>
          </w:p>
        </w:tc>
      </w:tr>
      <w:tr w:rsidR="008805C0" w14:paraId="6E4AAAED"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16CDD056" w14:textId="77777777" w:rsidR="008805C0" w:rsidRDefault="008805C0"/>
        </w:tc>
        <w:tc>
          <w:tcPr>
            <w:tcW w:w="4961" w:type="dxa"/>
            <w:tcBorders>
              <w:top w:val="nil"/>
              <w:left w:val="nil"/>
              <w:bottom w:val="nil"/>
              <w:right w:val="nil"/>
            </w:tcBorders>
            <w:shd w:val="clear" w:color="auto" w:fill="auto"/>
            <w:tcMar>
              <w:top w:w="80" w:type="dxa"/>
              <w:left w:w="80" w:type="dxa"/>
              <w:bottom w:w="80" w:type="dxa"/>
              <w:right w:w="80" w:type="dxa"/>
            </w:tcMar>
          </w:tcPr>
          <w:p w14:paraId="70BE219F" w14:textId="77777777" w:rsidR="008805C0" w:rsidRDefault="008805C0"/>
        </w:tc>
        <w:tc>
          <w:tcPr>
            <w:tcW w:w="1989" w:type="dxa"/>
            <w:tcBorders>
              <w:top w:val="nil"/>
              <w:left w:val="nil"/>
              <w:bottom w:val="nil"/>
              <w:right w:val="nil"/>
            </w:tcBorders>
            <w:shd w:val="clear" w:color="auto" w:fill="auto"/>
            <w:tcMar>
              <w:top w:w="80" w:type="dxa"/>
              <w:left w:w="80" w:type="dxa"/>
              <w:bottom w:w="80" w:type="dxa"/>
              <w:right w:w="80" w:type="dxa"/>
            </w:tcMar>
          </w:tcPr>
          <w:p w14:paraId="491CBB4F" w14:textId="77777777" w:rsidR="008805C0" w:rsidRDefault="008805C0"/>
        </w:tc>
      </w:tr>
      <w:tr w:rsidR="008805C0" w14:paraId="23BDC83C" w14:textId="77777777">
        <w:trPr>
          <w:trHeight w:val="672"/>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418C2F26" w14:textId="77777777" w:rsidR="008805C0" w:rsidRDefault="0053178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Counsel for the person who is the subject of the appeal</w:t>
            </w:r>
          </w:p>
        </w:tc>
        <w:tc>
          <w:tcPr>
            <w:tcW w:w="4961" w:type="dxa"/>
            <w:tcBorders>
              <w:top w:val="nil"/>
              <w:left w:val="nil"/>
              <w:bottom w:val="nil"/>
              <w:right w:val="nil"/>
            </w:tcBorders>
            <w:shd w:val="clear" w:color="auto" w:fill="auto"/>
            <w:tcMar>
              <w:top w:w="80" w:type="dxa"/>
              <w:left w:w="80" w:type="dxa"/>
              <w:bottom w:w="80" w:type="dxa"/>
              <w:right w:w="80" w:type="dxa"/>
            </w:tcMar>
          </w:tcPr>
          <w:p w14:paraId="39F991C2" w14:textId="77777777" w:rsidR="008805C0" w:rsidRDefault="00531787">
            <w:pPr>
              <w:pStyle w:val="Body"/>
              <w:tabs>
                <w:tab w:val="clear" w:pos="576"/>
                <w:tab w:val="clear" w:pos="1008"/>
                <w:tab w:val="clear" w:pos="1440"/>
                <w:tab w:val="clear" w:pos="1872"/>
                <w:tab w:val="clear" w:pos="2304"/>
                <w:tab w:val="clear" w:pos="2736"/>
              </w:tabs>
              <w:spacing w:before="0" w:after="0"/>
              <w:jc w:val="center"/>
            </w:pPr>
            <w:r>
              <w:rPr>
                <w:lang w:val="en-US"/>
              </w:rPr>
              <w:t xml:space="preserve">Claude Whalen </w:t>
            </w:r>
          </w:p>
        </w:tc>
        <w:tc>
          <w:tcPr>
            <w:tcW w:w="1989" w:type="dxa"/>
            <w:tcBorders>
              <w:top w:val="nil"/>
              <w:left w:val="nil"/>
              <w:bottom w:val="nil"/>
              <w:right w:val="nil"/>
            </w:tcBorders>
            <w:shd w:val="clear" w:color="auto" w:fill="auto"/>
            <w:tcMar>
              <w:top w:w="80" w:type="dxa"/>
              <w:left w:w="80" w:type="dxa"/>
              <w:bottom w:w="80" w:type="dxa"/>
              <w:right w:w="80" w:type="dxa"/>
            </w:tcMar>
          </w:tcPr>
          <w:p w14:paraId="365987DC" w14:textId="77777777" w:rsidR="008805C0" w:rsidRDefault="00531787">
            <w:pPr>
              <w:pStyle w:val="Header"/>
              <w:tabs>
                <w:tab w:val="clear" w:pos="576"/>
                <w:tab w:val="clear" w:pos="1008"/>
                <w:tab w:val="clear" w:pos="1440"/>
                <w:tab w:val="clear" w:pos="1872"/>
                <w:tab w:val="clear" w:pos="2304"/>
                <w:tab w:val="clear" w:pos="2736"/>
                <w:tab w:val="clear" w:pos="4320"/>
                <w:tab w:val="clear" w:pos="8640"/>
              </w:tabs>
              <w:spacing w:before="0" w:after="0"/>
              <w:jc w:val="right"/>
            </w:pPr>
            <w:r>
              <w:rPr>
                <w:rFonts w:ascii="Times New Roman" w:hAnsi="Times New Roman"/>
                <w:b/>
                <w:bCs/>
                <w:lang w:val="fr-FR"/>
              </w:rPr>
              <w:t>Conseil de la personne en cause</w:t>
            </w:r>
          </w:p>
        </w:tc>
      </w:tr>
      <w:tr w:rsidR="008805C0" w14:paraId="5BE17BCA"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42B759F2" w14:textId="77777777" w:rsidR="008805C0" w:rsidRDefault="008805C0"/>
        </w:tc>
        <w:tc>
          <w:tcPr>
            <w:tcW w:w="4961" w:type="dxa"/>
            <w:tcBorders>
              <w:top w:val="nil"/>
              <w:left w:val="nil"/>
              <w:bottom w:val="nil"/>
              <w:right w:val="nil"/>
            </w:tcBorders>
            <w:shd w:val="clear" w:color="auto" w:fill="auto"/>
            <w:tcMar>
              <w:top w:w="80" w:type="dxa"/>
              <w:left w:w="80" w:type="dxa"/>
              <w:bottom w:w="80" w:type="dxa"/>
              <w:right w:w="80" w:type="dxa"/>
            </w:tcMar>
          </w:tcPr>
          <w:p w14:paraId="0F0282F1" w14:textId="77777777" w:rsidR="008805C0" w:rsidRDefault="008805C0"/>
        </w:tc>
        <w:tc>
          <w:tcPr>
            <w:tcW w:w="1989" w:type="dxa"/>
            <w:tcBorders>
              <w:top w:val="nil"/>
              <w:left w:val="nil"/>
              <w:bottom w:val="nil"/>
              <w:right w:val="nil"/>
            </w:tcBorders>
            <w:shd w:val="clear" w:color="auto" w:fill="auto"/>
            <w:tcMar>
              <w:top w:w="80" w:type="dxa"/>
              <w:left w:w="80" w:type="dxa"/>
              <w:bottom w:w="80" w:type="dxa"/>
              <w:right w:w="80" w:type="dxa"/>
            </w:tcMar>
          </w:tcPr>
          <w:p w14:paraId="6E660BD9" w14:textId="77777777" w:rsidR="008805C0" w:rsidRDefault="008805C0"/>
        </w:tc>
      </w:tr>
      <w:tr w:rsidR="008805C0" w14:paraId="67607EA8" w14:textId="77777777">
        <w:trPr>
          <w:trHeight w:val="452"/>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7456ED3D" w14:textId="77777777" w:rsidR="008805C0" w:rsidRDefault="00531787">
            <w:pPr>
              <w:pStyle w:val="Body"/>
              <w:tabs>
                <w:tab w:val="clear" w:pos="576"/>
                <w:tab w:val="clear" w:pos="1008"/>
                <w:tab w:val="clear" w:pos="1440"/>
                <w:tab w:val="clear" w:pos="1872"/>
                <w:tab w:val="clear" w:pos="2304"/>
                <w:tab w:val="clear" w:pos="2736"/>
              </w:tabs>
              <w:spacing w:before="0" w:after="0"/>
              <w:jc w:val="left"/>
            </w:pPr>
            <w:r>
              <w:rPr>
                <w:b/>
                <w:bCs/>
                <w:spacing w:val="-1"/>
                <w:sz w:val="20"/>
                <w:szCs w:val="20"/>
                <w:lang w:val="en-US"/>
              </w:rPr>
              <w:t>Designated representative</w:t>
            </w:r>
          </w:p>
        </w:tc>
        <w:tc>
          <w:tcPr>
            <w:tcW w:w="4961" w:type="dxa"/>
            <w:tcBorders>
              <w:top w:val="nil"/>
              <w:left w:val="nil"/>
              <w:bottom w:val="nil"/>
              <w:right w:val="nil"/>
            </w:tcBorders>
            <w:shd w:val="clear" w:color="auto" w:fill="auto"/>
            <w:tcMar>
              <w:top w:w="80" w:type="dxa"/>
              <w:left w:w="80" w:type="dxa"/>
              <w:bottom w:w="80" w:type="dxa"/>
              <w:right w:w="80" w:type="dxa"/>
            </w:tcMar>
          </w:tcPr>
          <w:p w14:paraId="45D83CD7" w14:textId="77777777" w:rsidR="008805C0" w:rsidRDefault="00531787">
            <w:pPr>
              <w:pStyle w:val="Body"/>
              <w:tabs>
                <w:tab w:val="clear" w:pos="576"/>
                <w:tab w:val="clear" w:pos="1008"/>
                <w:tab w:val="clear" w:pos="1440"/>
                <w:tab w:val="clear" w:pos="1872"/>
                <w:tab w:val="clear" w:pos="2304"/>
                <w:tab w:val="clear" w:pos="2736"/>
              </w:tabs>
              <w:spacing w:before="0" w:after="0"/>
              <w:jc w:val="center"/>
            </w:pPr>
            <w:r>
              <w:rPr>
                <w:lang w:val="en-US"/>
              </w:rPr>
              <w:t>N/A</w:t>
            </w:r>
          </w:p>
        </w:tc>
        <w:tc>
          <w:tcPr>
            <w:tcW w:w="1989" w:type="dxa"/>
            <w:tcBorders>
              <w:top w:val="nil"/>
              <w:left w:val="nil"/>
              <w:bottom w:val="nil"/>
              <w:right w:val="nil"/>
            </w:tcBorders>
            <w:shd w:val="clear" w:color="auto" w:fill="auto"/>
            <w:tcMar>
              <w:top w:w="80" w:type="dxa"/>
              <w:left w:w="80" w:type="dxa"/>
              <w:bottom w:w="80" w:type="dxa"/>
              <w:right w:w="80" w:type="dxa"/>
            </w:tcMar>
          </w:tcPr>
          <w:p w14:paraId="13A2CB5E" w14:textId="77777777" w:rsidR="008805C0" w:rsidRDefault="00531787">
            <w:pPr>
              <w:pStyle w:val="Body"/>
              <w:tabs>
                <w:tab w:val="clear" w:pos="576"/>
                <w:tab w:val="clear" w:pos="1008"/>
                <w:tab w:val="clear" w:pos="1440"/>
                <w:tab w:val="clear" w:pos="1872"/>
                <w:tab w:val="clear" w:pos="2304"/>
                <w:tab w:val="clear" w:pos="2736"/>
              </w:tabs>
              <w:spacing w:before="0" w:after="0"/>
              <w:jc w:val="right"/>
            </w:pPr>
            <w:proofErr w:type="spellStart"/>
            <w:r>
              <w:rPr>
                <w:b/>
                <w:bCs/>
                <w:spacing w:val="-1"/>
                <w:sz w:val="20"/>
                <w:szCs w:val="20"/>
                <w:lang w:val="en-US"/>
              </w:rPr>
              <w:t>Représentant</w:t>
            </w:r>
            <w:proofErr w:type="spellEnd"/>
            <w:r>
              <w:rPr>
                <w:b/>
                <w:bCs/>
                <w:spacing w:val="-1"/>
                <w:sz w:val="20"/>
                <w:szCs w:val="20"/>
                <w:lang w:val="en-US"/>
              </w:rPr>
              <w:t xml:space="preserve">(e) </w:t>
            </w:r>
            <w:proofErr w:type="spellStart"/>
            <w:r>
              <w:rPr>
                <w:b/>
                <w:bCs/>
                <w:spacing w:val="-1"/>
                <w:sz w:val="20"/>
                <w:szCs w:val="20"/>
                <w:lang w:val="en-US"/>
              </w:rPr>
              <w:t>désign</w:t>
            </w:r>
            <w:proofErr w:type="spellEnd"/>
            <w:r>
              <w:rPr>
                <w:b/>
                <w:bCs/>
                <w:spacing w:val="-1"/>
                <w:sz w:val="20"/>
                <w:szCs w:val="20"/>
              </w:rPr>
              <w:t>é(e)</w:t>
            </w:r>
          </w:p>
        </w:tc>
      </w:tr>
      <w:tr w:rsidR="008805C0" w14:paraId="4F8C553F"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7BE7E4FE" w14:textId="77777777" w:rsidR="008805C0" w:rsidRDefault="008805C0"/>
        </w:tc>
        <w:tc>
          <w:tcPr>
            <w:tcW w:w="4961" w:type="dxa"/>
            <w:tcBorders>
              <w:top w:val="nil"/>
              <w:left w:val="nil"/>
              <w:bottom w:val="nil"/>
              <w:right w:val="nil"/>
            </w:tcBorders>
            <w:shd w:val="clear" w:color="auto" w:fill="auto"/>
            <w:tcMar>
              <w:top w:w="80" w:type="dxa"/>
              <w:left w:w="80" w:type="dxa"/>
              <w:bottom w:w="80" w:type="dxa"/>
              <w:right w:w="80" w:type="dxa"/>
            </w:tcMar>
          </w:tcPr>
          <w:p w14:paraId="0A48EF0B" w14:textId="77777777" w:rsidR="008805C0" w:rsidRDefault="008805C0"/>
        </w:tc>
        <w:tc>
          <w:tcPr>
            <w:tcW w:w="1989" w:type="dxa"/>
            <w:tcBorders>
              <w:top w:val="nil"/>
              <w:left w:val="nil"/>
              <w:bottom w:val="nil"/>
              <w:right w:val="nil"/>
            </w:tcBorders>
            <w:shd w:val="clear" w:color="auto" w:fill="auto"/>
            <w:tcMar>
              <w:top w:w="80" w:type="dxa"/>
              <w:left w:w="80" w:type="dxa"/>
              <w:bottom w:w="80" w:type="dxa"/>
              <w:right w:w="80" w:type="dxa"/>
            </w:tcMar>
          </w:tcPr>
          <w:p w14:paraId="2B073BC2" w14:textId="77777777" w:rsidR="008805C0" w:rsidRDefault="008805C0"/>
        </w:tc>
      </w:tr>
      <w:tr w:rsidR="008805C0" w14:paraId="1C644DF1"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55AF2E92" w14:textId="77777777" w:rsidR="008805C0" w:rsidRDefault="00531787">
            <w:pPr>
              <w:pStyle w:val="Body"/>
              <w:tabs>
                <w:tab w:val="clear" w:pos="576"/>
                <w:tab w:val="clear" w:pos="1008"/>
                <w:tab w:val="clear" w:pos="1440"/>
                <w:tab w:val="clear" w:pos="1872"/>
                <w:tab w:val="clear" w:pos="2304"/>
                <w:tab w:val="clear" w:pos="2736"/>
              </w:tabs>
              <w:spacing w:before="0" w:after="0"/>
              <w:jc w:val="left"/>
            </w:pPr>
            <w:proofErr w:type="spellStart"/>
            <w:r>
              <w:rPr>
                <w:b/>
                <w:bCs/>
                <w:spacing w:val="-1"/>
                <w:sz w:val="20"/>
                <w:szCs w:val="20"/>
              </w:rPr>
              <w:t>Counsel</w:t>
            </w:r>
            <w:proofErr w:type="spellEnd"/>
            <w:r>
              <w:rPr>
                <w:b/>
                <w:bCs/>
                <w:spacing w:val="-1"/>
                <w:sz w:val="20"/>
                <w:szCs w:val="20"/>
              </w:rPr>
              <w:t xml:space="preserve"> for the </w:t>
            </w:r>
            <w:proofErr w:type="spellStart"/>
            <w:r>
              <w:rPr>
                <w:b/>
                <w:bCs/>
                <w:spacing w:val="-1"/>
                <w:sz w:val="20"/>
                <w:szCs w:val="20"/>
              </w:rPr>
              <w:t>Minister</w:t>
            </w:r>
            <w:proofErr w:type="spellEnd"/>
          </w:p>
        </w:tc>
        <w:tc>
          <w:tcPr>
            <w:tcW w:w="4961" w:type="dxa"/>
            <w:tcBorders>
              <w:top w:val="nil"/>
              <w:left w:val="nil"/>
              <w:bottom w:val="nil"/>
              <w:right w:val="nil"/>
            </w:tcBorders>
            <w:shd w:val="clear" w:color="auto" w:fill="auto"/>
            <w:tcMar>
              <w:top w:w="80" w:type="dxa"/>
              <w:left w:w="80" w:type="dxa"/>
              <w:bottom w:w="80" w:type="dxa"/>
              <w:right w:w="80" w:type="dxa"/>
            </w:tcMar>
          </w:tcPr>
          <w:p w14:paraId="3C9A8B54" w14:textId="77777777" w:rsidR="008805C0" w:rsidRDefault="00531787">
            <w:pPr>
              <w:pStyle w:val="Body"/>
              <w:tabs>
                <w:tab w:val="clear" w:pos="576"/>
                <w:tab w:val="clear" w:pos="1008"/>
                <w:tab w:val="clear" w:pos="1440"/>
                <w:tab w:val="clear" w:pos="1872"/>
                <w:tab w:val="clear" w:pos="2304"/>
                <w:tab w:val="clear" w:pos="2736"/>
              </w:tabs>
              <w:spacing w:before="0" w:after="0"/>
              <w:jc w:val="center"/>
            </w:pPr>
            <w:r>
              <w:rPr>
                <w:lang w:val="en-US"/>
              </w:rPr>
              <w:t>N/A</w:t>
            </w:r>
          </w:p>
        </w:tc>
        <w:tc>
          <w:tcPr>
            <w:tcW w:w="1989" w:type="dxa"/>
            <w:tcBorders>
              <w:top w:val="nil"/>
              <w:left w:val="nil"/>
              <w:bottom w:val="nil"/>
              <w:right w:val="nil"/>
            </w:tcBorders>
            <w:shd w:val="clear" w:color="auto" w:fill="auto"/>
            <w:tcMar>
              <w:top w:w="80" w:type="dxa"/>
              <w:left w:w="80" w:type="dxa"/>
              <w:bottom w:w="80" w:type="dxa"/>
              <w:right w:w="80" w:type="dxa"/>
            </w:tcMar>
          </w:tcPr>
          <w:p w14:paraId="0FDFEBC3" w14:textId="77777777" w:rsidR="008805C0" w:rsidRDefault="00531787">
            <w:pPr>
              <w:pStyle w:val="Body"/>
              <w:tabs>
                <w:tab w:val="clear" w:pos="576"/>
                <w:tab w:val="clear" w:pos="1008"/>
                <w:tab w:val="clear" w:pos="1440"/>
                <w:tab w:val="clear" w:pos="1872"/>
                <w:tab w:val="clear" w:pos="2304"/>
                <w:tab w:val="clear" w:pos="2736"/>
              </w:tabs>
              <w:spacing w:before="0" w:after="0"/>
              <w:jc w:val="right"/>
            </w:pPr>
            <w:r>
              <w:rPr>
                <w:b/>
                <w:bCs/>
                <w:spacing w:val="-1"/>
                <w:sz w:val="20"/>
                <w:szCs w:val="20"/>
              </w:rPr>
              <w:t>Conseil du ministre</w:t>
            </w:r>
          </w:p>
        </w:tc>
      </w:tr>
      <w:tr w:rsidR="008805C0" w14:paraId="3B20D4BE" w14:textId="77777777">
        <w:trPr>
          <w:trHeight w:val="407"/>
          <w:jc w:val="center"/>
        </w:trPr>
        <w:tc>
          <w:tcPr>
            <w:tcW w:w="2410" w:type="dxa"/>
            <w:tcBorders>
              <w:top w:val="nil"/>
              <w:left w:val="nil"/>
              <w:bottom w:val="nil"/>
              <w:right w:val="nil"/>
            </w:tcBorders>
            <w:shd w:val="clear" w:color="auto" w:fill="auto"/>
            <w:tcMar>
              <w:top w:w="80" w:type="dxa"/>
              <w:left w:w="80" w:type="dxa"/>
              <w:bottom w:w="80" w:type="dxa"/>
              <w:right w:w="80" w:type="dxa"/>
            </w:tcMar>
          </w:tcPr>
          <w:p w14:paraId="4F0ECF92" w14:textId="77777777" w:rsidR="008805C0" w:rsidRDefault="008805C0"/>
        </w:tc>
        <w:tc>
          <w:tcPr>
            <w:tcW w:w="4961" w:type="dxa"/>
            <w:tcBorders>
              <w:top w:val="nil"/>
              <w:left w:val="nil"/>
              <w:bottom w:val="nil"/>
              <w:right w:val="nil"/>
            </w:tcBorders>
            <w:shd w:val="clear" w:color="auto" w:fill="auto"/>
            <w:tcMar>
              <w:top w:w="80" w:type="dxa"/>
              <w:left w:w="80" w:type="dxa"/>
              <w:bottom w:w="80" w:type="dxa"/>
              <w:right w:w="80" w:type="dxa"/>
            </w:tcMar>
          </w:tcPr>
          <w:p w14:paraId="063DF6A6" w14:textId="77777777" w:rsidR="008805C0" w:rsidRDefault="008805C0"/>
        </w:tc>
        <w:tc>
          <w:tcPr>
            <w:tcW w:w="1989" w:type="dxa"/>
            <w:tcBorders>
              <w:top w:val="nil"/>
              <w:left w:val="nil"/>
              <w:bottom w:val="nil"/>
              <w:right w:val="nil"/>
            </w:tcBorders>
            <w:shd w:val="clear" w:color="auto" w:fill="auto"/>
            <w:tcMar>
              <w:top w:w="80" w:type="dxa"/>
              <w:left w:w="80" w:type="dxa"/>
              <w:bottom w:w="80" w:type="dxa"/>
              <w:right w:w="80" w:type="dxa"/>
            </w:tcMar>
          </w:tcPr>
          <w:p w14:paraId="122BF348" w14:textId="77777777" w:rsidR="008805C0" w:rsidRDefault="008805C0"/>
        </w:tc>
      </w:tr>
    </w:tbl>
    <w:p w14:paraId="758E50B7" w14:textId="77777777" w:rsidR="008805C0" w:rsidRDefault="008805C0">
      <w:pPr>
        <w:pStyle w:val="Header"/>
        <w:widowControl w:val="0"/>
        <w:tabs>
          <w:tab w:val="clear" w:pos="576"/>
          <w:tab w:val="clear" w:pos="1008"/>
          <w:tab w:val="clear" w:pos="1440"/>
          <w:tab w:val="clear" w:pos="1872"/>
          <w:tab w:val="clear" w:pos="2304"/>
          <w:tab w:val="clear" w:pos="2736"/>
          <w:tab w:val="clear" w:pos="4320"/>
          <w:tab w:val="clear" w:pos="8640"/>
        </w:tabs>
        <w:jc w:val="center"/>
        <w:rPr>
          <w:rFonts w:ascii="Times New Roman" w:eastAsia="Times New Roman" w:hAnsi="Times New Roman" w:cs="Times New Roman"/>
          <w:sz w:val="22"/>
          <w:szCs w:val="22"/>
        </w:rPr>
      </w:pPr>
    </w:p>
    <w:p w14:paraId="6FBB788F" w14:textId="77777777" w:rsidR="008805C0" w:rsidRDefault="00531787">
      <w:pPr>
        <w:pStyle w:val="Body"/>
        <w:tabs>
          <w:tab w:val="clear" w:pos="576"/>
          <w:tab w:val="clear" w:pos="1008"/>
          <w:tab w:val="clear" w:pos="1440"/>
          <w:tab w:val="clear" w:pos="1872"/>
          <w:tab w:val="clear" w:pos="2304"/>
          <w:tab w:val="clear" w:pos="2736"/>
        </w:tabs>
        <w:spacing w:before="0" w:after="0"/>
        <w:jc w:val="left"/>
      </w:pPr>
      <w:r>
        <w:rPr>
          <w:rFonts w:ascii="Arial Unicode MS" w:hAnsi="Arial Unicode MS"/>
          <w:sz w:val="28"/>
          <w:szCs w:val="28"/>
        </w:rPr>
        <w:lastRenderedPageBreak/>
        <w:br w:type="page"/>
      </w:r>
    </w:p>
    <w:p w14:paraId="060CFE5D" w14:textId="77777777" w:rsidR="008805C0" w:rsidRDefault="008805C0">
      <w:pPr>
        <w:pStyle w:val="Body"/>
        <w:rPr>
          <w:rStyle w:val="reflex3-block"/>
        </w:rPr>
      </w:pPr>
    </w:p>
    <w:p w14:paraId="3B86E55D" w14:textId="77777777" w:rsidR="008805C0" w:rsidRDefault="00531787">
      <w:pPr>
        <w:pStyle w:val="Body"/>
        <w:tabs>
          <w:tab w:val="left" w:pos="5040"/>
        </w:tabs>
        <w:spacing w:before="240" w:after="240" w:line="360" w:lineRule="auto"/>
        <w:jc w:val="center"/>
        <w:outlineLvl w:val="2"/>
        <w:rPr>
          <w:b/>
          <w:bCs/>
          <w:sz w:val="28"/>
          <w:szCs w:val="28"/>
        </w:rPr>
      </w:pPr>
      <w:r>
        <w:rPr>
          <w:b/>
          <w:bCs/>
          <w:sz w:val="28"/>
          <w:szCs w:val="28"/>
          <w:lang w:val="de-DE"/>
        </w:rPr>
        <w:t>REASONS FOR DECISION</w:t>
      </w:r>
    </w:p>
    <w:p w14:paraId="411A07BD" w14:textId="77777777" w:rsidR="008805C0" w:rsidRDefault="00531787">
      <w:pPr>
        <w:pStyle w:val="Body"/>
        <w:spacing w:before="480" w:after="240" w:line="360" w:lineRule="auto"/>
        <w:rPr>
          <w:b/>
          <w:bCs/>
        </w:rPr>
      </w:pPr>
      <w:r>
        <w:rPr>
          <w:b/>
          <w:bCs/>
          <w:lang w:val="en-US"/>
        </w:rPr>
        <w:t>INTRODUCTION</w:t>
      </w:r>
    </w:p>
    <w:p w14:paraId="1EA7A72B" w14:textId="77777777" w:rsidR="008805C0" w:rsidRDefault="00531787">
      <w:pPr>
        <w:pStyle w:val="Body"/>
        <w:numPr>
          <w:ilvl w:val="0"/>
          <w:numId w:val="2"/>
        </w:numPr>
        <w:spacing w:before="240" w:after="240" w:line="360" w:lineRule="auto"/>
        <w:rPr>
          <w:lang w:val="en-US"/>
        </w:rPr>
      </w:pPr>
      <w:r>
        <w:rPr>
          <w:b/>
          <w:bCs/>
          <w:lang w:val="en-US"/>
        </w:rPr>
        <w:t>Soheil</w:t>
      </w:r>
      <w:r>
        <w:rPr>
          <w:b/>
          <w:bCs/>
          <w:spacing w:val="0"/>
          <w:lang w:val="en-US"/>
        </w:rPr>
        <w:t xml:space="preserve"> </w:t>
      </w:r>
      <w:proofErr w:type="spellStart"/>
      <w:r>
        <w:rPr>
          <w:b/>
          <w:bCs/>
          <w:spacing w:val="0"/>
          <w:lang w:val="en-US"/>
        </w:rPr>
        <w:t>Mohib</w:t>
      </w:r>
      <w:proofErr w:type="spellEnd"/>
      <w:r>
        <w:rPr>
          <w:spacing w:val="0"/>
          <w:lang w:val="en-US"/>
        </w:rPr>
        <w:t xml:space="preserve"> (the Appellant)</w:t>
      </w:r>
      <w:r>
        <w:rPr>
          <w:b/>
          <w:bCs/>
          <w:spacing w:val="0"/>
          <w:lang w:val="en-US"/>
        </w:rPr>
        <w:t>,</w:t>
      </w:r>
      <w:r>
        <w:rPr>
          <w:spacing w:val="0"/>
          <w:lang w:val="en-US"/>
        </w:rPr>
        <w:t xml:space="preserve"> is a citizen of Pakistan. He appeals the decision of the Refugee Protection Division (RPD) rendered on March 9, 2020, rejecting his claim filed pursuant to sections 96 and 97 of the </w:t>
      </w:r>
      <w:r>
        <w:rPr>
          <w:i/>
          <w:iCs/>
          <w:spacing w:val="0"/>
          <w:lang w:val="en-US"/>
        </w:rPr>
        <w:t>Immigration and Refugee Protection Act</w:t>
      </w:r>
      <w:r>
        <w:rPr>
          <w:spacing w:val="0"/>
          <w:lang w:val="en-US"/>
        </w:rPr>
        <w:t xml:space="preserve"> (the </w:t>
      </w:r>
      <w:r>
        <w:rPr>
          <w:i/>
          <w:iCs/>
          <w:spacing w:val="0"/>
          <w:lang w:val="en-US"/>
        </w:rPr>
        <w:t>Act</w:t>
      </w:r>
      <w:r>
        <w:rPr>
          <w:spacing w:val="0"/>
          <w:lang w:val="en-US"/>
        </w:rPr>
        <w:t>).</w:t>
      </w:r>
    </w:p>
    <w:p w14:paraId="20C4D75E" w14:textId="77777777" w:rsidR="008805C0" w:rsidRDefault="00531787">
      <w:pPr>
        <w:pStyle w:val="Body"/>
        <w:numPr>
          <w:ilvl w:val="0"/>
          <w:numId w:val="2"/>
        </w:numPr>
        <w:spacing w:before="240" w:after="240" w:line="360" w:lineRule="auto"/>
        <w:rPr>
          <w:b/>
          <w:bCs/>
          <w:lang w:val="en-US"/>
        </w:rPr>
      </w:pPr>
      <w:r>
        <w:rPr>
          <w:spacing w:val="0"/>
          <w:lang w:val="en-US"/>
        </w:rPr>
        <w:t xml:space="preserve">The RPD found that the </w:t>
      </w:r>
      <w:r>
        <w:rPr>
          <w:spacing w:val="0"/>
          <w:lang w:val="en-US"/>
        </w:rPr>
        <w:t>Appellant was not credible, as to the basis of his claim, due to several inconsistencies and omissions in his evidence, as well as vague and evasive testimony on areas central to his claim. The RPD also concluded that the Appellant’s failure to apply for a</w:t>
      </w:r>
      <w:r>
        <w:rPr>
          <w:spacing w:val="0"/>
          <w:lang w:val="en-US"/>
        </w:rPr>
        <w:t>sylum in the USA shows a lack of subjective fear. The Appellant submits that the panel erred in its credibility analysis and by rejecting his supporting documentation. The Appellant asks the Refugee Appeals Division (RAD) to grant the appeal or to return t</w:t>
      </w:r>
      <w:r>
        <w:rPr>
          <w:spacing w:val="0"/>
          <w:lang w:val="en-US"/>
        </w:rPr>
        <w:t>he file to the RPD for re-determination.</w:t>
      </w:r>
    </w:p>
    <w:p w14:paraId="3A86F436" w14:textId="77777777" w:rsidR="008805C0" w:rsidRDefault="00531787">
      <w:pPr>
        <w:pStyle w:val="Body"/>
        <w:tabs>
          <w:tab w:val="clear" w:pos="576"/>
          <w:tab w:val="clear" w:pos="1008"/>
          <w:tab w:val="clear" w:pos="1440"/>
          <w:tab w:val="clear" w:pos="1872"/>
          <w:tab w:val="clear" w:pos="2304"/>
          <w:tab w:val="clear" w:pos="2736"/>
          <w:tab w:val="left" w:pos="720"/>
        </w:tabs>
        <w:spacing w:before="480" w:after="240" w:line="360" w:lineRule="auto"/>
        <w:jc w:val="left"/>
        <w:rPr>
          <w:b/>
          <w:bCs/>
          <w:spacing w:val="0"/>
        </w:rPr>
      </w:pPr>
      <w:r>
        <w:rPr>
          <w:b/>
          <w:bCs/>
          <w:spacing w:val="0"/>
          <w:lang w:val="en-US"/>
        </w:rPr>
        <w:t>OVERVIEW</w:t>
      </w:r>
    </w:p>
    <w:p w14:paraId="665384E5" w14:textId="77777777" w:rsidR="008805C0" w:rsidRDefault="00531787">
      <w:pPr>
        <w:pStyle w:val="Body"/>
        <w:numPr>
          <w:ilvl w:val="0"/>
          <w:numId w:val="3"/>
        </w:numPr>
        <w:spacing w:line="360" w:lineRule="auto"/>
        <w:rPr>
          <w:lang w:val="en-US"/>
        </w:rPr>
      </w:pPr>
      <w:r>
        <w:rPr>
          <w:spacing w:val="0"/>
          <w:lang w:val="en-US"/>
        </w:rPr>
        <w:t>The Appellant fears persecution from members of his family, in-laws, religious persons as well as from the police because he had an extramarital relationship with a transgender person named Sasha. The Appel</w:t>
      </w:r>
      <w:r>
        <w:rPr>
          <w:spacing w:val="0"/>
          <w:lang w:val="en-US"/>
        </w:rPr>
        <w:t>lant alleges that he is only attracted to transgender persons who transitioned from male to female.</w:t>
      </w:r>
    </w:p>
    <w:p w14:paraId="2D1E37C2" w14:textId="77777777" w:rsidR="008805C0" w:rsidRDefault="00531787">
      <w:pPr>
        <w:pStyle w:val="Body"/>
        <w:numPr>
          <w:ilvl w:val="0"/>
          <w:numId w:val="3"/>
        </w:numPr>
        <w:spacing w:line="360" w:lineRule="auto"/>
        <w:rPr>
          <w:lang w:val="en-US"/>
        </w:rPr>
      </w:pPr>
      <w:r>
        <w:rPr>
          <w:spacing w:val="0"/>
          <w:lang w:val="en-US"/>
        </w:rPr>
        <w:t>The Appellant alleges that after his relationship was discovered in mid-October 2012 by his wife and brother-in-law, he suffered several incidents of retali</w:t>
      </w:r>
      <w:r>
        <w:rPr>
          <w:spacing w:val="0"/>
          <w:lang w:val="en-US"/>
        </w:rPr>
        <w:t>ation. He received death threats, was beaten several times and a fatwa was issued against him. He was also arrested and tortured by the police. His transgender partner was raped by the assailants. The Appellant was also tied up and thrown in deep water and</w:t>
      </w:r>
      <w:r>
        <w:rPr>
          <w:spacing w:val="0"/>
          <w:lang w:val="en-US"/>
        </w:rPr>
        <w:t xml:space="preserve"> saved by a passerby. He decided to leave for Saudi Arabia on Saturday, March 9</w:t>
      </w:r>
      <w:proofErr w:type="gramStart"/>
      <w:r>
        <w:rPr>
          <w:spacing w:val="0"/>
          <w:lang w:val="en-US"/>
        </w:rPr>
        <w:t xml:space="preserve"> 2012</w:t>
      </w:r>
      <w:proofErr w:type="gramEnd"/>
      <w:r>
        <w:rPr>
          <w:spacing w:val="0"/>
          <w:lang w:val="en-US"/>
        </w:rPr>
        <w:t>. On June 3, 2014, the Appellant went to USA. He came to Canada on Friday, June 18</w:t>
      </w:r>
      <w:proofErr w:type="gramStart"/>
      <w:r>
        <w:rPr>
          <w:spacing w:val="0"/>
          <w:lang w:val="en-US"/>
        </w:rPr>
        <w:t xml:space="preserve"> 2018</w:t>
      </w:r>
      <w:proofErr w:type="gramEnd"/>
      <w:r>
        <w:rPr>
          <w:spacing w:val="0"/>
          <w:lang w:val="en-US"/>
        </w:rPr>
        <w:t>, and asked for asylum.</w:t>
      </w:r>
    </w:p>
    <w:p w14:paraId="7B4DDCE6" w14:textId="77777777" w:rsidR="008805C0" w:rsidRDefault="00531787">
      <w:pPr>
        <w:pStyle w:val="Body"/>
        <w:numPr>
          <w:ilvl w:val="0"/>
          <w:numId w:val="3"/>
        </w:numPr>
        <w:spacing w:line="360" w:lineRule="auto"/>
        <w:rPr>
          <w:lang w:val="en-US"/>
        </w:rPr>
      </w:pPr>
      <w:r>
        <w:rPr>
          <w:spacing w:val="0"/>
          <w:lang w:val="en-US"/>
        </w:rPr>
        <w:t>At the hearing, the Appellant testified that he commenced a r</w:t>
      </w:r>
      <w:r>
        <w:rPr>
          <w:spacing w:val="0"/>
          <w:lang w:val="en-US"/>
        </w:rPr>
        <w:t xml:space="preserve">elationship with a transgender person in Canada. </w:t>
      </w:r>
    </w:p>
    <w:p w14:paraId="75205212" w14:textId="77777777" w:rsidR="008805C0" w:rsidRDefault="00531787">
      <w:pPr>
        <w:pStyle w:val="Body"/>
        <w:tabs>
          <w:tab w:val="left" w:pos="720"/>
        </w:tabs>
        <w:spacing w:before="480" w:after="240" w:line="360" w:lineRule="auto"/>
        <w:jc w:val="left"/>
        <w:rPr>
          <w:b/>
          <w:bCs/>
        </w:rPr>
      </w:pPr>
      <w:r>
        <w:rPr>
          <w:b/>
          <w:bCs/>
          <w:lang w:val="en-US"/>
        </w:rPr>
        <w:lastRenderedPageBreak/>
        <w:t>DECISION</w:t>
      </w:r>
    </w:p>
    <w:p w14:paraId="73F979BE" w14:textId="77777777" w:rsidR="008805C0" w:rsidRDefault="00531787">
      <w:pPr>
        <w:pStyle w:val="Body"/>
        <w:numPr>
          <w:ilvl w:val="0"/>
          <w:numId w:val="3"/>
        </w:numPr>
        <w:spacing w:before="240" w:after="240" w:line="360" w:lineRule="auto"/>
        <w:rPr>
          <w:lang w:val="en-US"/>
        </w:rPr>
      </w:pPr>
      <w:r>
        <w:rPr>
          <w:spacing w:val="0"/>
          <w:lang w:val="en-US"/>
        </w:rPr>
        <w:t>Based on my independent analysis of all the evidence on the file, including the recording of the hearing, I find that the RPD erred in its credibility assessment. Therefore, I set aside the RPD det</w:t>
      </w:r>
      <w:r>
        <w:rPr>
          <w:spacing w:val="0"/>
          <w:lang w:val="en-US"/>
        </w:rPr>
        <w:t>ermination and declare the Appellant a Convention refugee.</w:t>
      </w:r>
    </w:p>
    <w:p w14:paraId="44C05BF1" w14:textId="77777777" w:rsidR="008805C0" w:rsidRDefault="00531787">
      <w:pPr>
        <w:pStyle w:val="Body"/>
        <w:numPr>
          <w:ilvl w:val="0"/>
          <w:numId w:val="3"/>
        </w:numPr>
        <w:spacing w:before="240" w:after="240" w:line="360" w:lineRule="auto"/>
        <w:rPr>
          <w:lang w:val="en-US"/>
        </w:rPr>
      </w:pPr>
      <w:r>
        <w:rPr>
          <w:spacing w:val="0"/>
          <w:lang w:val="en-US"/>
        </w:rPr>
        <w:t>The appeal is allowed.</w:t>
      </w:r>
    </w:p>
    <w:p w14:paraId="22941860" w14:textId="77777777" w:rsidR="008805C0" w:rsidRDefault="00531787">
      <w:pPr>
        <w:pStyle w:val="Body"/>
        <w:tabs>
          <w:tab w:val="clear" w:pos="576"/>
          <w:tab w:val="clear" w:pos="1008"/>
          <w:tab w:val="clear" w:pos="1440"/>
          <w:tab w:val="clear" w:pos="1872"/>
          <w:tab w:val="clear" w:pos="2304"/>
          <w:tab w:val="clear" w:pos="2736"/>
          <w:tab w:val="left" w:pos="720"/>
        </w:tabs>
        <w:spacing w:before="480" w:after="240" w:line="360" w:lineRule="auto"/>
        <w:ind w:left="360" w:hanging="360"/>
        <w:jc w:val="left"/>
        <w:rPr>
          <w:rStyle w:val="reflex3-block"/>
        </w:rPr>
      </w:pPr>
      <w:r>
        <w:rPr>
          <w:b/>
          <w:bCs/>
          <w:lang w:val="en-US"/>
        </w:rPr>
        <w:t>STANDARD OF REVIEW</w:t>
      </w:r>
    </w:p>
    <w:p w14:paraId="2677DCF7" w14:textId="77777777" w:rsidR="008805C0" w:rsidRDefault="00531787">
      <w:pPr>
        <w:pStyle w:val="Body"/>
        <w:numPr>
          <w:ilvl w:val="0"/>
          <w:numId w:val="3"/>
        </w:numPr>
        <w:spacing w:before="240" w:after="240" w:line="360" w:lineRule="auto"/>
        <w:rPr>
          <w:lang w:val="en-US"/>
        </w:rPr>
      </w:pPr>
      <w:r>
        <w:rPr>
          <w:spacing w:val="0"/>
          <w:lang w:val="en-US"/>
        </w:rPr>
        <w:t>The RAD is required to independently assess all the evidence and determine whether the RPD was correct in relation to each alleged error of law, fact or mi</w:t>
      </w:r>
      <w:r>
        <w:rPr>
          <w:spacing w:val="0"/>
          <w:lang w:val="en-US"/>
        </w:rPr>
        <w:t>xed fact and law. Although in exceptional situations where the RPD had a meaningful advantage, the RAD can defer to its findings. In this case, the applicable standard of review is that of correctness.</w:t>
      </w:r>
      <w:r>
        <w:rPr>
          <w:spacing w:val="0"/>
          <w:vertAlign w:val="superscript"/>
          <w:lang w:val="en-US"/>
        </w:rPr>
        <w:endnoteReference w:id="2"/>
      </w:r>
    </w:p>
    <w:p w14:paraId="5F64AB26" w14:textId="77777777" w:rsidR="008805C0" w:rsidRDefault="00531787">
      <w:pPr>
        <w:pStyle w:val="Body"/>
        <w:spacing w:before="480" w:after="240" w:line="360" w:lineRule="auto"/>
        <w:jc w:val="left"/>
        <w:rPr>
          <w:rStyle w:val="None"/>
          <w:b/>
          <w:bCs/>
        </w:rPr>
      </w:pPr>
      <w:r>
        <w:rPr>
          <w:rStyle w:val="None"/>
          <w:b/>
          <w:bCs/>
          <w:lang w:val="en-US"/>
        </w:rPr>
        <w:t xml:space="preserve">ANALYSIS </w:t>
      </w:r>
    </w:p>
    <w:p w14:paraId="3406AC38" w14:textId="77777777" w:rsidR="008805C0" w:rsidRDefault="00531787">
      <w:pPr>
        <w:pStyle w:val="Body"/>
        <w:spacing w:before="240" w:after="240" w:line="360" w:lineRule="auto"/>
        <w:jc w:val="left"/>
        <w:rPr>
          <w:rStyle w:val="None"/>
          <w:b/>
          <w:bCs/>
        </w:rPr>
      </w:pPr>
      <w:r>
        <w:rPr>
          <w:rStyle w:val="None"/>
          <w:b/>
          <w:bCs/>
          <w:lang w:val="en-US"/>
        </w:rPr>
        <w:t xml:space="preserve">Credibility </w:t>
      </w:r>
    </w:p>
    <w:p w14:paraId="7F09AAE5" w14:textId="77777777" w:rsidR="008805C0" w:rsidRDefault="00531787">
      <w:pPr>
        <w:pStyle w:val="Body"/>
        <w:numPr>
          <w:ilvl w:val="0"/>
          <w:numId w:val="3"/>
        </w:numPr>
        <w:spacing w:before="240" w:after="240" w:line="360" w:lineRule="auto"/>
        <w:rPr>
          <w:lang w:val="en-US"/>
        </w:rPr>
      </w:pPr>
      <w:r>
        <w:rPr>
          <w:rStyle w:val="None"/>
          <w:spacing w:val="0"/>
          <w:lang w:val="en-US"/>
        </w:rPr>
        <w:t xml:space="preserve">Generally, a claimant’s </w:t>
      </w:r>
      <w:r>
        <w:rPr>
          <w:rStyle w:val="None"/>
          <w:spacing w:val="0"/>
          <w:lang w:val="en-US"/>
        </w:rPr>
        <w:t>evidence given under oath is presumed to be truthful, unless there are valid reasons to doubt it. In this case, I am of the view that the RPD erred in its credibility assessment. The irregularities identified by the RPD, in the Appellant’s evidence, are no</w:t>
      </w:r>
      <w:r>
        <w:rPr>
          <w:rStyle w:val="None"/>
          <w:spacing w:val="0"/>
          <w:lang w:val="en-US"/>
        </w:rPr>
        <w:t>t sufficient to undermine the Appellant’s credibility as to his sexual orientation.</w:t>
      </w:r>
    </w:p>
    <w:p w14:paraId="30EE0921" w14:textId="77777777" w:rsidR="008805C0" w:rsidRDefault="00531787">
      <w:pPr>
        <w:pStyle w:val="Body"/>
        <w:numPr>
          <w:ilvl w:val="0"/>
          <w:numId w:val="3"/>
        </w:numPr>
        <w:spacing w:line="360" w:lineRule="auto"/>
        <w:rPr>
          <w:lang w:val="en-US"/>
        </w:rPr>
      </w:pPr>
      <w:r>
        <w:rPr>
          <w:rStyle w:val="None"/>
          <w:spacing w:val="0"/>
          <w:lang w:val="en-US"/>
        </w:rPr>
        <w:t>The RPD identified the following problems, with the Appellant’s evidence, and concluded that the Appellant was not credible as to his sexual orientation:</w:t>
      </w:r>
    </w:p>
    <w:p w14:paraId="36E10D3B" w14:textId="77777777" w:rsidR="008805C0" w:rsidRDefault="00531787">
      <w:pPr>
        <w:pStyle w:val="ListParagraph"/>
        <w:numPr>
          <w:ilvl w:val="0"/>
          <w:numId w:val="5"/>
        </w:numPr>
        <w:spacing w:before="240" w:after="240" w:line="360" w:lineRule="auto"/>
        <w:jc w:val="both"/>
        <w:rPr>
          <w:rFonts w:ascii="Times New Roman" w:hAnsi="Times New Roman"/>
          <w:sz w:val="24"/>
          <w:szCs w:val="24"/>
        </w:rPr>
      </w:pPr>
      <w:r>
        <w:rPr>
          <w:rStyle w:val="None"/>
          <w:rFonts w:ascii="Times New Roman" w:hAnsi="Times New Roman"/>
          <w:sz w:val="24"/>
          <w:szCs w:val="24"/>
        </w:rPr>
        <w:t>the Appellant fail</w:t>
      </w:r>
      <w:r>
        <w:rPr>
          <w:rStyle w:val="None"/>
          <w:rFonts w:ascii="Times New Roman" w:hAnsi="Times New Roman"/>
          <w:sz w:val="24"/>
          <w:szCs w:val="24"/>
        </w:rPr>
        <w:t>ed to submit a support letter from his current partner in Montr</w:t>
      </w:r>
      <w:r>
        <w:rPr>
          <w:rStyle w:val="None"/>
          <w:rFonts w:ascii="Times New Roman" w:hAnsi="Times New Roman"/>
          <w:sz w:val="24"/>
          <w:szCs w:val="24"/>
        </w:rPr>
        <w:t>é</w:t>
      </w:r>
      <w:r>
        <w:rPr>
          <w:rStyle w:val="None"/>
          <w:rFonts w:ascii="Times New Roman" w:hAnsi="Times New Roman"/>
          <w:sz w:val="24"/>
          <w:szCs w:val="24"/>
        </w:rPr>
        <w:t xml:space="preserve">al or have that person appear as a witness at the </w:t>
      </w:r>
      <w:proofErr w:type="gramStart"/>
      <w:r>
        <w:rPr>
          <w:rStyle w:val="None"/>
          <w:rFonts w:ascii="Times New Roman" w:hAnsi="Times New Roman"/>
          <w:sz w:val="24"/>
          <w:szCs w:val="24"/>
        </w:rPr>
        <w:t>hearing;</w:t>
      </w:r>
      <w:proofErr w:type="gramEnd"/>
    </w:p>
    <w:p w14:paraId="72C56CE4" w14:textId="77777777" w:rsidR="008805C0" w:rsidRDefault="00531787">
      <w:pPr>
        <w:pStyle w:val="ListParagraph"/>
        <w:numPr>
          <w:ilvl w:val="0"/>
          <w:numId w:val="5"/>
        </w:numPr>
        <w:spacing w:before="240" w:after="240" w:line="360" w:lineRule="auto"/>
        <w:jc w:val="both"/>
        <w:rPr>
          <w:rFonts w:ascii="Times New Roman" w:hAnsi="Times New Roman"/>
          <w:sz w:val="24"/>
          <w:szCs w:val="24"/>
        </w:rPr>
      </w:pPr>
      <w:r>
        <w:rPr>
          <w:rStyle w:val="None"/>
          <w:rFonts w:ascii="Times New Roman" w:hAnsi="Times New Roman"/>
          <w:sz w:val="24"/>
          <w:szCs w:val="24"/>
        </w:rPr>
        <w:t xml:space="preserve">the Appellant provided vague and evasive testimony regarding the aspects he liked about his transgender girlfriends and the </w:t>
      </w:r>
      <w:r>
        <w:rPr>
          <w:rStyle w:val="None"/>
          <w:rFonts w:ascii="Times New Roman" w:hAnsi="Times New Roman"/>
          <w:sz w:val="24"/>
          <w:szCs w:val="24"/>
        </w:rPr>
        <w:t xml:space="preserve">process of acceptance of his sexual </w:t>
      </w:r>
      <w:proofErr w:type="gramStart"/>
      <w:r>
        <w:rPr>
          <w:rStyle w:val="None"/>
          <w:rFonts w:ascii="Times New Roman" w:hAnsi="Times New Roman"/>
          <w:sz w:val="24"/>
          <w:szCs w:val="24"/>
        </w:rPr>
        <w:t>orientation;</w:t>
      </w:r>
      <w:proofErr w:type="gramEnd"/>
    </w:p>
    <w:p w14:paraId="1AEF6C94" w14:textId="77777777" w:rsidR="008805C0" w:rsidRDefault="00531787">
      <w:pPr>
        <w:pStyle w:val="ListParagraph"/>
        <w:numPr>
          <w:ilvl w:val="0"/>
          <w:numId w:val="5"/>
        </w:numPr>
        <w:spacing w:before="240" w:after="240" w:line="360" w:lineRule="auto"/>
        <w:jc w:val="both"/>
        <w:rPr>
          <w:rFonts w:ascii="Times New Roman" w:hAnsi="Times New Roman"/>
          <w:sz w:val="24"/>
          <w:szCs w:val="24"/>
        </w:rPr>
      </w:pPr>
      <w:r>
        <w:rPr>
          <w:rStyle w:val="None"/>
          <w:rFonts w:ascii="Times New Roman" w:hAnsi="Times New Roman"/>
          <w:sz w:val="24"/>
          <w:szCs w:val="24"/>
        </w:rPr>
        <w:lastRenderedPageBreak/>
        <w:t>the Appellant provided contradictory information about the first time that he had sexual intercourse with Sasha, mentioning, at first, that it was in November 2011, and later saying that it was, in fact, pri</w:t>
      </w:r>
      <w:r>
        <w:rPr>
          <w:rStyle w:val="None"/>
          <w:rFonts w:ascii="Times New Roman" w:hAnsi="Times New Roman"/>
          <w:sz w:val="24"/>
          <w:szCs w:val="24"/>
        </w:rPr>
        <w:t xml:space="preserve">or to </w:t>
      </w:r>
      <w:proofErr w:type="gramStart"/>
      <w:r>
        <w:rPr>
          <w:rStyle w:val="None"/>
          <w:rFonts w:ascii="Times New Roman" w:hAnsi="Times New Roman"/>
          <w:sz w:val="24"/>
          <w:szCs w:val="24"/>
        </w:rPr>
        <w:t>that;</w:t>
      </w:r>
      <w:proofErr w:type="gramEnd"/>
    </w:p>
    <w:p w14:paraId="6E252615" w14:textId="77777777" w:rsidR="008805C0" w:rsidRDefault="00531787">
      <w:pPr>
        <w:pStyle w:val="ListParagraph"/>
        <w:numPr>
          <w:ilvl w:val="0"/>
          <w:numId w:val="5"/>
        </w:numPr>
        <w:spacing w:before="240" w:after="240" w:line="360" w:lineRule="auto"/>
        <w:jc w:val="both"/>
        <w:rPr>
          <w:rFonts w:ascii="Times New Roman" w:hAnsi="Times New Roman"/>
          <w:sz w:val="24"/>
          <w:szCs w:val="24"/>
        </w:rPr>
      </w:pPr>
      <w:r>
        <w:rPr>
          <w:rStyle w:val="None"/>
          <w:rFonts w:ascii="Times New Roman" w:hAnsi="Times New Roman"/>
          <w:sz w:val="24"/>
          <w:szCs w:val="24"/>
        </w:rPr>
        <w:t xml:space="preserve">the Appellant omitted to write, in his Basis of claim form (BOC), that after he was caught with Sasha by the watchman at his place of work, his colleagues threatened to kill </w:t>
      </w:r>
      <w:proofErr w:type="gramStart"/>
      <w:r>
        <w:rPr>
          <w:rStyle w:val="None"/>
          <w:rFonts w:ascii="Times New Roman" w:hAnsi="Times New Roman"/>
          <w:sz w:val="24"/>
          <w:szCs w:val="24"/>
        </w:rPr>
        <w:t>him;</w:t>
      </w:r>
      <w:proofErr w:type="gramEnd"/>
    </w:p>
    <w:p w14:paraId="2232D5F0" w14:textId="77777777" w:rsidR="008805C0" w:rsidRDefault="00531787">
      <w:pPr>
        <w:pStyle w:val="ListParagraph"/>
        <w:numPr>
          <w:ilvl w:val="0"/>
          <w:numId w:val="5"/>
        </w:numPr>
        <w:spacing w:before="240" w:after="480" w:line="360" w:lineRule="auto"/>
        <w:jc w:val="both"/>
        <w:rPr>
          <w:rFonts w:ascii="Times New Roman" w:hAnsi="Times New Roman"/>
          <w:sz w:val="24"/>
          <w:szCs w:val="24"/>
        </w:rPr>
      </w:pPr>
      <w:r>
        <w:rPr>
          <w:rStyle w:val="None"/>
          <w:rFonts w:ascii="Times New Roman" w:hAnsi="Times New Roman"/>
          <w:sz w:val="24"/>
          <w:szCs w:val="24"/>
        </w:rPr>
        <w:t>the Appellant failed to make efforts and take steps to claim asyl</w:t>
      </w:r>
      <w:r>
        <w:rPr>
          <w:rStyle w:val="None"/>
          <w:rFonts w:ascii="Times New Roman" w:hAnsi="Times New Roman"/>
          <w:sz w:val="24"/>
          <w:szCs w:val="24"/>
        </w:rPr>
        <w:t>um or obtain status in the USA over a period of four years and delayed coming to Canada to apply for asylum.</w:t>
      </w:r>
    </w:p>
    <w:p w14:paraId="134617A8" w14:textId="77777777" w:rsidR="008805C0" w:rsidRDefault="00531787">
      <w:pPr>
        <w:pStyle w:val="Body"/>
        <w:numPr>
          <w:ilvl w:val="0"/>
          <w:numId w:val="6"/>
        </w:numPr>
        <w:spacing w:before="240" w:after="240" w:line="360" w:lineRule="auto"/>
        <w:rPr>
          <w:lang w:val="en-US"/>
        </w:rPr>
      </w:pPr>
      <w:r>
        <w:rPr>
          <w:rStyle w:val="None"/>
          <w:spacing w:val="0"/>
          <w:lang w:val="en-US"/>
        </w:rPr>
        <w:t>The RPD rejected the supporting documentation submitted by the Appellant, in light of the credibility issues identified above and because it did no</w:t>
      </w:r>
      <w:r>
        <w:rPr>
          <w:rStyle w:val="None"/>
          <w:spacing w:val="0"/>
          <w:lang w:val="en-US"/>
        </w:rPr>
        <w:t>t, in itself, establish, the Appellant’s sexual orientation.</w:t>
      </w:r>
    </w:p>
    <w:p w14:paraId="030635BE" w14:textId="77777777" w:rsidR="008805C0" w:rsidRDefault="00531787">
      <w:pPr>
        <w:pStyle w:val="Body"/>
        <w:tabs>
          <w:tab w:val="clear" w:pos="576"/>
          <w:tab w:val="clear" w:pos="1008"/>
          <w:tab w:val="clear" w:pos="1872"/>
          <w:tab w:val="clear" w:pos="2304"/>
          <w:tab w:val="clear" w:pos="2736"/>
          <w:tab w:val="left" w:pos="6660"/>
        </w:tabs>
        <w:spacing w:before="240" w:after="240" w:line="360" w:lineRule="auto"/>
        <w:rPr>
          <w:rStyle w:val="None"/>
          <w:i/>
          <w:iCs/>
          <w:spacing w:val="0"/>
        </w:rPr>
      </w:pPr>
      <w:r>
        <w:rPr>
          <w:rStyle w:val="None"/>
          <w:i/>
          <w:iCs/>
          <w:spacing w:val="0"/>
          <w:lang w:val="en-US"/>
        </w:rPr>
        <w:t xml:space="preserve">     The Appellant’s relationships with transgender women</w:t>
      </w:r>
    </w:p>
    <w:p w14:paraId="204865DC" w14:textId="77777777" w:rsidR="008805C0" w:rsidRDefault="00531787">
      <w:pPr>
        <w:pStyle w:val="Body"/>
        <w:numPr>
          <w:ilvl w:val="0"/>
          <w:numId w:val="3"/>
        </w:numPr>
        <w:spacing w:before="240" w:after="240" w:line="360" w:lineRule="auto"/>
        <w:rPr>
          <w:lang w:val="en-US"/>
        </w:rPr>
      </w:pPr>
      <w:r>
        <w:rPr>
          <w:rStyle w:val="None"/>
          <w:spacing w:val="0"/>
          <w:lang w:val="en-US"/>
        </w:rPr>
        <w:t>The Appellant contests the RPD conclusions and submits that it was unreasonable for the panel to draw a negative credibility inference be</w:t>
      </w:r>
      <w:r>
        <w:rPr>
          <w:rStyle w:val="None"/>
          <w:spacing w:val="0"/>
          <w:lang w:val="en-US"/>
        </w:rPr>
        <w:t>cause his partner Meena was not available to testify at the hearing, given that the Appellant submitted proof of communication between himself and his girlfriend establishing that she had accepted to have sexual relationships with him and that she was tran</w:t>
      </w:r>
      <w:r>
        <w:rPr>
          <w:rStyle w:val="None"/>
          <w:spacing w:val="0"/>
          <w:lang w:val="en-US"/>
        </w:rPr>
        <w:t>sgender.</w:t>
      </w:r>
    </w:p>
    <w:p w14:paraId="1478665E" w14:textId="77777777" w:rsidR="008805C0" w:rsidRDefault="00531787">
      <w:pPr>
        <w:pStyle w:val="Body"/>
        <w:numPr>
          <w:ilvl w:val="0"/>
          <w:numId w:val="3"/>
        </w:numPr>
        <w:spacing w:before="240" w:after="240" w:line="360" w:lineRule="auto"/>
        <w:rPr>
          <w:lang w:val="en-US"/>
        </w:rPr>
      </w:pPr>
      <w:r>
        <w:rPr>
          <w:rStyle w:val="None"/>
          <w:spacing w:val="0"/>
          <w:lang w:val="en-US"/>
        </w:rPr>
        <w:t xml:space="preserve">I note that the Appellant submitted a series of messages from his Badoo account spanning over the course of two years, namely from 2018 to 2020. Although, the conversations are rather brief, they do establish that Meena had informed the Appellant </w:t>
      </w:r>
      <w:r>
        <w:rPr>
          <w:rStyle w:val="None"/>
          <w:spacing w:val="0"/>
          <w:lang w:val="en-US"/>
        </w:rPr>
        <w:t>that she is transgender and that they agreed to have sex together. The messages further show that the appellant had asked Meena to accompany him to the hearing, but she refused because she had to work that day. Based on the above, I am of the view that the</w:t>
      </w:r>
      <w:r>
        <w:rPr>
          <w:rStyle w:val="None"/>
          <w:spacing w:val="0"/>
          <w:lang w:val="en-US"/>
        </w:rPr>
        <w:t xml:space="preserve"> RPD erred in concluding that the Appellant’s credibility was negatively impacted. </w:t>
      </w:r>
    </w:p>
    <w:p w14:paraId="69FBEC87" w14:textId="77777777" w:rsidR="008805C0" w:rsidRDefault="00531787">
      <w:pPr>
        <w:pStyle w:val="Body"/>
        <w:numPr>
          <w:ilvl w:val="0"/>
          <w:numId w:val="3"/>
        </w:numPr>
        <w:spacing w:before="240" w:after="240" w:line="360" w:lineRule="auto"/>
        <w:rPr>
          <w:lang w:val="en-US"/>
        </w:rPr>
      </w:pPr>
      <w:r>
        <w:rPr>
          <w:rStyle w:val="None"/>
          <w:spacing w:val="0"/>
          <w:lang w:val="en-US"/>
        </w:rPr>
        <w:t>The Appellant submits that he provided reasonable answers in response to the panel’s question as to what he liked about his girlfriends. It is normal that he spoke about th</w:t>
      </w:r>
      <w:r>
        <w:rPr>
          <w:rStyle w:val="None"/>
          <w:spacing w:val="0"/>
          <w:lang w:val="en-US"/>
        </w:rPr>
        <w:t xml:space="preserve">eir </w:t>
      </w:r>
      <w:r>
        <w:rPr>
          <w:rStyle w:val="None"/>
          <w:spacing w:val="0"/>
          <w:lang w:val="en-US"/>
        </w:rPr>
        <w:lastRenderedPageBreak/>
        <w:t>physical appearance, when meeting them for the first time, because he did not really know them yet.</w:t>
      </w:r>
    </w:p>
    <w:p w14:paraId="00ADE2B8" w14:textId="77777777" w:rsidR="008805C0" w:rsidRDefault="00531787">
      <w:pPr>
        <w:pStyle w:val="Body"/>
        <w:numPr>
          <w:ilvl w:val="0"/>
          <w:numId w:val="3"/>
        </w:numPr>
        <w:spacing w:before="240" w:after="240" w:line="360" w:lineRule="auto"/>
        <w:rPr>
          <w:lang w:val="en-US"/>
        </w:rPr>
      </w:pPr>
      <w:r>
        <w:rPr>
          <w:rStyle w:val="None"/>
          <w:spacing w:val="0"/>
          <w:lang w:val="en-US"/>
        </w:rPr>
        <w:t>I agree that the panel’s questions could be understood as relating to what attracted the Appellant to Sasha and Meena when they first met. As such, I am</w:t>
      </w:r>
      <w:r>
        <w:rPr>
          <w:rStyle w:val="None"/>
          <w:spacing w:val="0"/>
          <w:lang w:val="en-US"/>
        </w:rPr>
        <w:t xml:space="preserve"> satisfied with the Appellant’s answers which describe their physical appearance. The Appellant also explained that his girlfriends were serious and reliable, and that he liked how Meena talked and behaved. While I note that the panel was expecting more de</w:t>
      </w:r>
      <w:r>
        <w:rPr>
          <w:rStyle w:val="None"/>
          <w:spacing w:val="0"/>
          <w:lang w:val="en-US"/>
        </w:rPr>
        <w:t>tailed testimony on this topic, such as feelings and emotions of joy, stress, or betrayal and how these emotions changed over time, I am of the view that the panel should have been more explicit with its questions and the areas that it wished the Appellant</w:t>
      </w:r>
      <w:r>
        <w:rPr>
          <w:rStyle w:val="None"/>
          <w:spacing w:val="0"/>
          <w:lang w:val="en-US"/>
        </w:rPr>
        <w:t xml:space="preserve"> to expand upon.</w:t>
      </w:r>
    </w:p>
    <w:p w14:paraId="29DF60FF" w14:textId="77777777" w:rsidR="008805C0" w:rsidRDefault="00531787">
      <w:pPr>
        <w:pStyle w:val="Body"/>
        <w:numPr>
          <w:ilvl w:val="0"/>
          <w:numId w:val="3"/>
        </w:numPr>
        <w:spacing w:before="240" w:after="240" w:line="360" w:lineRule="auto"/>
        <w:rPr>
          <w:lang w:val="en-US"/>
        </w:rPr>
      </w:pPr>
      <w:r>
        <w:rPr>
          <w:rStyle w:val="None"/>
          <w:spacing w:val="0"/>
          <w:lang w:val="en-US"/>
        </w:rPr>
        <w:t>I find that the lack of details, in this case, does not support a negative credibility finding. I agree with the Appellant that he provided reasonable details of his sexual orientation, especially in light of the fact that this is a delica</w:t>
      </w:r>
      <w:r>
        <w:rPr>
          <w:rStyle w:val="None"/>
          <w:spacing w:val="0"/>
          <w:lang w:val="en-US"/>
        </w:rPr>
        <w:t>te subject which is difficult to rationalize. The Sexual Orientation and Gender Identity and Expression (SOGIE) Guidelines warn that decision makers should not rely on stereotypes or inappropriate assumptions in adjudicating cases involving SOGIE.</w:t>
      </w:r>
      <w:r>
        <w:rPr>
          <w:rStyle w:val="None"/>
          <w:spacing w:val="0"/>
          <w:vertAlign w:val="superscript"/>
          <w:lang w:val="en-US"/>
        </w:rPr>
        <w:endnoteReference w:id="3"/>
      </w:r>
    </w:p>
    <w:p w14:paraId="7998DA4C" w14:textId="0FB7BCE8" w:rsidR="008805C0" w:rsidRDefault="00531787">
      <w:pPr>
        <w:pStyle w:val="Body"/>
        <w:tabs>
          <w:tab w:val="clear" w:pos="576"/>
          <w:tab w:val="clear" w:pos="1008"/>
          <w:tab w:val="clear" w:pos="1872"/>
          <w:tab w:val="clear" w:pos="2304"/>
          <w:tab w:val="clear" w:pos="2736"/>
          <w:tab w:val="left" w:pos="6660"/>
        </w:tabs>
        <w:spacing w:before="240" w:after="240" w:line="360" w:lineRule="auto"/>
        <w:rPr>
          <w:rStyle w:val="None"/>
          <w:i/>
          <w:iCs/>
          <w:spacing w:val="0"/>
        </w:rPr>
      </w:pPr>
      <w:r>
        <w:rPr>
          <w:rStyle w:val="None"/>
          <w:i/>
          <w:iCs/>
          <w:spacing w:val="0"/>
          <w:lang w:val="en-US"/>
        </w:rPr>
        <w:t xml:space="preserve">     S</w:t>
      </w:r>
      <w:r>
        <w:rPr>
          <w:rStyle w:val="None"/>
          <w:i/>
          <w:iCs/>
          <w:spacing w:val="0"/>
          <w:lang w:val="en-US"/>
        </w:rPr>
        <w:t xml:space="preserve">exual intercourse with </w:t>
      </w:r>
      <w:r w:rsidR="00395024">
        <w:rPr>
          <w:rStyle w:val="None"/>
          <w:i/>
          <w:iCs/>
          <w:spacing w:val="0"/>
          <w:lang w:val="en-US"/>
        </w:rPr>
        <w:t>Sasha</w:t>
      </w:r>
    </w:p>
    <w:p w14:paraId="77FB7BC5" w14:textId="77777777" w:rsidR="008805C0" w:rsidRDefault="00531787">
      <w:pPr>
        <w:pStyle w:val="Body"/>
        <w:numPr>
          <w:ilvl w:val="0"/>
          <w:numId w:val="3"/>
        </w:numPr>
        <w:spacing w:before="240" w:after="240" w:line="360" w:lineRule="auto"/>
        <w:rPr>
          <w:lang w:val="en-US"/>
        </w:rPr>
      </w:pPr>
      <w:r>
        <w:rPr>
          <w:rStyle w:val="None"/>
          <w:spacing w:val="0"/>
          <w:lang w:val="en-US"/>
        </w:rPr>
        <w:t>I agree with the RPD that the Appellant was inconsistent, in his testimony, as to the first time he had sex with Sasha, saying that it was in October 2012 at his place of work, while in his BOC he declared that the first time wa</w:t>
      </w:r>
      <w:r>
        <w:rPr>
          <w:rStyle w:val="None"/>
          <w:spacing w:val="0"/>
          <w:lang w:val="en-US"/>
        </w:rPr>
        <w:t xml:space="preserve">s in May 2010 in Lahore, after returning from Dubai. The Appellant explained that he thought that the RPD wanted to know about the time they were caught having sex. </w:t>
      </w:r>
    </w:p>
    <w:p w14:paraId="05C83B37" w14:textId="77777777" w:rsidR="008805C0" w:rsidRDefault="00531787">
      <w:pPr>
        <w:pStyle w:val="Body"/>
        <w:numPr>
          <w:ilvl w:val="0"/>
          <w:numId w:val="3"/>
        </w:numPr>
        <w:spacing w:before="240" w:after="240" w:line="360" w:lineRule="auto"/>
        <w:rPr>
          <w:lang w:val="en-US"/>
        </w:rPr>
      </w:pPr>
      <w:r>
        <w:rPr>
          <w:rStyle w:val="None"/>
          <w:spacing w:val="0"/>
          <w:lang w:val="en-US"/>
        </w:rPr>
        <w:t>I give the Appellant the benefit of the doubt as it could have been a simple misunderstand</w:t>
      </w:r>
      <w:r>
        <w:rPr>
          <w:rStyle w:val="None"/>
          <w:spacing w:val="0"/>
          <w:lang w:val="en-US"/>
        </w:rPr>
        <w:t>ing. The Appellant explained in detail, in his BOC, how he met Sasha and how each event unfolded in Pakistan after their relationship was discovered. He was consistent with respect of the main events in his story. I have no reason to impugn the Appellant’s</w:t>
      </w:r>
      <w:r>
        <w:rPr>
          <w:rStyle w:val="None"/>
          <w:spacing w:val="0"/>
          <w:lang w:val="en-US"/>
        </w:rPr>
        <w:t xml:space="preserve"> overall credibility based on the noted inconsistency. The RPD erred on this point.</w:t>
      </w:r>
    </w:p>
    <w:p w14:paraId="6D947030" w14:textId="77777777" w:rsidR="008805C0" w:rsidRDefault="00531787">
      <w:pPr>
        <w:pStyle w:val="Body"/>
        <w:tabs>
          <w:tab w:val="clear" w:pos="576"/>
          <w:tab w:val="clear" w:pos="1008"/>
          <w:tab w:val="clear" w:pos="1872"/>
          <w:tab w:val="clear" w:pos="2304"/>
          <w:tab w:val="clear" w:pos="2736"/>
          <w:tab w:val="left" w:pos="6660"/>
        </w:tabs>
        <w:spacing w:before="240" w:after="240" w:line="360" w:lineRule="auto"/>
        <w:rPr>
          <w:rStyle w:val="None"/>
          <w:i/>
          <w:iCs/>
          <w:spacing w:val="0"/>
        </w:rPr>
      </w:pPr>
      <w:r>
        <w:rPr>
          <w:rStyle w:val="None"/>
          <w:i/>
          <w:iCs/>
          <w:spacing w:val="0"/>
          <w:lang w:val="en-US"/>
        </w:rPr>
        <w:lastRenderedPageBreak/>
        <w:t xml:space="preserve">     First threats against the claimant</w:t>
      </w:r>
    </w:p>
    <w:p w14:paraId="72A0DF04" w14:textId="77777777" w:rsidR="008805C0" w:rsidRDefault="00531787">
      <w:pPr>
        <w:pStyle w:val="Body"/>
        <w:numPr>
          <w:ilvl w:val="0"/>
          <w:numId w:val="3"/>
        </w:numPr>
        <w:spacing w:before="240" w:after="240" w:line="360" w:lineRule="auto"/>
        <w:rPr>
          <w:lang w:val="en-US"/>
        </w:rPr>
      </w:pPr>
      <w:r>
        <w:rPr>
          <w:rStyle w:val="None"/>
          <w:spacing w:val="0"/>
          <w:lang w:val="en-US"/>
        </w:rPr>
        <w:t>The Appellant submits that his BOC makes mention that he’s colleagues, at work, were informed of his relationship with Sasha and tha</w:t>
      </w:r>
      <w:r>
        <w:rPr>
          <w:rStyle w:val="None"/>
          <w:spacing w:val="0"/>
          <w:lang w:val="en-US"/>
        </w:rPr>
        <w:t>t he was told that what he is doing is bad, and that no one would know or do anything if he were to be killed.</w:t>
      </w:r>
    </w:p>
    <w:p w14:paraId="209886C7" w14:textId="77777777" w:rsidR="008805C0" w:rsidRDefault="00531787">
      <w:pPr>
        <w:pStyle w:val="Body"/>
        <w:numPr>
          <w:ilvl w:val="0"/>
          <w:numId w:val="3"/>
        </w:numPr>
        <w:spacing w:before="240" w:after="240" w:line="360" w:lineRule="auto"/>
        <w:rPr>
          <w:lang w:val="en-US"/>
        </w:rPr>
      </w:pPr>
      <w:r>
        <w:rPr>
          <w:rStyle w:val="None"/>
          <w:spacing w:val="0"/>
          <w:lang w:val="en-US"/>
        </w:rPr>
        <w:t>The RPD is correct in saying that the Appellant did not mention that his colleagues threatened to kill him after finding out about his relationship with Sasha. However, I note that the Appellant did mention that his colleagues “blamed” him and said that wh</w:t>
      </w:r>
      <w:r>
        <w:rPr>
          <w:rStyle w:val="None"/>
          <w:spacing w:val="0"/>
          <w:lang w:val="en-US"/>
        </w:rPr>
        <w:t>at he was doing is “a big sin”. He declared that he was forced to quit his job as a result.</w:t>
      </w:r>
    </w:p>
    <w:p w14:paraId="1677508B" w14:textId="77777777" w:rsidR="008805C0" w:rsidRDefault="00531787">
      <w:pPr>
        <w:pStyle w:val="Body"/>
        <w:numPr>
          <w:ilvl w:val="0"/>
          <w:numId w:val="3"/>
        </w:numPr>
        <w:spacing w:before="240" w:after="240" w:line="360" w:lineRule="auto"/>
        <w:rPr>
          <w:lang w:val="en-US"/>
        </w:rPr>
      </w:pPr>
      <w:r>
        <w:rPr>
          <w:rStyle w:val="None"/>
          <w:spacing w:val="0"/>
          <w:lang w:val="en-US"/>
        </w:rPr>
        <w:t>He also indicated that he ran into some of his colleagues, at the market, four weeks later and they “started chanting that shamed on both of you living like husband</w:t>
      </w:r>
      <w:r>
        <w:rPr>
          <w:rStyle w:val="None"/>
          <w:spacing w:val="0"/>
          <w:lang w:val="en-US"/>
        </w:rPr>
        <w:t xml:space="preserve"> and wife. And you both are </w:t>
      </w:r>
      <w:proofErr w:type="spellStart"/>
      <w:r>
        <w:rPr>
          <w:rStyle w:val="None"/>
          <w:spacing w:val="0"/>
          <w:lang w:val="en-US"/>
        </w:rPr>
        <w:t>Hijray</w:t>
      </w:r>
      <w:proofErr w:type="spellEnd"/>
      <w:r>
        <w:rPr>
          <w:rStyle w:val="None"/>
          <w:spacing w:val="0"/>
          <w:lang w:val="en-US"/>
        </w:rPr>
        <w:t xml:space="preserve">.” </w:t>
      </w:r>
    </w:p>
    <w:p w14:paraId="7A59AC93" w14:textId="77777777" w:rsidR="008805C0" w:rsidRDefault="00531787">
      <w:pPr>
        <w:pStyle w:val="Body"/>
        <w:numPr>
          <w:ilvl w:val="0"/>
          <w:numId w:val="3"/>
        </w:numPr>
        <w:spacing w:before="240" w:after="240" w:line="360" w:lineRule="auto"/>
        <w:rPr>
          <w:lang w:val="en-US"/>
        </w:rPr>
      </w:pPr>
      <w:r>
        <w:rPr>
          <w:rStyle w:val="None"/>
          <w:spacing w:val="0"/>
          <w:lang w:val="en-US"/>
        </w:rPr>
        <w:t>While the Appellant may have misrepresented in his testimony that his colleagues told him that he would be “killed”, he was consistent as to the fact that they found out that he had a sexual relationship with a transge</w:t>
      </w:r>
      <w:r>
        <w:rPr>
          <w:rStyle w:val="None"/>
          <w:spacing w:val="0"/>
          <w:lang w:val="en-US"/>
        </w:rPr>
        <w:t xml:space="preserve">nder woman and they publicly shamed him for it, which in Pakistan can cost someone their life, as explained below (see paras.33-37). He was clear that he left his job the next day because he felt that his life was threatened. </w:t>
      </w:r>
    </w:p>
    <w:p w14:paraId="5D3E7990" w14:textId="77777777" w:rsidR="008805C0" w:rsidRDefault="00531787">
      <w:pPr>
        <w:pStyle w:val="Body"/>
        <w:numPr>
          <w:ilvl w:val="0"/>
          <w:numId w:val="3"/>
        </w:numPr>
        <w:spacing w:before="240" w:after="240" w:line="360" w:lineRule="auto"/>
        <w:rPr>
          <w:lang w:val="en-US"/>
        </w:rPr>
      </w:pPr>
      <w:r>
        <w:rPr>
          <w:rStyle w:val="None"/>
          <w:spacing w:val="0"/>
          <w:lang w:val="en-US"/>
        </w:rPr>
        <w:t>I am of the view that the inc</w:t>
      </w:r>
      <w:r>
        <w:rPr>
          <w:rStyle w:val="None"/>
          <w:spacing w:val="0"/>
          <w:lang w:val="en-US"/>
        </w:rPr>
        <w:t>onsistency noted by the RPD, does not detract from the Appellant’s credibility as to his sexual orientation or to the risk the Appellant would face in Pakistan for being a sexual minority.</w:t>
      </w:r>
    </w:p>
    <w:p w14:paraId="40CA7463" w14:textId="77777777" w:rsidR="008805C0" w:rsidRDefault="00531787">
      <w:pPr>
        <w:pStyle w:val="Body"/>
        <w:tabs>
          <w:tab w:val="clear" w:pos="576"/>
          <w:tab w:val="clear" w:pos="1008"/>
          <w:tab w:val="clear" w:pos="1872"/>
          <w:tab w:val="clear" w:pos="2304"/>
          <w:tab w:val="clear" w:pos="2736"/>
          <w:tab w:val="left" w:pos="6660"/>
        </w:tabs>
        <w:spacing w:before="240" w:after="240" w:line="360" w:lineRule="auto"/>
        <w:jc w:val="left"/>
        <w:rPr>
          <w:rStyle w:val="None"/>
          <w:i/>
          <w:iCs/>
          <w:spacing w:val="0"/>
        </w:rPr>
      </w:pPr>
      <w:r>
        <w:rPr>
          <w:rStyle w:val="None"/>
          <w:i/>
          <w:iCs/>
          <w:spacing w:val="0"/>
          <w:lang w:val="en-US"/>
        </w:rPr>
        <w:t xml:space="preserve">     Documentary evidence</w:t>
      </w:r>
    </w:p>
    <w:p w14:paraId="31DFC319" w14:textId="77777777" w:rsidR="008805C0" w:rsidRDefault="00531787">
      <w:pPr>
        <w:pStyle w:val="Body"/>
        <w:numPr>
          <w:ilvl w:val="0"/>
          <w:numId w:val="3"/>
        </w:numPr>
        <w:spacing w:before="240" w:after="240" w:line="360" w:lineRule="auto"/>
        <w:jc w:val="left"/>
        <w:rPr>
          <w:lang w:val="en-US"/>
        </w:rPr>
      </w:pPr>
      <w:r>
        <w:rPr>
          <w:rStyle w:val="None"/>
          <w:spacing w:val="0"/>
          <w:lang w:val="en-US"/>
        </w:rPr>
        <w:t xml:space="preserve">I also agree with the Appellant that the </w:t>
      </w:r>
      <w:r>
        <w:rPr>
          <w:rStyle w:val="None"/>
          <w:spacing w:val="0"/>
          <w:lang w:val="en-US"/>
        </w:rPr>
        <w:t>RPD erred by rejecting:</w:t>
      </w:r>
    </w:p>
    <w:p w14:paraId="704C5458" w14:textId="77777777" w:rsidR="008805C0" w:rsidRDefault="00531787">
      <w:pPr>
        <w:pStyle w:val="ListParagraph"/>
        <w:numPr>
          <w:ilvl w:val="0"/>
          <w:numId w:val="8"/>
        </w:numPr>
        <w:spacing w:before="240" w:after="240" w:line="360" w:lineRule="auto"/>
        <w:rPr>
          <w:rFonts w:ascii="Times New Roman" w:hAnsi="Times New Roman"/>
          <w:sz w:val="24"/>
          <w:szCs w:val="24"/>
        </w:rPr>
      </w:pPr>
      <w:r>
        <w:rPr>
          <w:rStyle w:val="None"/>
          <w:rFonts w:ascii="Times New Roman" w:hAnsi="Times New Roman"/>
          <w:sz w:val="24"/>
          <w:szCs w:val="24"/>
        </w:rPr>
        <w:t xml:space="preserve">the affidavit from his friend Muhammad </w:t>
      </w:r>
      <w:proofErr w:type="gramStart"/>
      <w:r>
        <w:rPr>
          <w:rStyle w:val="None"/>
          <w:rFonts w:ascii="Times New Roman" w:hAnsi="Times New Roman"/>
          <w:sz w:val="24"/>
          <w:szCs w:val="24"/>
        </w:rPr>
        <w:t>Khan;</w:t>
      </w:r>
      <w:proofErr w:type="gramEnd"/>
    </w:p>
    <w:p w14:paraId="3B4CB200" w14:textId="77777777" w:rsidR="008805C0" w:rsidRDefault="00531787">
      <w:pPr>
        <w:pStyle w:val="ListParagraph"/>
        <w:numPr>
          <w:ilvl w:val="0"/>
          <w:numId w:val="9"/>
        </w:numPr>
        <w:spacing w:before="240" w:after="480" w:line="360" w:lineRule="auto"/>
        <w:rPr>
          <w:rFonts w:ascii="Times New Roman" w:hAnsi="Times New Roman"/>
          <w:sz w:val="24"/>
          <w:szCs w:val="24"/>
        </w:rPr>
      </w:pPr>
      <w:r>
        <w:rPr>
          <w:rStyle w:val="None"/>
          <w:rFonts w:ascii="Times New Roman" w:hAnsi="Times New Roman"/>
          <w:sz w:val="24"/>
          <w:szCs w:val="24"/>
        </w:rPr>
        <w:t>the conversations with Meena from 2018 to 2020.</w:t>
      </w:r>
    </w:p>
    <w:p w14:paraId="0855718F" w14:textId="12361DAE" w:rsidR="008805C0" w:rsidRDefault="00531787">
      <w:pPr>
        <w:pStyle w:val="Body"/>
        <w:numPr>
          <w:ilvl w:val="0"/>
          <w:numId w:val="10"/>
        </w:numPr>
        <w:spacing w:before="240" w:after="240" w:line="360" w:lineRule="auto"/>
        <w:rPr>
          <w:lang w:val="en-US"/>
        </w:rPr>
      </w:pPr>
      <w:r>
        <w:rPr>
          <w:rStyle w:val="None"/>
          <w:spacing w:val="0"/>
          <w:lang w:val="en-US"/>
        </w:rPr>
        <w:t>The RPD rejected this corroborative evidence based on the overall credibility problems in the Appellant’s evidence. The panel also conclude</w:t>
      </w:r>
      <w:r>
        <w:rPr>
          <w:rStyle w:val="None"/>
          <w:spacing w:val="0"/>
          <w:lang w:val="en-US"/>
        </w:rPr>
        <w:t xml:space="preserve">d that the online messages with </w:t>
      </w:r>
      <w:r w:rsidR="00DD663F">
        <w:rPr>
          <w:rStyle w:val="None"/>
          <w:spacing w:val="0"/>
          <w:lang w:val="en-US"/>
        </w:rPr>
        <w:t>Meena</w:t>
      </w:r>
      <w:r>
        <w:rPr>
          <w:rStyle w:val="None"/>
          <w:spacing w:val="0"/>
          <w:lang w:val="en-US"/>
        </w:rPr>
        <w:t xml:space="preserve"> do not establish a relationship or a sexual preference for the claimant. </w:t>
      </w:r>
    </w:p>
    <w:p w14:paraId="50F24055" w14:textId="77777777" w:rsidR="008805C0" w:rsidRDefault="00531787">
      <w:pPr>
        <w:pStyle w:val="CGBody"/>
        <w:numPr>
          <w:ilvl w:val="0"/>
          <w:numId w:val="11"/>
        </w:numPr>
        <w:spacing w:before="240"/>
        <w:jc w:val="both"/>
      </w:pPr>
      <w:r>
        <w:rPr>
          <w:rStyle w:val="reflex3-block"/>
        </w:rPr>
        <w:lastRenderedPageBreak/>
        <w:t>I have no reason to impugn the credibility of the affidavit provided by the Appellant’s friend or of the on-line messages, which appear to be aut</w:t>
      </w:r>
      <w:r>
        <w:rPr>
          <w:rStyle w:val="reflex3-block"/>
        </w:rPr>
        <w:t>hentic on their face. Also, as explained above, I overturned the RPD’s non-credibility conclusions based on which the panel relied to reject this evidence.</w:t>
      </w:r>
    </w:p>
    <w:p w14:paraId="789ADE5C" w14:textId="77777777" w:rsidR="008805C0" w:rsidRDefault="00531787">
      <w:pPr>
        <w:pStyle w:val="Body"/>
        <w:numPr>
          <w:ilvl w:val="0"/>
          <w:numId w:val="3"/>
        </w:numPr>
        <w:spacing w:before="240" w:after="240" w:line="360" w:lineRule="auto"/>
        <w:rPr>
          <w:lang w:val="en-US"/>
        </w:rPr>
      </w:pPr>
      <w:r>
        <w:rPr>
          <w:rStyle w:val="None"/>
          <w:spacing w:val="0"/>
          <w:lang w:val="en-US"/>
        </w:rPr>
        <w:t>I find that the affidavit corroborates that the Appellant and Sasha took refuge at his friend’s hous</w:t>
      </w:r>
      <w:r>
        <w:rPr>
          <w:rStyle w:val="None"/>
          <w:spacing w:val="0"/>
          <w:lang w:val="en-US"/>
        </w:rPr>
        <w:t>e, that Sasha was transgender, and that the Appellant called her wife. The RPD erred in assigning no weight to this document.</w:t>
      </w:r>
    </w:p>
    <w:p w14:paraId="68515552" w14:textId="77777777" w:rsidR="008805C0" w:rsidRDefault="00531787">
      <w:pPr>
        <w:pStyle w:val="Body"/>
        <w:numPr>
          <w:ilvl w:val="0"/>
          <w:numId w:val="3"/>
        </w:numPr>
        <w:spacing w:before="240" w:after="240" w:line="360" w:lineRule="auto"/>
        <w:rPr>
          <w:lang w:val="en-US"/>
        </w:rPr>
      </w:pPr>
      <w:r>
        <w:rPr>
          <w:rStyle w:val="None"/>
          <w:spacing w:val="0"/>
          <w:lang w:val="en-US"/>
        </w:rPr>
        <w:t>While the on-line messages are brief and do not allow to establish the extent of the relationship between the Appellant and Sasha,</w:t>
      </w:r>
      <w:r>
        <w:rPr>
          <w:rStyle w:val="None"/>
          <w:spacing w:val="0"/>
          <w:lang w:val="en-US"/>
        </w:rPr>
        <w:t xml:space="preserve"> they do establish that the Appellant knew that Sasha was transgender, and that the Appellant wanted to have sex with her. The RPD erred in assigning no weight to this document.</w:t>
      </w:r>
    </w:p>
    <w:p w14:paraId="13432C31" w14:textId="77777777" w:rsidR="008805C0" w:rsidRDefault="00531787">
      <w:pPr>
        <w:pStyle w:val="Body"/>
        <w:tabs>
          <w:tab w:val="clear" w:pos="576"/>
          <w:tab w:val="clear" w:pos="1008"/>
          <w:tab w:val="clear" w:pos="1872"/>
          <w:tab w:val="clear" w:pos="2304"/>
          <w:tab w:val="clear" w:pos="2736"/>
          <w:tab w:val="left" w:pos="6660"/>
        </w:tabs>
        <w:spacing w:before="240" w:after="240" w:line="360" w:lineRule="auto"/>
        <w:rPr>
          <w:rStyle w:val="None"/>
          <w:i/>
          <w:iCs/>
          <w:spacing w:val="0"/>
        </w:rPr>
      </w:pPr>
      <w:r>
        <w:rPr>
          <w:rStyle w:val="None"/>
          <w:i/>
          <w:iCs/>
          <w:spacing w:val="0"/>
          <w:lang w:val="en-US"/>
        </w:rPr>
        <w:t>Failure to ask for asylum in the United States</w:t>
      </w:r>
    </w:p>
    <w:p w14:paraId="130321E1" w14:textId="77777777" w:rsidR="008805C0" w:rsidRDefault="00531787">
      <w:pPr>
        <w:pStyle w:val="Body"/>
        <w:numPr>
          <w:ilvl w:val="0"/>
          <w:numId w:val="3"/>
        </w:numPr>
        <w:spacing w:before="240" w:after="240" w:line="360" w:lineRule="auto"/>
        <w:rPr>
          <w:lang w:val="en-US"/>
        </w:rPr>
      </w:pPr>
      <w:r>
        <w:rPr>
          <w:rStyle w:val="None"/>
          <w:spacing w:val="0"/>
          <w:lang w:val="en-US"/>
        </w:rPr>
        <w:t xml:space="preserve">Finally, the Appellant </w:t>
      </w:r>
      <w:r>
        <w:rPr>
          <w:rStyle w:val="None"/>
          <w:spacing w:val="0"/>
          <w:lang w:val="en-US"/>
        </w:rPr>
        <w:t>submits that his failure to ask for asylum in USA is not determinative of his credibility. I agree.</w:t>
      </w:r>
    </w:p>
    <w:p w14:paraId="7A37728D" w14:textId="77777777" w:rsidR="008805C0" w:rsidRDefault="00531787">
      <w:pPr>
        <w:pStyle w:val="Body"/>
        <w:numPr>
          <w:ilvl w:val="0"/>
          <w:numId w:val="3"/>
        </w:numPr>
        <w:spacing w:before="240" w:after="240" w:line="360" w:lineRule="auto"/>
        <w:rPr>
          <w:lang w:val="en-US"/>
        </w:rPr>
      </w:pPr>
      <w:r>
        <w:rPr>
          <w:rStyle w:val="None"/>
          <w:spacing w:val="0"/>
          <w:lang w:val="en-US"/>
        </w:rPr>
        <w:t>The Appellant explained that he met with a lawyer who arranged for him a marriage as a way for him to stay in the USA. The Appellant established that he got</w:t>
      </w:r>
      <w:r>
        <w:rPr>
          <w:rStyle w:val="None"/>
          <w:spacing w:val="0"/>
          <w:lang w:val="en-US"/>
        </w:rPr>
        <w:t xml:space="preserve"> married within the first year he got to the USA. His wife thereafter sponsored him to stay in the USA. However, he learned subsequently that his wife was a criminal, and she was sought by the police. His sponsorship application was also rejected in Septem</w:t>
      </w:r>
      <w:r>
        <w:rPr>
          <w:rStyle w:val="None"/>
          <w:spacing w:val="0"/>
          <w:lang w:val="en-US"/>
        </w:rPr>
        <w:t>ber 2016, causing him to lose his legal status in the USA. Although, the Appellant remained illegally in the USA until June 2018, he was no longer eligible, at that time, to apply for asylum, since he exceeded the one-year window for filing an application.</w:t>
      </w:r>
      <w:r>
        <w:rPr>
          <w:rStyle w:val="None"/>
          <w:spacing w:val="0"/>
          <w:vertAlign w:val="superscript"/>
          <w:lang w:val="en-US"/>
        </w:rPr>
        <w:endnoteReference w:id="4"/>
      </w:r>
    </w:p>
    <w:p w14:paraId="3C3285CE" w14:textId="77777777" w:rsidR="008805C0" w:rsidRDefault="00531787">
      <w:pPr>
        <w:pStyle w:val="Body"/>
        <w:numPr>
          <w:ilvl w:val="0"/>
          <w:numId w:val="3"/>
        </w:numPr>
        <w:spacing w:before="240" w:after="240" w:line="360" w:lineRule="auto"/>
        <w:rPr>
          <w:lang w:val="en-US"/>
        </w:rPr>
      </w:pPr>
      <w:r>
        <w:rPr>
          <w:rStyle w:val="None"/>
          <w:spacing w:val="0"/>
          <w:lang w:val="en-US"/>
        </w:rPr>
        <w:t>Even though the Appellant did not provide a reasonable explanation for not coming to Canada earlier and apply for asylum, I am of the view that this is not determinative of his overall credibility as to his sexual orientation. The RPD erred.</w:t>
      </w:r>
    </w:p>
    <w:p w14:paraId="79440FF7" w14:textId="77777777" w:rsidR="008805C0" w:rsidRDefault="00531787">
      <w:pPr>
        <w:pStyle w:val="Body"/>
        <w:numPr>
          <w:ilvl w:val="0"/>
          <w:numId w:val="3"/>
        </w:numPr>
        <w:spacing w:before="240" w:after="240" w:line="360" w:lineRule="auto"/>
        <w:rPr>
          <w:lang w:val="en-US"/>
        </w:rPr>
      </w:pPr>
      <w:r>
        <w:rPr>
          <w:rStyle w:val="None"/>
          <w:spacing w:val="0"/>
          <w:lang w:val="en-US"/>
        </w:rPr>
        <w:t xml:space="preserve">Based on </w:t>
      </w:r>
      <w:r>
        <w:rPr>
          <w:rStyle w:val="None"/>
          <w:spacing w:val="0"/>
          <w:lang w:val="en-US"/>
        </w:rPr>
        <w:t>the above, I am satisfied that the Appellant has established, on a balance of probabilities, that he is a sexual minority who is attracted to transgender women. The RPD erred in its credibility assessment.</w:t>
      </w:r>
    </w:p>
    <w:p w14:paraId="432578A8" w14:textId="77777777" w:rsidR="008805C0" w:rsidRDefault="00531787">
      <w:pPr>
        <w:pStyle w:val="Body"/>
        <w:tabs>
          <w:tab w:val="clear" w:pos="576"/>
          <w:tab w:val="clear" w:pos="1008"/>
          <w:tab w:val="clear" w:pos="1872"/>
          <w:tab w:val="clear" w:pos="2304"/>
          <w:tab w:val="clear" w:pos="2736"/>
          <w:tab w:val="left" w:pos="6660"/>
        </w:tabs>
        <w:spacing w:before="240" w:after="240" w:line="360" w:lineRule="auto"/>
        <w:rPr>
          <w:rStyle w:val="None"/>
          <w:i/>
          <w:iCs/>
          <w:spacing w:val="0"/>
        </w:rPr>
      </w:pPr>
      <w:bookmarkStart w:id="0" w:name="_Hlk33097490"/>
      <w:r>
        <w:rPr>
          <w:rStyle w:val="None"/>
          <w:i/>
          <w:iCs/>
          <w:spacing w:val="0"/>
          <w:lang w:val="en-US"/>
        </w:rPr>
        <w:lastRenderedPageBreak/>
        <w:t xml:space="preserve">     Prospective risk based on his sexual orientat</w:t>
      </w:r>
      <w:r>
        <w:rPr>
          <w:rStyle w:val="None"/>
          <w:i/>
          <w:iCs/>
          <w:spacing w:val="0"/>
          <w:lang w:val="en-US"/>
        </w:rPr>
        <w:t>ion</w:t>
      </w:r>
    </w:p>
    <w:p w14:paraId="0F929DAD" w14:textId="77777777" w:rsidR="008805C0" w:rsidRDefault="00531787">
      <w:pPr>
        <w:pStyle w:val="Body"/>
        <w:numPr>
          <w:ilvl w:val="0"/>
          <w:numId w:val="3"/>
        </w:numPr>
        <w:spacing w:before="240" w:after="240" w:line="360" w:lineRule="auto"/>
        <w:rPr>
          <w:lang w:val="en-US"/>
        </w:rPr>
      </w:pPr>
      <w:r>
        <w:rPr>
          <w:rStyle w:val="None"/>
          <w:spacing w:val="0"/>
          <w:lang w:val="en-US"/>
        </w:rPr>
        <w:t>The objective country documentation demonstrates that sexual minorities face “severe social stigma”, “discrimination, violence, social boycott and degradation in social class and rank”, and, in some cases, a serious threat to life in Pakistan.</w:t>
      </w:r>
    </w:p>
    <w:p w14:paraId="06B7A4C2" w14:textId="77777777" w:rsidR="008805C0" w:rsidRDefault="00531787">
      <w:pPr>
        <w:pStyle w:val="Body"/>
        <w:numPr>
          <w:ilvl w:val="0"/>
          <w:numId w:val="3"/>
        </w:numPr>
        <w:spacing w:before="240" w:after="240" w:line="360" w:lineRule="auto"/>
        <w:rPr>
          <w:lang w:val="en-US"/>
        </w:rPr>
      </w:pPr>
      <w:r>
        <w:rPr>
          <w:rStyle w:val="None"/>
          <w:lang w:val="en-US"/>
        </w:rPr>
        <w:t xml:space="preserve">The </w:t>
      </w:r>
      <w:proofErr w:type="spellStart"/>
      <w:r>
        <w:rPr>
          <w:rStyle w:val="None"/>
          <w:lang w:val="en-US"/>
        </w:rPr>
        <w:t>Neen</w:t>
      </w:r>
      <w:r>
        <w:rPr>
          <w:rStyle w:val="None"/>
          <w:lang w:val="en-US"/>
        </w:rPr>
        <w:t>gar</w:t>
      </w:r>
      <w:proofErr w:type="spellEnd"/>
      <w:r>
        <w:rPr>
          <w:rStyle w:val="None"/>
          <w:lang w:val="en-US"/>
        </w:rPr>
        <w:t xml:space="preserve"> Society president said that “</w:t>
      </w:r>
      <w:proofErr w:type="spellStart"/>
      <w:r>
        <w:rPr>
          <w:rStyle w:val="None"/>
          <w:lang w:val="en-US"/>
        </w:rPr>
        <w:t>ʻLahore</w:t>
      </w:r>
      <w:proofErr w:type="spellEnd"/>
      <w:r>
        <w:rPr>
          <w:rStyle w:val="None"/>
          <w:lang w:val="en-US"/>
        </w:rPr>
        <w:t xml:space="preserve">, Karachi and Islamabad are more liberal and </w:t>
      </w:r>
      <w:proofErr w:type="spellStart"/>
      <w:r>
        <w:rPr>
          <w:rStyle w:val="None"/>
          <w:lang w:val="en-US"/>
        </w:rPr>
        <w:t>acceptingʼ</w:t>
      </w:r>
      <w:proofErr w:type="spellEnd"/>
      <w:r>
        <w:rPr>
          <w:rStyle w:val="None"/>
          <w:lang w:val="en-US"/>
        </w:rPr>
        <w:t xml:space="preserve"> of LGBT people than other areas of Pakistan, but that no one can openly claim to be gay or lesbian in Pakistan as it can still cost them their life to announce </w:t>
      </w:r>
      <w:r>
        <w:rPr>
          <w:rStyle w:val="None"/>
          <w:lang w:val="en-US"/>
        </w:rPr>
        <w:t xml:space="preserve">their sexuality in </w:t>
      </w:r>
      <w:proofErr w:type="spellStart"/>
      <w:r>
        <w:rPr>
          <w:rStyle w:val="None"/>
          <w:lang w:val="en-US"/>
        </w:rPr>
        <w:t>publicˮ</w:t>
      </w:r>
      <w:proofErr w:type="spellEnd"/>
      <w:r>
        <w:rPr>
          <w:rStyle w:val="None"/>
          <w:lang w:val="en-US"/>
        </w:rPr>
        <w:t xml:space="preserve">. </w:t>
      </w:r>
      <w:r>
        <w:rPr>
          <w:rStyle w:val="None"/>
          <w:vertAlign w:val="superscript"/>
          <w:lang w:val="en-US"/>
        </w:rPr>
        <w:endnoteReference w:id="5"/>
      </w:r>
    </w:p>
    <w:p w14:paraId="4E384EB6" w14:textId="77777777" w:rsidR="008805C0" w:rsidRDefault="00531787">
      <w:pPr>
        <w:pStyle w:val="Body"/>
        <w:numPr>
          <w:ilvl w:val="0"/>
          <w:numId w:val="3"/>
        </w:numPr>
        <w:spacing w:before="240" w:after="240" w:line="360" w:lineRule="auto"/>
        <w:rPr>
          <w:lang w:val="en-US"/>
        </w:rPr>
      </w:pPr>
      <w:r>
        <w:rPr>
          <w:rStyle w:val="None"/>
          <w:lang w:val="en-US"/>
        </w:rPr>
        <w:t xml:space="preserve">According to the Australian DFAT, “LGBTI people in Pakistan face high levels of official […] </w:t>
      </w:r>
      <w:proofErr w:type="spellStart"/>
      <w:r>
        <w:rPr>
          <w:rStyle w:val="None"/>
          <w:lang w:val="en-US"/>
        </w:rPr>
        <w:t>discriminationˮ</w:t>
      </w:r>
      <w:proofErr w:type="spellEnd"/>
      <w:r>
        <w:rPr>
          <w:rStyle w:val="None"/>
          <w:lang w:val="en-US"/>
        </w:rPr>
        <w:t xml:space="preserve">. According to Human Rights Watch, there is “government </w:t>
      </w:r>
      <w:proofErr w:type="spellStart"/>
      <w:r>
        <w:rPr>
          <w:rStyle w:val="None"/>
          <w:lang w:val="en-US"/>
        </w:rPr>
        <w:t>persecutionˮ</w:t>
      </w:r>
      <w:proofErr w:type="spellEnd"/>
      <w:r>
        <w:rPr>
          <w:rStyle w:val="None"/>
          <w:lang w:val="en-US"/>
        </w:rPr>
        <w:t xml:space="preserve"> towards transgender persons.</w:t>
      </w:r>
      <w:r>
        <w:rPr>
          <w:rStyle w:val="None"/>
          <w:vertAlign w:val="superscript"/>
          <w:lang w:val="en-US"/>
        </w:rPr>
        <w:endnoteReference w:id="6"/>
      </w:r>
    </w:p>
    <w:p w14:paraId="61308AB6" w14:textId="77777777" w:rsidR="008805C0" w:rsidRDefault="00531787">
      <w:pPr>
        <w:pStyle w:val="Body"/>
        <w:numPr>
          <w:ilvl w:val="0"/>
          <w:numId w:val="3"/>
        </w:numPr>
        <w:spacing w:before="240" w:after="240" w:line="360" w:lineRule="auto"/>
        <w:rPr>
          <w:lang w:val="en-US"/>
        </w:rPr>
      </w:pPr>
      <w:r>
        <w:rPr>
          <w:rStyle w:val="None"/>
          <w:lang w:val="en-US"/>
        </w:rPr>
        <w:t>According to US C</w:t>
      </w:r>
      <w:r>
        <w:rPr>
          <w:rStyle w:val="None"/>
          <w:lang w:val="en-US"/>
        </w:rPr>
        <w:t xml:space="preserve">ountry Reports 2017, the police “generally refused to take action on cases involving members of the LGBTI </w:t>
      </w:r>
      <w:proofErr w:type="spellStart"/>
      <w:r>
        <w:rPr>
          <w:rStyle w:val="None"/>
          <w:lang w:val="en-US"/>
        </w:rPr>
        <w:t>communityˮ</w:t>
      </w:r>
      <w:proofErr w:type="spellEnd"/>
      <w:r>
        <w:rPr>
          <w:rStyle w:val="None"/>
          <w:lang w:val="en-US"/>
        </w:rPr>
        <w:t>.</w:t>
      </w:r>
      <w:r>
        <w:rPr>
          <w:rStyle w:val="None"/>
          <w:vertAlign w:val="superscript"/>
          <w:lang w:val="en-US"/>
        </w:rPr>
        <w:endnoteReference w:id="7"/>
      </w:r>
      <w:r>
        <w:rPr>
          <w:rStyle w:val="None"/>
          <w:lang w:val="en-US"/>
        </w:rPr>
        <w:t xml:space="preserve"> There are no laws that protect against discrimination on the basis of sexual orientation or gender identity" in Pakistan.</w:t>
      </w:r>
      <w:r>
        <w:rPr>
          <w:rStyle w:val="None"/>
          <w:vertAlign w:val="superscript"/>
          <w:lang w:val="en-US"/>
        </w:rPr>
        <w:endnoteReference w:id="8"/>
      </w:r>
    </w:p>
    <w:p w14:paraId="1E4645DB" w14:textId="77777777" w:rsidR="008805C0" w:rsidRDefault="00531787">
      <w:pPr>
        <w:pStyle w:val="Body"/>
        <w:numPr>
          <w:ilvl w:val="0"/>
          <w:numId w:val="3"/>
        </w:numPr>
        <w:spacing w:before="240" w:after="240" w:line="360" w:lineRule="auto"/>
        <w:rPr>
          <w:lang w:val="en-US"/>
        </w:rPr>
      </w:pPr>
      <w:r>
        <w:rPr>
          <w:rStyle w:val="None"/>
          <w:lang w:val="en-US"/>
        </w:rPr>
        <w:t xml:space="preserve">I am of the </w:t>
      </w:r>
      <w:r>
        <w:rPr>
          <w:rStyle w:val="None"/>
          <w:lang w:val="en-US"/>
        </w:rPr>
        <w:t xml:space="preserve">view that the Appellant will not be able to </w:t>
      </w:r>
      <w:proofErr w:type="gramStart"/>
      <w:r>
        <w:rPr>
          <w:rStyle w:val="None"/>
          <w:lang w:val="en-US"/>
        </w:rPr>
        <w:t>safely and openly live as a sexual minority and have open relationships with transwomen in Pakistan</w:t>
      </w:r>
      <w:proofErr w:type="gramEnd"/>
      <w:r>
        <w:rPr>
          <w:rStyle w:val="None"/>
          <w:lang w:val="en-US"/>
        </w:rPr>
        <w:t xml:space="preserve">. </w:t>
      </w:r>
      <w:r>
        <w:rPr>
          <w:rStyle w:val="None"/>
          <w:spacing w:val="0"/>
          <w:lang w:val="en-US"/>
        </w:rPr>
        <w:t>I find that there is a serious possibility of the Appellant being persecuted for his sexual orientation through</w:t>
      </w:r>
      <w:r>
        <w:rPr>
          <w:rStyle w:val="None"/>
          <w:spacing w:val="0"/>
          <w:lang w:val="en-US"/>
        </w:rPr>
        <w:t xml:space="preserve">out Pakistan and that no adequate state protection is available to him. As a result, I find that the Appellant is a Convention refugees under section 96 of the </w:t>
      </w:r>
      <w:r>
        <w:rPr>
          <w:rStyle w:val="None"/>
          <w:i/>
          <w:iCs/>
          <w:spacing w:val="0"/>
          <w:lang w:val="en-US"/>
        </w:rPr>
        <w:t>Act.</w:t>
      </w:r>
      <w:bookmarkEnd w:id="0"/>
    </w:p>
    <w:p w14:paraId="08F29EF4" w14:textId="77777777" w:rsidR="008805C0" w:rsidRDefault="00531787">
      <w:pPr>
        <w:pStyle w:val="Body"/>
        <w:spacing w:before="480" w:after="240" w:line="360" w:lineRule="auto"/>
        <w:jc w:val="left"/>
        <w:rPr>
          <w:rStyle w:val="None"/>
          <w:b/>
          <w:bCs/>
        </w:rPr>
      </w:pPr>
      <w:r>
        <w:rPr>
          <w:rStyle w:val="None"/>
          <w:b/>
          <w:bCs/>
          <w:lang w:val="en-US"/>
        </w:rPr>
        <w:t>CONCLUSION</w:t>
      </w:r>
    </w:p>
    <w:p w14:paraId="5EC8B98D" w14:textId="77777777" w:rsidR="008805C0" w:rsidRDefault="00531787">
      <w:pPr>
        <w:pStyle w:val="Body"/>
        <w:numPr>
          <w:ilvl w:val="0"/>
          <w:numId w:val="12"/>
        </w:numPr>
        <w:spacing w:line="360" w:lineRule="auto"/>
        <w:jc w:val="left"/>
        <w:rPr>
          <w:lang w:val="en-US"/>
        </w:rPr>
      </w:pPr>
      <w:r>
        <w:rPr>
          <w:rStyle w:val="None"/>
          <w:spacing w:val="0"/>
          <w:lang w:val="en-US"/>
        </w:rPr>
        <w:t xml:space="preserve">Pursuant to </w:t>
      </w:r>
      <w:hyperlink r:id="rId7" w:history="1">
        <w:r>
          <w:rPr>
            <w:rStyle w:val="Hyperlink2"/>
          </w:rPr>
          <w:t>subsection 111(1)</w:t>
        </w:r>
      </w:hyperlink>
      <w:r>
        <w:rPr>
          <w:rStyle w:val="Hyperlink2"/>
        </w:rPr>
        <w:t xml:space="preserve">(b) of the </w:t>
      </w:r>
      <w:hyperlink r:id="rId8" w:history="1">
        <w:r>
          <w:rPr>
            <w:rStyle w:val="Hyperlink3"/>
            <w:rFonts w:eastAsia="Arial Unicode MS"/>
          </w:rPr>
          <w:t>Act</w:t>
        </w:r>
      </w:hyperlink>
      <w:r>
        <w:rPr>
          <w:rStyle w:val="Hyperlink2"/>
        </w:rPr>
        <w:t xml:space="preserve">, the RAD sets aside the RPD’s determination and declares that the Appellant, Soheil </w:t>
      </w:r>
      <w:proofErr w:type="spellStart"/>
      <w:r>
        <w:rPr>
          <w:rStyle w:val="Hyperlink2"/>
        </w:rPr>
        <w:t>Moh</w:t>
      </w:r>
      <w:r>
        <w:rPr>
          <w:rStyle w:val="Hyperlink2"/>
        </w:rPr>
        <w:t>ib</w:t>
      </w:r>
      <w:proofErr w:type="spellEnd"/>
      <w:r>
        <w:rPr>
          <w:rStyle w:val="Hyperlink2"/>
        </w:rPr>
        <w:t>, is a Convention refugee, pursuant to section 96 of the Act.</w:t>
      </w:r>
    </w:p>
    <w:p w14:paraId="558337EE" w14:textId="77777777" w:rsidR="008805C0" w:rsidRDefault="00531787">
      <w:pPr>
        <w:pStyle w:val="Body"/>
        <w:numPr>
          <w:ilvl w:val="0"/>
          <w:numId w:val="12"/>
        </w:numPr>
        <w:spacing w:line="360" w:lineRule="auto"/>
        <w:jc w:val="left"/>
        <w:rPr>
          <w:lang w:val="en-US"/>
        </w:rPr>
      </w:pPr>
      <w:r>
        <w:rPr>
          <w:rStyle w:val="None"/>
          <w:lang w:val="en-US"/>
        </w:rPr>
        <w:t>The appeal is allowed.</w:t>
      </w:r>
    </w:p>
    <w:p w14:paraId="260579E8" w14:textId="77777777" w:rsidR="008805C0" w:rsidRDefault="008805C0">
      <w:pPr>
        <w:pStyle w:val="Body"/>
        <w:tabs>
          <w:tab w:val="clear" w:pos="576"/>
          <w:tab w:val="clear" w:pos="1008"/>
          <w:tab w:val="clear" w:pos="1872"/>
          <w:tab w:val="clear" w:pos="2304"/>
          <w:tab w:val="clear" w:pos="2736"/>
          <w:tab w:val="left" w:pos="709"/>
          <w:tab w:val="left" w:pos="6660"/>
        </w:tabs>
        <w:spacing w:line="360" w:lineRule="auto"/>
        <w:jc w:val="left"/>
        <w:rPr>
          <w:rStyle w:val="None"/>
          <w:spacing w:val="0"/>
          <w:lang w:val="en-US"/>
        </w:rPr>
      </w:pPr>
    </w:p>
    <w:p w14:paraId="3B2287F5" w14:textId="77777777" w:rsidR="008805C0" w:rsidRDefault="008805C0">
      <w:pPr>
        <w:pStyle w:val="Body"/>
        <w:tabs>
          <w:tab w:val="clear" w:pos="576"/>
          <w:tab w:val="clear" w:pos="1008"/>
          <w:tab w:val="clear" w:pos="1872"/>
          <w:tab w:val="clear" w:pos="2304"/>
          <w:tab w:val="clear" w:pos="2736"/>
          <w:tab w:val="left" w:pos="709"/>
          <w:tab w:val="left" w:pos="6660"/>
        </w:tabs>
        <w:spacing w:line="360" w:lineRule="auto"/>
        <w:jc w:val="left"/>
        <w:rPr>
          <w:rStyle w:val="None"/>
          <w:spacing w:val="0"/>
          <w:lang w:val="en-US"/>
        </w:rPr>
      </w:pPr>
    </w:p>
    <w:p w14:paraId="36C69134" w14:textId="77777777" w:rsidR="008805C0" w:rsidRDefault="008805C0">
      <w:pPr>
        <w:pStyle w:val="Body"/>
        <w:tabs>
          <w:tab w:val="left" w:pos="4320"/>
          <w:tab w:val="left" w:pos="5529"/>
          <w:tab w:val="left" w:pos="6096"/>
        </w:tabs>
        <w:spacing w:before="0" w:after="0"/>
        <w:jc w:val="left"/>
        <w:rPr>
          <w:rStyle w:val="None"/>
          <w:shd w:val="clear" w:color="auto" w:fill="FFFF00"/>
        </w:rPr>
      </w:pPr>
    </w:p>
    <w:p w14:paraId="7ABD5180" w14:textId="77777777" w:rsidR="008805C0" w:rsidRDefault="008805C0">
      <w:pPr>
        <w:pStyle w:val="Body"/>
        <w:spacing w:before="0" w:after="0" w:line="360" w:lineRule="auto"/>
        <w:rPr>
          <w:rStyle w:val="None"/>
          <w:shd w:val="clear" w:color="auto" w:fill="FFFF00"/>
          <w:lang w:val="en-US"/>
        </w:rPr>
      </w:pPr>
    </w:p>
    <w:tbl>
      <w:tblPr>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627"/>
        <w:gridCol w:w="4733"/>
      </w:tblGrid>
      <w:tr w:rsidR="008805C0" w14:paraId="3AF8DB84"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4BECA4FE" w14:textId="77777777" w:rsidR="008805C0" w:rsidRDefault="00531787">
            <w:pPr>
              <w:pStyle w:val="Body"/>
              <w:spacing w:after="0"/>
              <w:jc w:val="right"/>
            </w:pPr>
            <w:r>
              <w:rPr>
                <w:rStyle w:val="None"/>
                <w:lang w:val="en-US"/>
              </w:rPr>
              <w:t>(</w:t>
            </w:r>
            <w:r>
              <w:rPr>
                <w:rStyle w:val="None"/>
                <w:i/>
                <w:iCs/>
                <w:lang w:val="en-US"/>
              </w:rPr>
              <w:t>signed</w:t>
            </w:r>
            <w:r>
              <w:rPr>
                <w:rStyle w:val="None"/>
                <w:lang w:val="en-US"/>
              </w:rPr>
              <w:t>)</w:t>
            </w:r>
          </w:p>
        </w:tc>
        <w:tc>
          <w:tcPr>
            <w:tcW w:w="4733" w:type="dxa"/>
            <w:tcBorders>
              <w:top w:val="nil"/>
              <w:left w:val="nil"/>
              <w:bottom w:val="single" w:sz="6" w:space="0" w:color="000000"/>
              <w:right w:val="nil"/>
            </w:tcBorders>
            <w:shd w:val="clear" w:color="auto" w:fill="auto"/>
            <w:tcMar>
              <w:top w:w="80" w:type="dxa"/>
              <w:left w:w="80" w:type="dxa"/>
              <w:bottom w:w="80" w:type="dxa"/>
              <w:right w:w="80" w:type="dxa"/>
            </w:tcMar>
          </w:tcPr>
          <w:p w14:paraId="50828A1A" w14:textId="77777777" w:rsidR="008805C0" w:rsidRDefault="00531787">
            <w:pPr>
              <w:pStyle w:val="Body"/>
              <w:spacing w:before="0" w:after="0"/>
              <w:jc w:val="center"/>
            </w:pPr>
            <w:r>
              <w:rPr>
                <w:rStyle w:val="None"/>
                <w:lang w:val="en-US"/>
              </w:rPr>
              <w:t>Bianca E. Suciu</w:t>
            </w:r>
          </w:p>
        </w:tc>
      </w:tr>
      <w:tr w:rsidR="008805C0" w14:paraId="0A418A6B"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780A2925" w14:textId="77777777" w:rsidR="008805C0" w:rsidRDefault="008805C0"/>
        </w:tc>
        <w:tc>
          <w:tcPr>
            <w:tcW w:w="4733" w:type="dxa"/>
            <w:tcBorders>
              <w:top w:val="single" w:sz="6" w:space="0" w:color="000000"/>
              <w:left w:val="nil"/>
              <w:bottom w:val="nil"/>
              <w:right w:val="nil"/>
            </w:tcBorders>
            <w:shd w:val="clear" w:color="auto" w:fill="auto"/>
            <w:tcMar>
              <w:top w:w="80" w:type="dxa"/>
              <w:left w:w="80" w:type="dxa"/>
              <w:bottom w:w="80" w:type="dxa"/>
              <w:right w:w="80" w:type="dxa"/>
            </w:tcMar>
          </w:tcPr>
          <w:p w14:paraId="38D97A9C" w14:textId="77777777" w:rsidR="008805C0" w:rsidRDefault="00531787">
            <w:pPr>
              <w:pStyle w:val="Body"/>
              <w:spacing w:before="0" w:after="240"/>
              <w:jc w:val="center"/>
            </w:pPr>
            <w:r>
              <w:rPr>
                <w:rStyle w:val="None"/>
                <w:b/>
                <w:bCs/>
                <w:lang w:val="en-US"/>
              </w:rPr>
              <w:t>M</w:t>
            </w:r>
            <w:r>
              <w:rPr>
                <w:rStyle w:val="None"/>
                <w:b/>
                <w:bCs/>
                <w:vertAlign w:val="superscript"/>
                <w:lang w:val="en-US"/>
              </w:rPr>
              <w:t>e</w:t>
            </w:r>
            <w:r>
              <w:rPr>
                <w:rStyle w:val="None"/>
                <w:b/>
                <w:bCs/>
                <w:lang w:val="en-US"/>
              </w:rPr>
              <w:t xml:space="preserve"> Bianca Eleonora Suciu</w:t>
            </w:r>
          </w:p>
        </w:tc>
      </w:tr>
      <w:tr w:rsidR="008805C0" w14:paraId="56DB8C7B"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0F67D2E3" w14:textId="77777777" w:rsidR="008805C0" w:rsidRDefault="008805C0"/>
        </w:tc>
        <w:tc>
          <w:tcPr>
            <w:tcW w:w="4733" w:type="dxa"/>
            <w:tcBorders>
              <w:top w:val="nil"/>
              <w:left w:val="nil"/>
              <w:bottom w:val="single" w:sz="6" w:space="0" w:color="000000"/>
              <w:right w:val="nil"/>
            </w:tcBorders>
            <w:shd w:val="clear" w:color="auto" w:fill="auto"/>
            <w:tcMar>
              <w:top w:w="80" w:type="dxa"/>
              <w:left w:w="80" w:type="dxa"/>
              <w:bottom w:w="80" w:type="dxa"/>
              <w:right w:w="80" w:type="dxa"/>
            </w:tcMar>
          </w:tcPr>
          <w:p w14:paraId="1D1201CB" w14:textId="77777777" w:rsidR="008805C0" w:rsidRDefault="00531787">
            <w:pPr>
              <w:pStyle w:val="Body"/>
              <w:jc w:val="center"/>
            </w:pPr>
            <w:r>
              <w:rPr>
                <w:rStyle w:val="None"/>
                <w:lang w:val="en-US"/>
              </w:rPr>
              <w:t>March 30, 2021</w:t>
            </w:r>
          </w:p>
        </w:tc>
      </w:tr>
      <w:tr w:rsidR="008805C0" w14:paraId="5C2E2CB6" w14:textId="77777777">
        <w:trPr>
          <w:trHeight w:hRule="exact" w:val="407"/>
          <w:jc w:val="center"/>
        </w:trPr>
        <w:tc>
          <w:tcPr>
            <w:tcW w:w="4627" w:type="dxa"/>
            <w:tcBorders>
              <w:top w:val="nil"/>
              <w:left w:val="nil"/>
              <w:bottom w:val="nil"/>
              <w:right w:val="nil"/>
            </w:tcBorders>
            <w:shd w:val="clear" w:color="auto" w:fill="auto"/>
            <w:tcMar>
              <w:top w:w="80" w:type="dxa"/>
              <w:left w:w="80" w:type="dxa"/>
              <w:bottom w:w="80" w:type="dxa"/>
              <w:right w:w="80" w:type="dxa"/>
            </w:tcMar>
          </w:tcPr>
          <w:p w14:paraId="3FA92C51" w14:textId="77777777" w:rsidR="008805C0" w:rsidRDefault="008805C0"/>
        </w:tc>
        <w:tc>
          <w:tcPr>
            <w:tcW w:w="4733" w:type="dxa"/>
            <w:tcBorders>
              <w:top w:val="single" w:sz="6" w:space="0" w:color="000000"/>
              <w:left w:val="nil"/>
              <w:bottom w:val="nil"/>
              <w:right w:val="nil"/>
            </w:tcBorders>
            <w:shd w:val="clear" w:color="auto" w:fill="auto"/>
            <w:tcMar>
              <w:top w:w="80" w:type="dxa"/>
              <w:left w:w="80" w:type="dxa"/>
              <w:bottom w:w="80" w:type="dxa"/>
              <w:right w:w="80" w:type="dxa"/>
            </w:tcMar>
          </w:tcPr>
          <w:p w14:paraId="5815ECE7" w14:textId="77777777" w:rsidR="008805C0" w:rsidRDefault="00531787">
            <w:pPr>
              <w:pStyle w:val="Body"/>
              <w:spacing w:before="0" w:after="0"/>
              <w:jc w:val="center"/>
            </w:pPr>
            <w:r>
              <w:rPr>
                <w:rStyle w:val="None"/>
                <w:b/>
                <w:bCs/>
                <w:lang w:val="en-US"/>
              </w:rPr>
              <w:t>Date</w:t>
            </w:r>
          </w:p>
        </w:tc>
      </w:tr>
    </w:tbl>
    <w:p w14:paraId="7276374D" w14:textId="77777777" w:rsidR="008805C0" w:rsidRDefault="008805C0">
      <w:pPr>
        <w:pStyle w:val="Body"/>
        <w:widowControl w:val="0"/>
        <w:spacing w:before="0" w:after="0"/>
        <w:jc w:val="center"/>
        <w:rPr>
          <w:rStyle w:val="None"/>
          <w:shd w:val="clear" w:color="auto" w:fill="FFFF00"/>
          <w:lang w:val="en-US"/>
        </w:rPr>
      </w:pPr>
    </w:p>
    <w:p w14:paraId="3C348879" w14:textId="77777777" w:rsidR="008805C0" w:rsidRDefault="008805C0">
      <w:pPr>
        <w:pStyle w:val="Body"/>
        <w:tabs>
          <w:tab w:val="left" w:pos="4320"/>
          <w:tab w:val="left" w:pos="5529"/>
          <w:tab w:val="left" w:pos="6096"/>
        </w:tabs>
        <w:spacing w:before="0" w:after="0"/>
        <w:jc w:val="left"/>
        <w:rPr>
          <w:rStyle w:val="reflex3-block"/>
          <w:lang w:val="en-US"/>
        </w:rPr>
      </w:pPr>
    </w:p>
    <w:p w14:paraId="46645B67" w14:textId="77777777" w:rsidR="008805C0" w:rsidRDefault="008805C0">
      <w:pPr>
        <w:pStyle w:val="Body"/>
        <w:tabs>
          <w:tab w:val="left" w:pos="4320"/>
          <w:tab w:val="left" w:pos="5529"/>
          <w:tab w:val="left" w:pos="6096"/>
        </w:tabs>
        <w:spacing w:before="0" w:after="0"/>
        <w:jc w:val="left"/>
        <w:rPr>
          <w:rStyle w:val="reflex3-block"/>
          <w:lang w:val="en-US"/>
        </w:rPr>
      </w:pPr>
    </w:p>
    <w:p w14:paraId="13136945" w14:textId="77777777" w:rsidR="008805C0" w:rsidRDefault="008805C0">
      <w:pPr>
        <w:pStyle w:val="Body"/>
        <w:tabs>
          <w:tab w:val="left" w:pos="4320"/>
          <w:tab w:val="left" w:pos="5529"/>
          <w:tab w:val="left" w:pos="6096"/>
        </w:tabs>
        <w:spacing w:before="0" w:after="0"/>
        <w:jc w:val="left"/>
        <w:rPr>
          <w:rStyle w:val="reflex3-block"/>
          <w:lang w:val="en-US"/>
        </w:rPr>
      </w:pPr>
    </w:p>
    <w:p w14:paraId="6ABA304A" w14:textId="77777777" w:rsidR="008805C0" w:rsidRDefault="008805C0">
      <w:pPr>
        <w:pStyle w:val="Body"/>
        <w:tabs>
          <w:tab w:val="left" w:pos="4320"/>
          <w:tab w:val="left" w:pos="5529"/>
          <w:tab w:val="left" w:pos="6096"/>
        </w:tabs>
        <w:spacing w:before="0" w:after="0"/>
        <w:jc w:val="left"/>
        <w:rPr>
          <w:rStyle w:val="reflex3-block"/>
          <w:lang w:val="en-US"/>
        </w:rPr>
      </w:pPr>
    </w:p>
    <w:p w14:paraId="03DB77E1" w14:textId="77777777" w:rsidR="008805C0" w:rsidRDefault="00531787">
      <w:pPr>
        <w:pStyle w:val="Body"/>
        <w:tabs>
          <w:tab w:val="left" w:pos="4320"/>
          <w:tab w:val="left" w:pos="5529"/>
          <w:tab w:val="left" w:pos="6096"/>
        </w:tabs>
        <w:spacing w:before="0" w:after="0"/>
        <w:jc w:val="left"/>
      </w:pPr>
      <w:r>
        <w:rPr>
          <w:rStyle w:val="None"/>
          <w:lang w:val="en-US"/>
        </w:rPr>
        <w:t>BES/cl</w:t>
      </w:r>
    </w:p>
    <w:sectPr w:rsidR="008805C0">
      <w:headerReference w:type="default" r:id="rId9"/>
      <w:footerReference w:type="default" r:id="rId10"/>
      <w:headerReference w:type="first" r:id="rId11"/>
      <w:footerReference w:type="first" r:id="rId12"/>
      <w:pgSz w:w="12240" w:h="15840"/>
      <w:pgMar w:top="1099" w:right="1440" w:bottom="1440" w:left="1440" w:header="720" w:footer="45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EDEA7A" w14:textId="77777777" w:rsidR="00531787" w:rsidRDefault="00531787">
      <w:r>
        <w:separator/>
      </w:r>
    </w:p>
  </w:endnote>
  <w:endnote w:type="continuationSeparator" w:id="0">
    <w:p w14:paraId="5E257444" w14:textId="77777777" w:rsidR="00531787" w:rsidRDefault="00531787">
      <w:r>
        <w:continuationSeparator/>
      </w:r>
    </w:p>
  </w:endnote>
  <w:endnote w:type="continuationNotice" w:id="1">
    <w:p w14:paraId="7C4A7931" w14:textId="77777777" w:rsidR="00531787" w:rsidRDefault="00531787"/>
  </w:endnote>
  <w:endnote w:id="2">
    <w:p w14:paraId="4D5B2751" w14:textId="77777777" w:rsidR="008805C0" w:rsidRDefault="00531787">
      <w:pPr>
        <w:pStyle w:val="EndnoteText"/>
        <w:jc w:val="both"/>
      </w:pPr>
      <w:r>
        <w:rPr>
          <w:vertAlign w:val="superscript"/>
          <w:lang w:val="en-US"/>
        </w:rPr>
        <w:endnoteRef/>
      </w:r>
      <w:r>
        <w:rPr>
          <w:lang w:val="en-US"/>
        </w:rPr>
        <w:t xml:space="preserve"> </w:t>
      </w:r>
      <w:r>
        <w:rPr>
          <w:i/>
          <w:iCs/>
          <w:lang w:val="en-US"/>
        </w:rPr>
        <w:t>Minister of Citizenship and Immigration</w:t>
      </w:r>
      <w:r>
        <w:rPr>
          <w:shd w:val="clear" w:color="auto" w:fill="FFFFFF"/>
          <w:lang w:val="en-US"/>
        </w:rPr>
        <w:t xml:space="preserve"> v. </w:t>
      </w:r>
      <w:r>
        <w:rPr>
          <w:i/>
          <w:iCs/>
          <w:lang w:val="en-US"/>
        </w:rPr>
        <w:t>Huruglica</w:t>
      </w:r>
      <w:r>
        <w:rPr>
          <w:shd w:val="clear" w:color="auto" w:fill="FFFFFF"/>
          <w:lang w:val="en-US"/>
        </w:rPr>
        <w:t xml:space="preserve">, </w:t>
      </w:r>
      <w:hyperlink r:id="rId1" w:history="1">
        <w:r>
          <w:rPr>
            <w:rStyle w:val="Hyperlink0"/>
          </w:rPr>
          <w:t>2016 FCA 93</w:t>
        </w:r>
      </w:hyperlink>
      <w:r>
        <w:rPr>
          <w:rStyle w:val="Hyperlink0"/>
        </w:rPr>
        <w:t xml:space="preserve">, at paras 70–74; </w:t>
      </w:r>
      <w:r>
        <w:rPr>
          <w:rStyle w:val="None"/>
          <w:i/>
          <w:iCs/>
          <w:lang w:val="en-US"/>
        </w:rPr>
        <w:t xml:space="preserve">Rozas del Solar v. Canada (Citizenship and </w:t>
      </w:r>
      <w:r>
        <w:rPr>
          <w:rStyle w:val="None"/>
          <w:i/>
          <w:iCs/>
          <w:lang w:val="en-US"/>
        </w:rPr>
        <w:t>Immigration)</w:t>
      </w:r>
      <w:r>
        <w:rPr>
          <w:rStyle w:val="Hyperlink0"/>
        </w:rPr>
        <w:t>, 2018 FC 1145, at p. 90–91.</w:t>
      </w:r>
    </w:p>
  </w:endnote>
  <w:endnote w:id="3">
    <w:p w14:paraId="3D00305C" w14:textId="77777777" w:rsidR="008805C0" w:rsidRDefault="00531787">
      <w:pPr>
        <w:pStyle w:val="EndnoteText"/>
        <w:jc w:val="both"/>
      </w:pPr>
      <w:r>
        <w:rPr>
          <w:rStyle w:val="None"/>
          <w:vertAlign w:val="superscript"/>
          <w:lang w:val="en-US"/>
        </w:rPr>
        <w:endnoteRef/>
      </w:r>
      <w:r>
        <w:rPr>
          <w:rStyle w:val="None"/>
          <w:lang w:val="en-US"/>
        </w:rPr>
        <w:t xml:space="preserve"> Chairperson's Guideline 9: Proceedings Before the IRB Involving Sexual Orientation and Gender Identity and Expression, s. 6.1.</w:t>
      </w:r>
    </w:p>
  </w:endnote>
  <w:endnote w:id="4">
    <w:p w14:paraId="4B4BFC68" w14:textId="77777777" w:rsidR="008805C0" w:rsidRDefault="00531787">
      <w:pPr>
        <w:pStyle w:val="EndnoteText"/>
        <w:jc w:val="both"/>
      </w:pPr>
      <w:r>
        <w:rPr>
          <w:rStyle w:val="None"/>
          <w:vertAlign w:val="superscript"/>
          <w:lang w:val="en-US"/>
        </w:rPr>
        <w:endnoteRef/>
      </w:r>
      <w:r>
        <w:rPr>
          <w:rStyle w:val="None"/>
          <w:lang w:val="en-US"/>
        </w:rPr>
        <w:t xml:space="preserve"> U.S. Citizenship and Immigration Services, </w:t>
      </w:r>
      <w:r>
        <w:rPr>
          <w:rStyle w:val="None"/>
          <w:i/>
          <w:iCs/>
          <w:lang w:val="en-US"/>
        </w:rPr>
        <w:t>Questions and Answers : Asylum Eligibility and Applications</w:t>
      </w:r>
      <w:r>
        <w:rPr>
          <w:rStyle w:val="None"/>
          <w:lang w:val="en-US"/>
        </w:rPr>
        <w:t xml:space="preserve">, [En ligne], </w:t>
      </w:r>
      <w:hyperlink r:id="rId2" w:history="1">
        <w:r>
          <w:rPr>
            <w:rStyle w:val="Hyperlink1"/>
          </w:rPr>
          <w:t>https://www.uscis.gov/humanitarian/refugees-and-asylum/asylum/asylum-frequently-asked-questions/questions-and-answers-asylum-eligibility-and-applications#:~:text=You%20may%20apply%20for%20asylum%20regardless%20of%20your%20immigration%20status,arrival%20to%</w:t>
        </w:r>
        <w:r>
          <w:rPr>
            <w:rStyle w:val="Hyperlink1"/>
          </w:rPr>
          <w:t>20the%20United%20States.&amp;text=extraordinary%20circumstances%20relating%20to%20your,be%20eligible%20for%20an%20exception</w:t>
        </w:r>
      </w:hyperlink>
      <w:r>
        <w:rPr>
          <w:rStyle w:val="None"/>
          <w:lang w:val="en-US"/>
        </w:rPr>
        <w:t xml:space="preserve">. </w:t>
      </w:r>
    </w:p>
  </w:endnote>
  <w:endnote w:id="5">
    <w:p w14:paraId="3D1F0A75" w14:textId="77777777" w:rsidR="008805C0" w:rsidRDefault="00531787">
      <w:pPr>
        <w:pStyle w:val="EndnoteText"/>
        <w:jc w:val="both"/>
      </w:pPr>
      <w:r>
        <w:rPr>
          <w:rStyle w:val="None"/>
          <w:vertAlign w:val="superscript"/>
          <w:lang w:val="en-US"/>
        </w:rPr>
        <w:endnoteRef/>
      </w:r>
      <w:r>
        <w:rPr>
          <w:rStyle w:val="None"/>
          <w:lang w:val="en-US"/>
        </w:rPr>
        <w:t xml:space="preserve"> RAD-1, National documentation package (NDP) for Pakistan (29 January 2021), tab 6.2 : Situation of sexual minorities in Islamabad</w:t>
      </w:r>
      <w:r>
        <w:rPr>
          <w:rStyle w:val="None"/>
          <w:lang w:val="en-US"/>
        </w:rPr>
        <w:t>, Karachi and Lahore, including treatment by society and authorities; state protection (2010-2013), Immigration and Refugee Board of Canada, 13 January 2014, PAK104712.E, at p. 5.</w:t>
      </w:r>
    </w:p>
  </w:endnote>
  <w:endnote w:id="6">
    <w:p w14:paraId="6AE0FAD3" w14:textId="77777777" w:rsidR="008805C0" w:rsidRDefault="00531787">
      <w:pPr>
        <w:pStyle w:val="EndnoteText"/>
        <w:jc w:val="both"/>
      </w:pPr>
      <w:r>
        <w:rPr>
          <w:rStyle w:val="None"/>
          <w:vertAlign w:val="superscript"/>
          <w:lang w:val="en-US"/>
        </w:rPr>
        <w:endnoteRef/>
      </w:r>
      <w:r>
        <w:rPr>
          <w:rStyle w:val="None"/>
          <w:lang w:val="en-US"/>
        </w:rPr>
        <w:t xml:space="preserve"> RAD-1, National documentation package (NDP) for Pakistan (29 January 2021)</w:t>
      </w:r>
      <w:r>
        <w:rPr>
          <w:rStyle w:val="None"/>
          <w:lang w:val="en-US"/>
        </w:rPr>
        <w:t>, tab 6.1: Treatment of sexual and gender minorities by society and authorities; state protection and support services available (2017-January 2019), Immigration and Refugee Board of Canada, 17 January 2019, PAK106219.E, at p. 10.</w:t>
      </w:r>
    </w:p>
  </w:endnote>
  <w:endnote w:id="7">
    <w:p w14:paraId="54036610" w14:textId="77777777" w:rsidR="008805C0" w:rsidRDefault="00531787">
      <w:pPr>
        <w:pStyle w:val="EndnoteText"/>
        <w:jc w:val="both"/>
      </w:pPr>
      <w:r>
        <w:rPr>
          <w:rStyle w:val="None"/>
          <w:vertAlign w:val="superscript"/>
          <w:lang w:val="en-US"/>
        </w:rPr>
        <w:endnoteRef/>
      </w:r>
      <w:r>
        <w:rPr>
          <w:rStyle w:val="None"/>
          <w:lang w:val="en-US"/>
        </w:rPr>
        <w:t xml:space="preserve"> Ibid., NDP for Pakistan</w:t>
      </w:r>
      <w:r>
        <w:rPr>
          <w:rStyle w:val="None"/>
          <w:lang w:val="en-US"/>
        </w:rPr>
        <w:t>, tab 6.1, at p. 11.</w:t>
      </w:r>
    </w:p>
  </w:endnote>
  <w:endnote w:id="8">
    <w:p w14:paraId="216F65EE" w14:textId="77777777" w:rsidR="008805C0" w:rsidRDefault="00531787">
      <w:pPr>
        <w:pStyle w:val="EndnoteText"/>
        <w:jc w:val="both"/>
      </w:pPr>
      <w:r>
        <w:rPr>
          <w:rStyle w:val="None"/>
          <w:vertAlign w:val="superscript"/>
          <w:lang w:val="en-US"/>
        </w:rPr>
        <w:endnoteRef/>
      </w:r>
      <w:r>
        <w:rPr>
          <w:rStyle w:val="None"/>
          <w:lang w:val="en-US"/>
        </w:rPr>
        <w:t xml:space="preserve"> Ibid., NDP for Pakistan, tab 6.1, at p. 13.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6ADA0" w14:textId="77777777" w:rsidR="008805C0" w:rsidRDefault="00531787">
    <w:pPr>
      <w:pStyle w:val="Body"/>
      <w:spacing w:before="0" w:after="0" w:line="240" w:lineRule="exact"/>
      <w:rPr>
        <w:spacing w:val="-1"/>
        <w:sz w:val="20"/>
        <w:szCs w:val="20"/>
      </w:rPr>
    </w:pPr>
    <w:r>
      <w:rPr>
        <w:spacing w:val="-1"/>
        <w:sz w:val="20"/>
        <w:szCs w:val="20"/>
        <w:lang w:val="en-US"/>
      </w:rPr>
      <w:t>RAD.25.02 (</w:t>
    </w:r>
    <w:proofErr w:type="gramStart"/>
    <w:r>
      <w:rPr>
        <w:spacing w:val="-1"/>
        <w:sz w:val="20"/>
        <w:szCs w:val="20"/>
        <w:lang w:val="en-US"/>
      </w:rPr>
      <w:t>January,</w:t>
    </w:r>
    <w:proofErr w:type="gramEnd"/>
    <w:r>
      <w:rPr>
        <w:spacing w:val="-1"/>
        <w:sz w:val="20"/>
        <w:szCs w:val="20"/>
        <w:lang w:val="en-US"/>
      </w:rPr>
      <w:t xml:space="preserve"> 2020)</w:t>
    </w:r>
  </w:p>
  <w:p w14:paraId="680F9E5A" w14:textId="77777777" w:rsidR="008805C0" w:rsidRDefault="00531787">
    <w:pPr>
      <w:pStyle w:val="Body"/>
      <w:spacing w:before="0" w:after="0"/>
      <w:jc w:val="right"/>
    </w:pPr>
    <w:r>
      <w:rPr>
        <w:i/>
        <w:iCs/>
        <w:spacing w:val="-1"/>
        <w:sz w:val="20"/>
        <w:szCs w:val="20"/>
      </w:rPr>
      <w:t xml:space="preserve">Disponible en </w:t>
    </w:r>
    <w:proofErr w:type="spellStart"/>
    <w:r>
      <w:rPr>
        <w:i/>
        <w:iCs/>
        <w:spacing w:val="-1"/>
        <w:sz w:val="20"/>
        <w:szCs w:val="20"/>
      </w:rPr>
      <w:t>fran</w:t>
    </w:r>
    <w:proofErr w:type="spellEnd"/>
    <w:r>
      <w:rPr>
        <w:i/>
        <w:iCs/>
        <w:spacing w:val="-1"/>
        <w:sz w:val="20"/>
        <w:szCs w:val="20"/>
        <w:lang w:val="pt-PT"/>
      </w:rPr>
      <w:t>ç</w:t>
    </w:r>
    <w:r>
      <w:rPr>
        <w:i/>
        <w:iCs/>
        <w:spacing w:val="-1"/>
        <w:sz w:val="20"/>
        <w:szCs w:val="20"/>
      </w:rPr>
      <w:t>ais</w:t>
    </w:r>
    <w:r>
      <w:rPr>
        <w:i/>
        <w:iCs/>
        <w:spacing w:val="-1"/>
        <w:sz w:val="20"/>
        <w:szCs w:val="20"/>
      </w:rPr>
      <w:tab/>
    </w:r>
    <w:r>
      <w:fldChar w:fldCharType="begin"/>
    </w:r>
    <w:r>
      <w:instrText xml:space="preserve"> PAGE </w:instrText>
    </w:r>
    <w:r>
      <w:fldChar w:fldCharType="separate"/>
    </w:r>
    <w:r w:rsidR="00395024">
      <w:rPr>
        <w:noProof/>
      </w:rPr>
      <w:t>2</w:t>
    </w:r>
    <w:r>
      <w:fldChar w:fldCharType="end"/>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A823" w14:textId="77777777" w:rsidR="008805C0" w:rsidRDefault="00531787">
    <w:pPr>
      <w:pStyle w:val="Body"/>
      <w:spacing w:before="0" w:after="0"/>
      <w:rPr>
        <w:spacing w:val="-1"/>
        <w:sz w:val="20"/>
        <w:szCs w:val="20"/>
      </w:rPr>
    </w:pPr>
    <w:r>
      <w:rPr>
        <w:spacing w:val="-1"/>
        <w:sz w:val="20"/>
        <w:szCs w:val="20"/>
        <w:lang w:val="en-US"/>
      </w:rPr>
      <w:t>RAD.25.02 (</w:t>
    </w:r>
    <w:proofErr w:type="gramStart"/>
    <w:r>
      <w:rPr>
        <w:spacing w:val="-1"/>
        <w:sz w:val="20"/>
        <w:szCs w:val="20"/>
        <w:lang w:val="en-US"/>
      </w:rPr>
      <w:t>January,  2020</w:t>
    </w:r>
    <w:proofErr w:type="gramEnd"/>
    <w:r>
      <w:rPr>
        <w:spacing w:val="-1"/>
        <w:sz w:val="20"/>
        <w:szCs w:val="20"/>
        <w:lang w:val="en-US"/>
      </w:rPr>
      <w:t>)</w:t>
    </w:r>
  </w:p>
  <w:p w14:paraId="1A752EDE" w14:textId="77777777" w:rsidR="008805C0" w:rsidRDefault="00531787">
    <w:pPr>
      <w:pStyle w:val="Body"/>
      <w:spacing w:before="0" w:after="0"/>
      <w:jc w:val="right"/>
    </w:pPr>
    <w:r>
      <w:t xml:space="preserve">Disponible en </w:t>
    </w:r>
    <w:proofErr w:type="spellStart"/>
    <w:r>
      <w:t>fran</w:t>
    </w:r>
    <w:proofErr w:type="spellEnd"/>
    <w:r>
      <w:rPr>
        <w:lang w:val="pt-PT"/>
      </w:rPr>
      <w:t>ç</w:t>
    </w:r>
    <w:r>
      <w:t>ais</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D7E88" w14:textId="77777777" w:rsidR="00531787" w:rsidRDefault="00531787">
      <w:r>
        <w:separator/>
      </w:r>
    </w:p>
  </w:footnote>
  <w:footnote w:type="continuationSeparator" w:id="0">
    <w:p w14:paraId="2C076ABD" w14:textId="77777777" w:rsidR="00531787" w:rsidRDefault="005317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46047" w14:textId="77777777" w:rsidR="008805C0" w:rsidRDefault="00531787">
    <w:pPr>
      <w:pStyle w:val="Body"/>
      <w:spacing w:before="0" w:after="0"/>
      <w:jc w:val="right"/>
    </w:pPr>
    <w:r>
      <w:rPr>
        <w:noProof/>
      </w:rPr>
      <w:drawing>
        <wp:anchor distT="152400" distB="152400" distL="152400" distR="152400" simplePos="0" relativeHeight="251656704" behindDoc="1" locked="0" layoutInCell="1" allowOverlap="1" wp14:anchorId="2B6C78E3" wp14:editId="7B665495">
          <wp:simplePos x="0" y="0"/>
          <wp:positionH relativeFrom="page">
            <wp:posOffset>6044183</wp:posOffset>
          </wp:positionH>
          <wp:positionV relativeFrom="page">
            <wp:posOffset>9541509</wp:posOffset>
          </wp:positionV>
          <wp:extent cx="813817" cy="237744"/>
          <wp:effectExtent l="0" t="0" r="0" b="0"/>
          <wp:wrapNone/>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1"/>
                  <a:stretch>
                    <a:fillRect/>
                  </a:stretch>
                </pic:blipFill>
                <pic:spPr>
                  <a:xfrm>
                    <a:off x="0" y="0"/>
                    <a:ext cx="813817" cy="237744"/>
                  </a:xfrm>
                  <a:prstGeom prst="rect">
                    <a:avLst/>
                  </a:prstGeom>
                  <a:ln w="12700" cap="flat">
                    <a:noFill/>
                    <a:miter lim="400000"/>
                  </a:ln>
                  <a:effectLst/>
                </pic:spPr>
              </pic:pic>
            </a:graphicData>
          </a:graphic>
        </wp:anchor>
      </w:drawing>
    </w:r>
    <w:r>
      <w:rPr>
        <w:b/>
        <w:bCs/>
        <w:sz w:val="20"/>
        <w:szCs w:val="20"/>
      </w:rPr>
      <w:t>RAD File / Dossier de la SAR : MC008732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0D20" w14:textId="77777777" w:rsidR="008805C0" w:rsidRDefault="00531787">
    <w:pPr>
      <w:pStyle w:val="Body"/>
      <w:spacing w:after="240"/>
      <w:jc w:val="left"/>
      <w:rPr>
        <w:spacing w:val="-1"/>
        <w:sz w:val="22"/>
        <w:szCs w:val="22"/>
      </w:rPr>
    </w:pPr>
    <w:r>
      <w:rPr>
        <w:noProof/>
        <w:spacing w:val="-1"/>
        <w:sz w:val="22"/>
        <w:szCs w:val="22"/>
      </w:rPr>
      <w:drawing>
        <wp:anchor distT="152400" distB="152400" distL="152400" distR="152400" simplePos="0" relativeHeight="251657728" behindDoc="1" locked="0" layoutInCell="1" allowOverlap="1" wp14:anchorId="1FC7DA35" wp14:editId="510AE351">
          <wp:simplePos x="0" y="0"/>
          <wp:positionH relativeFrom="page">
            <wp:posOffset>3584448</wp:posOffset>
          </wp:positionH>
          <wp:positionV relativeFrom="page">
            <wp:posOffset>0</wp:posOffset>
          </wp:positionV>
          <wp:extent cx="603505" cy="740664"/>
          <wp:effectExtent l="0" t="0" r="0" b="0"/>
          <wp:wrapNone/>
          <wp:docPr id="1073741826" name="officeArt object" descr="fip_300dpi_est_e"/>
          <wp:cNvGraphicFramePr/>
          <a:graphic xmlns:a="http://schemas.openxmlformats.org/drawingml/2006/main">
            <a:graphicData uri="http://schemas.openxmlformats.org/drawingml/2006/picture">
              <pic:pic xmlns:pic="http://schemas.openxmlformats.org/drawingml/2006/picture">
                <pic:nvPicPr>
                  <pic:cNvPr id="1073741826" name="fip_300dpi_est_e" descr="fip_300dpi_est_e"/>
                  <pic:cNvPicPr>
                    <a:picLocks noChangeAspect="1"/>
                  </pic:cNvPicPr>
                </pic:nvPicPr>
                <pic:blipFill>
                  <a:blip r:embed="rId1"/>
                  <a:srcRect r="87987"/>
                  <a:stretch>
                    <a:fillRect/>
                  </a:stretch>
                </pic:blipFill>
                <pic:spPr>
                  <a:xfrm>
                    <a:off x="0" y="0"/>
                    <a:ext cx="603505" cy="740664"/>
                  </a:xfrm>
                  <a:prstGeom prst="rect">
                    <a:avLst/>
                  </a:prstGeom>
                  <a:ln w="12700" cap="flat">
                    <a:noFill/>
                    <a:miter lim="400000"/>
                  </a:ln>
                  <a:effectLst/>
                </pic:spPr>
              </pic:pic>
            </a:graphicData>
          </a:graphic>
        </wp:anchor>
      </w:drawing>
    </w:r>
    <w:r>
      <w:rPr>
        <w:noProof/>
        <w:spacing w:val="-1"/>
        <w:sz w:val="22"/>
        <w:szCs w:val="22"/>
      </w:rPr>
      <w:drawing>
        <wp:anchor distT="152400" distB="152400" distL="152400" distR="152400" simplePos="0" relativeHeight="251658752" behindDoc="1" locked="0" layoutInCell="1" allowOverlap="1" wp14:anchorId="29BF7FE1" wp14:editId="3299B255">
          <wp:simplePos x="0" y="0"/>
          <wp:positionH relativeFrom="page">
            <wp:posOffset>6044183</wp:posOffset>
          </wp:positionH>
          <wp:positionV relativeFrom="page">
            <wp:posOffset>9541509</wp:posOffset>
          </wp:positionV>
          <wp:extent cx="813817" cy="237744"/>
          <wp:effectExtent l="0" t="0" r="0" b="0"/>
          <wp:wrapNone/>
          <wp:docPr id="1073741827" name="officeArt object" descr="Picture 1"/>
          <wp:cNvGraphicFramePr/>
          <a:graphic xmlns:a="http://schemas.openxmlformats.org/drawingml/2006/main">
            <a:graphicData uri="http://schemas.openxmlformats.org/drawingml/2006/picture">
              <pic:pic xmlns:pic="http://schemas.openxmlformats.org/drawingml/2006/picture">
                <pic:nvPicPr>
                  <pic:cNvPr id="1073741827" name="Picture 1" descr="Picture 1"/>
                  <pic:cNvPicPr>
                    <a:picLocks noChangeAspect="1"/>
                  </pic:cNvPicPr>
                </pic:nvPicPr>
                <pic:blipFill>
                  <a:blip r:embed="rId2"/>
                  <a:stretch>
                    <a:fillRect/>
                  </a:stretch>
                </pic:blipFill>
                <pic:spPr>
                  <a:xfrm>
                    <a:off x="0" y="0"/>
                    <a:ext cx="813817" cy="237744"/>
                  </a:xfrm>
                  <a:prstGeom prst="rect">
                    <a:avLst/>
                  </a:prstGeom>
                  <a:ln w="12700" cap="flat">
                    <a:noFill/>
                    <a:miter lim="400000"/>
                  </a:ln>
                  <a:effectLst/>
                </pic:spPr>
              </pic:pic>
            </a:graphicData>
          </a:graphic>
        </wp:anchor>
      </w:drawing>
    </w:r>
    <w:r>
      <w:rPr>
        <w:spacing w:val="-1"/>
        <w:sz w:val="22"/>
        <w:szCs w:val="22"/>
        <w:lang w:val="en-US"/>
      </w:rPr>
      <w:t>Immigration and Refugee</w:t>
    </w:r>
    <w:r>
      <w:rPr>
        <w:rFonts w:ascii="Arial Unicode MS" w:hAnsi="Arial Unicode MS"/>
        <w:spacing w:val="-1"/>
        <w:sz w:val="22"/>
        <w:szCs w:val="22"/>
        <w:lang w:val="en-US"/>
      </w:rPr>
      <w:br/>
    </w:r>
    <w:r>
      <w:rPr>
        <w:spacing w:val="-1"/>
        <w:sz w:val="22"/>
        <w:szCs w:val="22"/>
        <w:lang w:val="en-US"/>
      </w:rPr>
      <w:t>Board of Canada</w:t>
    </w:r>
  </w:p>
  <w:p w14:paraId="3E107CE3" w14:textId="77777777" w:rsidR="008805C0" w:rsidRDefault="00531787">
    <w:pPr>
      <w:pStyle w:val="Body"/>
      <w:spacing w:after="240"/>
      <w:jc w:val="right"/>
      <w:rPr>
        <w:spacing w:val="-1"/>
        <w:sz w:val="22"/>
        <w:szCs w:val="22"/>
      </w:rPr>
    </w:pPr>
    <w:proofErr w:type="spellStart"/>
    <w:r>
      <w:rPr>
        <w:b/>
        <w:bCs/>
      </w:rPr>
      <w:t>Refugee</w:t>
    </w:r>
    <w:proofErr w:type="spellEnd"/>
    <w:r>
      <w:rPr>
        <w:b/>
        <w:bCs/>
      </w:rPr>
      <w:t xml:space="preserve"> </w:t>
    </w:r>
    <w:proofErr w:type="spellStart"/>
    <w:r>
      <w:rPr>
        <w:b/>
        <w:bCs/>
      </w:rPr>
      <w:t>Appeal</w:t>
    </w:r>
    <w:proofErr w:type="spellEnd"/>
    <w:r>
      <w:rPr>
        <w:b/>
        <w:bCs/>
      </w:rPr>
      <w:t xml:space="preserve"> Division</w:t>
    </w:r>
    <w:r>
      <w:rPr>
        <w:b/>
        <w:bCs/>
      </w:rPr>
      <w:tab/>
    </w:r>
    <w:r>
      <w:rPr>
        <w:b/>
        <w:bCs/>
      </w:rPr>
      <w:tab/>
    </w:r>
    <w:r>
      <w:rPr>
        <w:spacing w:val="-1"/>
        <w:sz w:val="22"/>
        <w:szCs w:val="22"/>
      </w:rPr>
      <w:t>Commission de l’immigration</w:t>
    </w:r>
    <w:r>
      <w:rPr>
        <w:rFonts w:ascii="Arial Unicode MS" w:hAnsi="Arial Unicode MS"/>
        <w:spacing w:val="-1"/>
        <w:sz w:val="22"/>
        <w:szCs w:val="22"/>
      </w:rPr>
      <w:br/>
    </w:r>
    <w:r>
      <w:rPr>
        <w:spacing w:val="-1"/>
        <w:sz w:val="22"/>
        <w:szCs w:val="22"/>
      </w:rPr>
      <w:t>et du statut de réfugié du Canada</w:t>
    </w:r>
  </w:p>
  <w:p w14:paraId="1993D879" w14:textId="77777777" w:rsidR="008805C0" w:rsidRDefault="00531787">
    <w:pPr>
      <w:pStyle w:val="Body"/>
      <w:spacing w:after="240"/>
      <w:jc w:val="right"/>
    </w:pPr>
    <w:r>
      <w:rPr>
        <w:b/>
        <w:bCs/>
        <w:spacing w:val="-1"/>
        <w:sz w:val="22"/>
        <w:szCs w:val="22"/>
      </w:rPr>
      <w:t>Section d’appel des réfugiés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841A4"/>
    <w:multiLevelType w:val="hybridMultilevel"/>
    <w:tmpl w:val="03F8C002"/>
    <w:styleLink w:val="ImportedStyle3"/>
    <w:lvl w:ilvl="0" w:tplc="B5E6C4CC">
      <w:start w:val="1"/>
      <w:numFmt w:val="bullet"/>
      <w:lvlText w:val="·"/>
      <w:lvlJc w:val="left"/>
      <w:pPr>
        <w:tabs>
          <w:tab w:val="left" w:pos="6660"/>
        </w:tabs>
        <w:ind w:left="117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F0E35F6">
      <w:start w:val="1"/>
      <w:numFmt w:val="bullet"/>
      <w:lvlText w:val="o"/>
      <w:lvlJc w:val="left"/>
      <w:pPr>
        <w:tabs>
          <w:tab w:val="left" w:pos="6660"/>
        </w:tabs>
        <w:ind w:left="189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0C25CBA">
      <w:start w:val="1"/>
      <w:numFmt w:val="bullet"/>
      <w:lvlText w:val="▪"/>
      <w:lvlJc w:val="left"/>
      <w:pPr>
        <w:tabs>
          <w:tab w:val="left" w:pos="6660"/>
        </w:tabs>
        <w:ind w:left="261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3FC5C7A">
      <w:start w:val="1"/>
      <w:numFmt w:val="bullet"/>
      <w:lvlText w:val="·"/>
      <w:lvlJc w:val="left"/>
      <w:pPr>
        <w:tabs>
          <w:tab w:val="left" w:pos="6660"/>
        </w:tabs>
        <w:ind w:left="333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14B506">
      <w:start w:val="1"/>
      <w:numFmt w:val="bullet"/>
      <w:lvlText w:val="o"/>
      <w:lvlJc w:val="left"/>
      <w:pPr>
        <w:tabs>
          <w:tab w:val="left" w:pos="6660"/>
        </w:tabs>
        <w:ind w:left="405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5612DC">
      <w:start w:val="1"/>
      <w:numFmt w:val="bullet"/>
      <w:lvlText w:val="▪"/>
      <w:lvlJc w:val="left"/>
      <w:pPr>
        <w:tabs>
          <w:tab w:val="left" w:pos="6660"/>
        </w:tabs>
        <w:ind w:left="477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96A64C6">
      <w:start w:val="1"/>
      <w:numFmt w:val="bullet"/>
      <w:lvlText w:val="·"/>
      <w:lvlJc w:val="left"/>
      <w:pPr>
        <w:tabs>
          <w:tab w:val="left" w:pos="6660"/>
        </w:tabs>
        <w:ind w:left="5490" w:hanging="45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838493A">
      <w:start w:val="1"/>
      <w:numFmt w:val="bullet"/>
      <w:lvlText w:val="o"/>
      <w:lvlJc w:val="left"/>
      <w:pPr>
        <w:tabs>
          <w:tab w:val="left" w:pos="6660"/>
        </w:tabs>
        <w:ind w:left="6210" w:hanging="45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CC28D14">
      <w:start w:val="1"/>
      <w:numFmt w:val="bullet"/>
      <w:lvlText w:val="▪"/>
      <w:lvlJc w:val="left"/>
      <w:pPr>
        <w:ind w:left="66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5B652CE"/>
    <w:multiLevelType w:val="hybridMultilevel"/>
    <w:tmpl w:val="1AC07D5E"/>
    <w:numStyleLink w:val="ImportedStyle2"/>
  </w:abstractNum>
  <w:abstractNum w:abstractNumId="2" w15:restartNumberingAfterBreak="0">
    <w:nsid w:val="56177A5A"/>
    <w:multiLevelType w:val="hybridMultilevel"/>
    <w:tmpl w:val="03F8C002"/>
    <w:numStyleLink w:val="ImportedStyle3"/>
  </w:abstractNum>
  <w:abstractNum w:abstractNumId="3" w15:restartNumberingAfterBreak="0">
    <w:nsid w:val="5C3807CB"/>
    <w:multiLevelType w:val="hybridMultilevel"/>
    <w:tmpl w:val="5F665912"/>
    <w:numStyleLink w:val="ImportedStyle1"/>
  </w:abstractNum>
  <w:abstractNum w:abstractNumId="4" w15:restartNumberingAfterBreak="0">
    <w:nsid w:val="6CCF2249"/>
    <w:multiLevelType w:val="hybridMultilevel"/>
    <w:tmpl w:val="1AC07D5E"/>
    <w:styleLink w:val="ImportedStyle2"/>
    <w:lvl w:ilvl="0" w:tplc="E4ECE1B4">
      <w:start w:val="1"/>
      <w:numFmt w:val="bullet"/>
      <w:lvlText w:val="·"/>
      <w:lvlJc w:val="left"/>
      <w:pPr>
        <w:tabs>
          <w:tab w:val="left" w:pos="66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407F22">
      <w:start w:val="1"/>
      <w:numFmt w:val="bullet"/>
      <w:lvlText w:val="o"/>
      <w:lvlJc w:val="left"/>
      <w:pPr>
        <w:tabs>
          <w:tab w:val="left" w:pos="66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CC823A2">
      <w:start w:val="1"/>
      <w:numFmt w:val="bullet"/>
      <w:lvlText w:val="▪"/>
      <w:lvlJc w:val="left"/>
      <w:pPr>
        <w:tabs>
          <w:tab w:val="left" w:pos="6660"/>
        </w:tabs>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BC0990C">
      <w:start w:val="1"/>
      <w:numFmt w:val="bullet"/>
      <w:lvlText w:val="·"/>
      <w:lvlJc w:val="left"/>
      <w:pPr>
        <w:tabs>
          <w:tab w:val="left" w:pos="6660"/>
        </w:tabs>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98C86E8">
      <w:start w:val="1"/>
      <w:numFmt w:val="bullet"/>
      <w:lvlText w:val="o"/>
      <w:lvlJc w:val="left"/>
      <w:pPr>
        <w:tabs>
          <w:tab w:val="left" w:pos="66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A045310">
      <w:start w:val="1"/>
      <w:numFmt w:val="bullet"/>
      <w:lvlText w:val="▪"/>
      <w:lvlJc w:val="left"/>
      <w:pPr>
        <w:tabs>
          <w:tab w:val="left" w:pos="6660"/>
        </w:tabs>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0EE430">
      <w:start w:val="1"/>
      <w:numFmt w:val="bullet"/>
      <w:lvlText w:val="·"/>
      <w:lvlJc w:val="left"/>
      <w:pPr>
        <w:tabs>
          <w:tab w:val="left" w:pos="6660"/>
        </w:tabs>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CC0742">
      <w:start w:val="1"/>
      <w:numFmt w:val="bullet"/>
      <w:lvlText w:val="o"/>
      <w:lvlJc w:val="left"/>
      <w:pPr>
        <w:tabs>
          <w:tab w:val="left" w:pos="66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18EDC04">
      <w:start w:val="1"/>
      <w:numFmt w:val="bullet"/>
      <w:lvlText w:val="▪"/>
      <w:lvlJc w:val="left"/>
      <w:pPr>
        <w:ind w:left="66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E881AFE"/>
    <w:multiLevelType w:val="hybridMultilevel"/>
    <w:tmpl w:val="5F665912"/>
    <w:styleLink w:val="ImportedStyle1"/>
    <w:lvl w:ilvl="0" w:tplc="9028DF6E">
      <w:start w:val="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1" w:tplc="4394F57E">
      <w:start w:val="1"/>
      <w:numFmt w:val="lowerLetter"/>
      <w:lvlText w:val="%2."/>
      <w:lvlJc w:val="left"/>
      <w:pPr>
        <w:ind w:left="79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2" w:tplc="9A58BE36">
      <w:start w:val="1"/>
      <w:numFmt w:val="lowerRoman"/>
      <w:lvlText w:val="%3."/>
      <w:lvlJc w:val="left"/>
      <w:pPr>
        <w:tabs>
          <w:tab w:val="left" w:pos="720"/>
        </w:tabs>
        <w:ind w:left="1516" w:hanging="5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3" w:tplc="B35410F0">
      <w:start w:val="1"/>
      <w:numFmt w:val="decimal"/>
      <w:lvlText w:val="%4."/>
      <w:lvlJc w:val="left"/>
      <w:pPr>
        <w:tabs>
          <w:tab w:val="left" w:pos="720"/>
        </w:tabs>
        <w:ind w:left="223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4" w:tplc="07164ADC">
      <w:start w:val="1"/>
      <w:numFmt w:val="lowerLetter"/>
      <w:lvlText w:val="%5."/>
      <w:lvlJc w:val="left"/>
      <w:pPr>
        <w:tabs>
          <w:tab w:val="left" w:pos="720"/>
        </w:tabs>
        <w:ind w:left="295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5" w:tplc="6C18704A">
      <w:start w:val="1"/>
      <w:numFmt w:val="lowerRoman"/>
      <w:lvlText w:val="%6."/>
      <w:lvlJc w:val="left"/>
      <w:pPr>
        <w:tabs>
          <w:tab w:val="left" w:pos="720"/>
        </w:tabs>
        <w:ind w:left="3676" w:hanging="5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6" w:tplc="2B0CCF72">
      <w:start w:val="1"/>
      <w:numFmt w:val="decimal"/>
      <w:lvlText w:val="%7."/>
      <w:lvlJc w:val="left"/>
      <w:pPr>
        <w:tabs>
          <w:tab w:val="left" w:pos="720"/>
        </w:tabs>
        <w:ind w:left="439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7" w:tplc="CA12CD6A">
      <w:start w:val="1"/>
      <w:numFmt w:val="lowerLetter"/>
      <w:lvlText w:val="%8."/>
      <w:lvlJc w:val="left"/>
      <w:pPr>
        <w:tabs>
          <w:tab w:val="left" w:pos="720"/>
        </w:tabs>
        <w:ind w:left="511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 w:ilvl="8" w:tplc="ED4C41C2">
      <w:start w:val="1"/>
      <w:numFmt w:val="lowerRoman"/>
      <w:lvlText w:val="%9."/>
      <w:lvlJc w:val="left"/>
      <w:pPr>
        <w:tabs>
          <w:tab w:val="left" w:pos="720"/>
        </w:tabs>
        <w:ind w:left="5836" w:hanging="5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16cid:durableId="2021278492">
    <w:abstractNumId w:val="5"/>
  </w:num>
  <w:num w:numId="2" w16cid:durableId="1366904555">
    <w:abstractNumId w:val="3"/>
  </w:num>
  <w:num w:numId="3" w16cid:durableId="1998338882">
    <w:abstractNumId w:val="3"/>
    <w:lvlOverride w:ilvl="0">
      <w:lvl w:ilvl="0" w:tplc="54F80DB6">
        <w:start w:val="1"/>
        <w:numFmt w:val="decimal"/>
        <w:lvlText w:val="%1."/>
        <w:lvlJc w:val="left"/>
        <w:pPr>
          <w:tabs>
            <w:tab w:val="left" w:pos="1440"/>
            <w:tab w:val="left" w:pos="6660"/>
          </w:tabs>
          <w:ind w:left="7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D0A04EC">
        <w:start w:val="1"/>
        <w:numFmt w:val="lowerLetter"/>
        <w:lvlText w:val="%2."/>
        <w:lvlJc w:val="left"/>
        <w:pPr>
          <w:tabs>
            <w:tab w:val="left" w:pos="1440"/>
            <w:tab w:val="left" w:pos="6660"/>
          </w:tabs>
          <w:ind w:left="79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A46F0BA">
        <w:start w:val="1"/>
        <w:numFmt w:val="lowerRoman"/>
        <w:lvlText w:val="%3."/>
        <w:lvlJc w:val="left"/>
        <w:pPr>
          <w:tabs>
            <w:tab w:val="left" w:pos="6660"/>
          </w:tabs>
          <w:ind w:left="5084" w:hanging="50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A4E71C">
        <w:start w:val="1"/>
        <w:numFmt w:val="decimal"/>
        <w:lvlText w:val="%4."/>
        <w:lvlJc w:val="left"/>
        <w:pPr>
          <w:tabs>
            <w:tab w:val="left" w:pos="6660"/>
          </w:tabs>
          <w:ind w:left="4424" w:hanging="4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96FC72">
        <w:start w:val="1"/>
        <w:numFmt w:val="lowerLetter"/>
        <w:lvlText w:val="%5."/>
        <w:lvlJc w:val="left"/>
        <w:pPr>
          <w:tabs>
            <w:tab w:val="left" w:pos="6660"/>
          </w:tabs>
          <w:ind w:left="3704" w:hanging="37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DEE424">
        <w:start w:val="1"/>
        <w:numFmt w:val="lowerRoman"/>
        <w:lvlText w:val="%6."/>
        <w:lvlJc w:val="left"/>
        <w:pPr>
          <w:tabs>
            <w:tab w:val="left" w:pos="720"/>
            <w:tab w:val="left" w:pos="6660"/>
          </w:tabs>
          <w:ind w:left="3676" w:hanging="29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3CC126A">
        <w:start w:val="1"/>
        <w:numFmt w:val="decimal"/>
        <w:lvlText w:val="%7."/>
        <w:lvlJc w:val="left"/>
        <w:pPr>
          <w:tabs>
            <w:tab w:val="left" w:pos="720"/>
            <w:tab w:val="left" w:pos="1440"/>
            <w:tab w:val="left" w:pos="6660"/>
          </w:tabs>
          <w:ind w:left="4396" w:hanging="22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0BAD202">
        <w:start w:val="1"/>
        <w:numFmt w:val="lowerLetter"/>
        <w:lvlText w:val="%8."/>
        <w:lvlJc w:val="left"/>
        <w:pPr>
          <w:tabs>
            <w:tab w:val="left" w:pos="720"/>
            <w:tab w:val="left" w:pos="1440"/>
            <w:tab w:val="left" w:pos="6660"/>
          </w:tabs>
          <w:ind w:left="5116" w:hanging="15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C20764">
        <w:start w:val="1"/>
        <w:numFmt w:val="lowerRoman"/>
        <w:lvlText w:val="%9."/>
        <w:lvlJc w:val="left"/>
        <w:pPr>
          <w:tabs>
            <w:tab w:val="left" w:pos="720"/>
            <w:tab w:val="left" w:pos="1440"/>
            <w:tab w:val="left" w:pos="6660"/>
          </w:tabs>
          <w:ind w:left="5836" w:hanging="7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16cid:durableId="628122618">
    <w:abstractNumId w:val="4"/>
  </w:num>
  <w:num w:numId="5" w16cid:durableId="1633098504">
    <w:abstractNumId w:val="1"/>
  </w:num>
  <w:num w:numId="6" w16cid:durableId="1975141391">
    <w:abstractNumId w:val="3"/>
    <w:lvlOverride w:ilvl="0">
      <w:startOverride w:val="11"/>
      <w:lvl w:ilvl="0" w:tplc="54F80DB6">
        <w:start w:val="11"/>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D0A04EC">
        <w:start w:val="1"/>
        <w:numFmt w:val="lowerLetter"/>
        <w:lvlText w:val="%2."/>
        <w:lvlJc w:val="left"/>
        <w:pPr>
          <w:ind w:left="79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A46F0BA">
        <w:start w:val="1"/>
        <w:numFmt w:val="lowerRoman"/>
        <w:lvlText w:val="%3."/>
        <w:lvlJc w:val="left"/>
        <w:pPr>
          <w:ind w:left="5084" w:hanging="50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A4E71C">
        <w:start w:val="1"/>
        <w:numFmt w:val="decimal"/>
        <w:lvlText w:val="%4."/>
        <w:lvlJc w:val="left"/>
        <w:pPr>
          <w:ind w:left="4424" w:hanging="4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96FC72">
        <w:start w:val="1"/>
        <w:numFmt w:val="lowerLetter"/>
        <w:lvlText w:val="%5."/>
        <w:lvlJc w:val="left"/>
        <w:pPr>
          <w:ind w:left="3704" w:hanging="37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DEE424">
        <w:start w:val="1"/>
        <w:numFmt w:val="lowerRoman"/>
        <w:lvlText w:val="%6."/>
        <w:lvlJc w:val="left"/>
        <w:pPr>
          <w:ind w:left="3676" w:hanging="29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3CC126A">
        <w:start w:val="1"/>
        <w:numFmt w:val="decimal"/>
        <w:lvlText w:val="%7."/>
        <w:lvlJc w:val="left"/>
        <w:pPr>
          <w:ind w:left="4396" w:hanging="22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0BAD202">
        <w:start w:val="1"/>
        <w:numFmt w:val="lowerLetter"/>
        <w:lvlText w:val="%8."/>
        <w:lvlJc w:val="left"/>
        <w:pPr>
          <w:ind w:left="5116" w:hanging="15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4C20764">
        <w:start w:val="1"/>
        <w:numFmt w:val="lowerRoman"/>
        <w:lvlText w:val="%9."/>
        <w:lvlJc w:val="left"/>
        <w:pPr>
          <w:ind w:left="5836" w:hanging="7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16cid:durableId="398599549">
    <w:abstractNumId w:val="0"/>
  </w:num>
  <w:num w:numId="8" w16cid:durableId="1752241752">
    <w:abstractNumId w:val="2"/>
  </w:num>
  <w:num w:numId="9" w16cid:durableId="67919484">
    <w:abstractNumId w:val="2"/>
    <w:lvlOverride w:ilvl="0">
      <w:lvl w:ilvl="0" w:tplc="2DB28072">
        <w:start w:val="1"/>
        <w:numFmt w:val="bullet"/>
        <w:lvlText w:val="·"/>
        <w:lvlJc w:val="left"/>
        <w:pPr>
          <w:tabs>
            <w:tab w:val="left" w:pos="6660"/>
          </w:tabs>
          <w:ind w:left="1166" w:hanging="44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C38BB08">
        <w:start w:val="1"/>
        <w:numFmt w:val="bullet"/>
        <w:lvlText w:val="o"/>
        <w:lvlJc w:val="left"/>
        <w:pPr>
          <w:tabs>
            <w:tab w:val="left" w:pos="6660"/>
          </w:tabs>
          <w:ind w:left="1886" w:hanging="44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C19CF7BC">
        <w:start w:val="1"/>
        <w:numFmt w:val="bullet"/>
        <w:lvlText w:val="▪"/>
        <w:lvlJc w:val="left"/>
        <w:pPr>
          <w:tabs>
            <w:tab w:val="left" w:pos="6660"/>
          </w:tabs>
          <w:ind w:left="2606" w:hanging="44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8B1EA41A">
        <w:start w:val="1"/>
        <w:numFmt w:val="bullet"/>
        <w:lvlText w:val="·"/>
        <w:lvlJc w:val="left"/>
        <w:pPr>
          <w:tabs>
            <w:tab w:val="left" w:pos="6660"/>
          </w:tabs>
          <w:ind w:left="3326" w:hanging="44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295AE990">
        <w:start w:val="1"/>
        <w:numFmt w:val="bullet"/>
        <w:lvlText w:val="o"/>
        <w:lvlJc w:val="left"/>
        <w:pPr>
          <w:tabs>
            <w:tab w:val="left" w:pos="6660"/>
          </w:tabs>
          <w:ind w:left="4046" w:hanging="44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019871E8">
        <w:start w:val="1"/>
        <w:numFmt w:val="bullet"/>
        <w:lvlText w:val="▪"/>
        <w:lvlJc w:val="left"/>
        <w:pPr>
          <w:tabs>
            <w:tab w:val="left" w:pos="6660"/>
          </w:tabs>
          <w:ind w:left="4766" w:hanging="44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49465370">
        <w:start w:val="1"/>
        <w:numFmt w:val="bullet"/>
        <w:lvlText w:val="·"/>
        <w:lvlJc w:val="left"/>
        <w:pPr>
          <w:tabs>
            <w:tab w:val="left" w:pos="6660"/>
          </w:tabs>
          <w:ind w:left="5486" w:hanging="446"/>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56569616">
        <w:start w:val="1"/>
        <w:numFmt w:val="bullet"/>
        <w:lvlText w:val="o"/>
        <w:lvlJc w:val="left"/>
        <w:pPr>
          <w:tabs>
            <w:tab w:val="left" w:pos="6660"/>
          </w:tabs>
          <w:ind w:left="6206" w:hanging="446"/>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2F64685E">
        <w:start w:val="1"/>
        <w:numFmt w:val="bullet"/>
        <w:lvlText w:val="▪"/>
        <w:lvlJc w:val="left"/>
        <w:pPr>
          <w:ind w:left="6660" w:hanging="1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0" w16cid:durableId="741409693">
    <w:abstractNumId w:val="3"/>
    <w:lvlOverride w:ilvl="0">
      <w:startOverride w:val="25"/>
      <w:lvl w:ilvl="0" w:tplc="54F80DB6">
        <w:start w:val="25"/>
        <w:numFmt w:val="decimal"/>
        <w:lvlText w:val="%1."/>
        <w:lvlJc w:val="left"/>
        <w:pPr>
          <w:ind w:left="720" w:hanging="72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3D0A04EC">
        <w:start w:val="1"/>
        <w:numFmt w:val="lowerLetter"/>
        <w:lvlText w:val="%2."/>
        <w:lvlJc w:val="left"/>
        <w:pPr>
          <w:ind w:left="79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A46F0BA">
        <w:start w:val="1"/>
        <w:numFmt w:val="lowerRoman"/>
        <w:lvlText w:val="%3."/>
        <w:lvlJc w:val="left"/>
        <w:pPr>
          <w:ind w:left="5084" w:hanging="50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1A4E71C">
        <w:start w:val="1"/>
        <w:numFmt w:val="decimal"/>
        <w:lvlText w:val="%4."/>
        <w:lvlJc w:val="left"/>
        <w:pPr>
          <w:ind w:left="4424" w:hanging="4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B396FC72">
        <w:start w:val="1"/>
        <w:numFmt w:val="lowerLetter"/>
        <w:lvlText w:val="%5."/>
        <w:lvlJc w:val="left"/>
        <w:pPr>
          <w:ind w:left="3704" w:hanging="37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66DEE424">
        <w:start w:val="1"/>
        <w:numFmt w:val="lowerRoman"/>
        <w:lvlText w:val="%6."/>
        <w:lvlJc w:val="left"/>
        <w:pPr>
          <w:ind w:left="3676" w:hanging="29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B3CC126A">
        <w:start w:val="1"/>
        <w:numFmt w:val="decimal"/>
        <w:lvlText w:val="%7."/>
        <w:lvlJc w:val="left"/>
        <w:pPr>
          <w:ind w:left="4396" w:hanging="22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0BAD202">
        <w:start w:val="1"/>
        <w:numFmt w:val="lowerLetter"/>
        <w:lvlText w:val="%8."/>
        <w:lvlJc w:val="left"/>
        <w:pPr>
          <w:ind w:left="5116" w:hanging="15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4C20764">
        <w:start w:val="1"/>
        <w:numFmt w:val="lowerRoman"/>
        <w:lvlText w:val="%9."/>
        <w:lvlJc w:val="left"/>
        <w:pPr>
          <w:ind w:left="5836" w:hanging="7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1" w16cid:durableId="1599941276">
    <w:abstractNumId w:val="3"/>
    <w:lvlOverride w:ilvl="0">
      <w:lvl w:ilvl="0" w:tplc="54F80DB6">
        <w:start w:val="1"/>
        <w:numFmt w:val="decimal"/>
        <w:lvlText w:val="%1."/>
        <w:lvlJc w:val="left"/>
        <w:pPr>
          <w:ind w:left="709" w:hanging="709"/>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D0A04EC">
        <w:start w:val="1"/>
        <w:numFmt w:val="lowerLetter"/>
        <w:lvlText w:val="%2."/>
        <w:lvlJc w:val="left"/>
        <w:pPr>
          <w:ind w:left="796" w:hanging="622"/>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A46F0BA">
        <w:start w:val="1"/>
        <w:numFmt w:val="lowerRoman"/>
        <w:lvlText w:val="%3."/>
        <w:lvlJc w:val="left"/>
        <w:pPr>
          <w:ind w:left="5084" w:hanging="50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A4E71C">
        <w:start w:val="1"/>
        <w:numFmt w:val="decimal"/>
        <w:lvlText w:val="%4."/>
        <w:lvlJc w:val="left"/>
        <w:pPr>
          <w:ind w:left="4424" w:hanging="4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96FC72">
        <w:start w:val="1"/>
        <w:numFmt w:val="lowerLetter"/>
        <w:lvlText w:val="%5."/>
        <w:lvlJc w:val="left"/>
        <w:pPr>
          <w:ind w:left="3704" w:hanging="37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DEE424">
        <w:start w:val="1"/>
        <w:numFmt w:val="lowerRoman"/>
        <w:lvlText w:val="%6."/>
        <w:lvlJc w:val="left"/>
        <w:pPr>
          <w:ind w:left="3676" w:hanging="29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3CC126A">
        <w:start w:val="1"/>
        <w:numFmt w:val="decimal"/>
        <w:lvlText w:val="%7."/>
        <w:lvlJc w:val="left"/>
        <w:pPr>
          <w:ind w:left="4396" w:hanging="22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0BAD202">
        <w:start w:val="1"/>
        <w:numFmt w:val="lowerLetter"/>
        <w:lvlText w:val="%8."/>
        <w:lvlJc w:val="left"/>
        <w:pPr>
          <w:ind w:left="5116" w:hanging="15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C20764">
        <w:start w:val="1"/>
        <w:numFmt w:val="lowerRoman"/>
        <w:lvlText w:val="%9."/>
        <w:lvlJc w:val="left"/>
        <w:pPr>
          <w:ind w:left="5836" w:hanging="7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2" w16cid:durableId="1495803904">
    <w:abstractNumId w:val="3"/>
    <w:lvlOverride w:ilvl="0">
      <w:lvl w:ilvl="0" w:tplc="54F80DB6">
        <w:start w:val="1"/>
        <w:numFmt w:val="decimal"/>
        <w:lvlText w:val="%1."/>
        <w:lvlJc w:val="left"/>
        <w:pPr>
          <w:tabs>
            <w:tab w:val="left" w:pos="709"/>
            <w:tab w:val="left" w:pos="1440"/>
            <w:tab w:val="left" w:pos="6660"/>
          </w:tabs>
          <w:ind w:left="3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D0A04EC">
        <w:start w:val="1"/>
        <w:numFmt w:val="lowerLetter"/>
        <w:lvlText w:val="%2."/>
        <w:lvlJc w:val="left"/>
        <w:pPr>
          <w:tabs>
            <w:tab w:val="left" w:pos="1440"/>
            <w:tab w:val="left" w:pos="6660"/>
          </w:tabs>
          <w:ind w:left="796" w:hanging="6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A46F0BA">
        <w:start w:val="1"/>
        <w:numFmt w:val="lowerRoman"/>
        <w:lvlText w:val="%3."/>
        <w:lvlJc w:val="left"/>
        <w:pPr>
          <w:tabs>
            <w:tab w:val="left" w:pos="6660"/>
          </w:tabs>
          <w:ind w:left="5084" w:hanging="508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1A4E71C">
        <w:start w:val="1"/>
        <w:numFmt w:val="decimal"/>
        <w:lvlText w:val="%4."/>
        <w:lvlJc w:val="left"/>
        <w:pPr>
          <w:tabs>
            <w:tab w:val="left" w:pos="6660"/>
          </w:tabs>
          <w:ind w:left="4424" w:hanging="44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396FC72">
        <w:start w:val="1"/>
        <w:numFmt w:val="lowerLetter"/>
        <w:lvlText w:val="%5."/>
        <w:lvlJc w:val="left"/>
        <w:pPr>
          <w:tabs>
            <w:tab w:val="left" w:pos="6660"/>
          </w:tabs>
          <w:ind w:left="3704" w:hanging="370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6DEE424">
        <w:start w:val="1"/>
        <w:numFmt w:val="lowerRoman"/>
        <w:lvlText w:val="%6."/>
        <w:lvlJc w:val="left"/>
        <w:pPr>
          <w:tabs>
            <w:tab w:val="left" w:pos="360"/>
            <w:tab w:val="left" w:pos="709"/>
            <w:tab w:val="left" w:pos="6660"/>
          </w:tabs>
          <w:ind w:left="3676" w:hanging="292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3CC126A">
        <w:start w:val="1"/>
        <w:numFmt w:val="decimal"/>
        <w:lvlText w:val="%7."/>
        <w:lvlJc w:val="left"/>
        <w:pPr>
          <w:tabs>
            <w:tab w:val="left" w:pos="360"/>
            <w:tab w:val="left" w:pos="709"/>
            <w:tab w:val="left" w:pos="1440"/>
            <w:tab w:val="left" w:pos="6660"/>
          </w:tabs>
          <w:ind w:left="4396" w:hanging="22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E0BAD202">
        <w:start w:val="1"/>
        <w:numFmt w:val="lowerLetter"/>
        <w:lvlText w:val="%8."/>
        <w:lvlJc w:val="left"/>
        <w:pPr>
          <w:tabs>
            <w:tab w:val="left" w:pos="360"/>
            <w:tab w:val="left" w:pos="709"/>
            <w:tab w:val="left" w:pos="1440"/>
            <w:tab w:val="left" w:pos="6660"/>
          </w:tabs>
          <w:ind w:left="5116" w:hanging="154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4C20764">
        <w:start w:val="1"/>
        <w:numFmt w:val="lowerRoman"/>
        <w:lvlText w:val="%9."/>
        <w:lvlJc w:val="left"/>
        <w:pPr>
          <w:tabs>
            <w:tab w:val="left" w:pos="360"/>
            <w:tab w:val="left" w:pos="709"/>
            <w:tab w:val="left" w:pos="1440"/>
            <w:tab w:val="left" w:pos="6660"/>
          </w:tabs>
          <w:ind w:left="5836" w:hanging="764"/>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displayBackgroundShape/>
  <w:proofState w:spelling="clean" w:grammar="clean"/>
  <w:defaultTabStop w:val="720"/>
  <w:characterSpacingControl w:val="doNotCompress"/>
  <w:footnotePr>
    <w:footnote w:id="-1"/>
    <w:footnote w:id="0"/>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5C0"/>
    <w:rsid w:val="00395024"/>
    <w:rsid w:val="00531787"/>
    <w:rsid w:val="008805C0"/>
    <w:rsid w:val="00DD663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3EB98E"/>
  <w15:docId w15:val="{E370E9B5-E3DC-E64C-88D8-670DBEFD7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pPr>
      <w:tabs>
        <w:tab w:val="left" w:pos="576"/>
        <w:tab w:val="left" w:pos="1008"/>
        <w:tab w:val="left" w:pos="1440"/>
        <w:tab w:val="left" w:pos="1872"/>
        <w:tab w:val="left" w:pos="2304"/>
        <w:tab w:val="left" w:pos="2736"/>
      </w:tabs>
      <w:spacing w:before="120" w:after="120"/>
      <w:jc w:val="both"/>
    </w:pPr>
    <w:rPr>
      <w:rFonts w:cs="Arial Unicode MS"/>
      <w:color w:val="000000"/>
      <w:spacing w:val="-2"/>
      <w:sz w:val="24"/>
      <w:szCs w:val="24"/>
      <w:u w:color="000000"/>
      <w:lang w:val="fr-FR"/>
      <w14:textOutline w14:w="0" w14:cap="flat" w14:cmpd="sng" w14:algn="ctr">
        <w14:noFill/>
        <w14:prstDash w14:val="solid"/>
        <w14:bevel/>
      </w14:textOutline>
    </w:rPr>
  </w:style>
  <w:style w:type="character" w:customStyle="1" w:styleId="reflex3-block">
    <w:name w:val="reflex3-block"/>
  </w:style>
  <w:style w:type="paragraph" w:styleId="Header">
    <w:name w:val="header"/>
    <w:pPr>
      <w:tabs>
        <w:tab w:val="left" w:pos="576"/>
        <w:tab w:val="left" w:pos="1008"/>
        <w:tab w:val="left" w:pos="1440"/>
        <w:tab w:val="left" w:pos="1872"/>
        <w:tab w:val="left" w:pos="2304"/>
        <w:tab w:val="left" w:pos="2736"/>
        <w:tab w:val="center" w:pos="4320"/>
        <w:tab w:val="right" w:pos="8640"/>
      </w:tabs>
      <w:spacing w:before="120" w:after="120"/>
      <w:jc w:val="both"/>
    </w:pPr>
    <w:rPr>
      <w:rFonts w:ascii="Arial" w:hAnsi="Arial" w:cs="Arial Unicode MS"/>
      <w:color w:val="000000"/>
      <w:u w:color="000000"/>
      <w:lang w:val="nl-NL"/>
    </w:rPr>
  </w:style>
  <w:style w:type="numbering" w:customStyle="1" w:styleId="ImportedStyle1">
    <w:name w:val="Imported Style 1"/>
    <w:pPr>
      <w:numPr>
        <w:numId w:val="1"/>
      </w:numPr>
    </w:pPr>
  </w:style>
  <w:style w:type="paragraph" w:styleId="EndnoteText">
    <w:name w:val="endnote text"/>
    <w:rPr>
      <w:rFonts w:eastAsia="Times New Roman"/>
      <w:color w:val="000000"/>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lang w:val="en-US"/>
    </w:rPr>
  </w:style>
  <w:style w:type="paragraph" w:styleId="ListParagraph">
    <w:name w:val="List Paragraph"/>
    <w:pPr>
      <w:ind w:left="720"/>
    </w:pPr>
    <w:rPr>
      <w:rFonts w:ascii="Calibri" w:hAnsi="Calibri" w:cs="Arial Unicode MS"/>
      <w:color w:val="000000"/>
      <w:sz w:val="22"/>
      <w:szCs w:val="22"/>
      <w:u w:color="000000"/>
      <w:lang w:val="en-US"/>
    </w:rPr>
  </w:style>
  <w:style w:type="numbering" w:customStyle="1" w:styleId="ImportedStyle2">
    <w:name w:val="Imported Style 2"/>
    <w:pPr>
      <w:numPr>
        <w:numId w:val="4"/>
      </w:numPr>
    </w:pPr>
  </w:style>
  <w:style w:type="numbering" w:customStyle="1" w:styleId="ImportedStyle3">
    <w:name w:val="Imported Style 3"/>
    <w:pPr>
      <w:numPr>
        <w:numId w:val="7"/>
      </w:numPr>
    </w:pPr>
  </w:style>
  <w:style w:type="paragraph" w:customStyle="1" w:styleId="CGBody">
    <w:name w:val="CG Body"/>
    <w:pPr>
      <w:tabs>
        <w:tab w:val="left" w:pos="709"/>
        <w:tab w:val="left" w:pos="1418"/>
        <w:tab w:val="left" w:pos="6660"/>
      </w:tabs>
      <w:spacing w:after="240" w:line="360" w:lineRule="auto"/>
    </w:pPr>
    <w:rPr>
      <w:rFonts w:cs="Arial Unicode MS"/>
      <w:color w:val="000000"/>
      <w:sz w:val="24"/>
      <w:szCs w:val="24"/>
      <w:u w:color="000000"/>
      <w:lang w:val="en-US"/>
    </w:rPr>
  </w:style>
  <w:style w:type="character" w:customStyle="1" w:styleId="Link">
    <w:name w:val="Link"/>
    <w:rPr>
      <w:outline w:val="0"/>
      <w:color w:val="0000FF"/>
      <w:u w:val="single" w:color="0000FF"/>
    </w:rPr>
  </w:style>
  <w:style w:type="character" w:customStyle="1" w:styleId="Hyperlink1">
    <w:name w:val="Hyperlink.1"/>
    <w:basedOn w:val="Link"/>
    <w:rPr>
      <w:rFonts w:ascii="Times New Roman" w:eastAsia="Times New Roman" w:hAnsi="Times New Roman" w:cs="Times New Roman"/>
      <w:outline w:val="0"/>
      <w:color w:val="0000FF"/>
      <w:u w:val="single" w:color="0000FF"/>
      <w:lang w:val="en-US"/>
    </w:rPr>
  </w:style>
  <w:style w:type="character" w:customStyle="1" w:styleId="Hyperlink2">
    <w:name w:val="Hyperlink.2"/>
    <w:basedOn w:val="None"/>
    <w:rPr>
      <w:spacing w:val="0"/>
      <w:lang w:val="en-US"/>
    </w:rPr>
  </w:style>
  <w:style w:type="character" w:customStyle="1" w:styleId="Hyperlink3">
    <w:name w:val="Hyperlink.3"/>
    <w:basedOn w:val="None"/>
    <w:rPr>
      <w:rFonts w:ascii="Times New Roman" w:eastAsia="Times New Roman" w:hAnsi="Times New Roman" w:cs="Times New Roman"/>
      <w:i/>
      <w:iCs/>
      <w:spacing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anlii.org/en/ca/laws/stat/sc-2001-c-27/latest/sc-2001-c-27.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lii.org/en/ca/laws/stat/sc-2001-c-27/latest/sc-2001-c-27.html#sec111subsec1_smooth"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2" Type="http://schemas.openxmlformats.org/officeDocument/2006/relationships/hyperlink" Target="https://www.uscis.gov/humanitarian/refugees-and-asylum/asylum/asylum-frequently-asked-questions/questions-and-answers-asylum-eligibility-and-applications#:~:text=You%2520may%2520apply%2520for%2520asylum%2520regardless%2520of%2520your%2520immigration%2520status,arrival%2520to%2520the%2520United%2520States.&amp;text=extraordinary%2520circumstances%2520relating%2520to%2520your,be%2520eligible%2520for%2520an%2520exception" TargetMode="External"/><Relationship Id="rId1" Type="http://schemas.openxmlformats.org/officeDocument/2006/relationships/hyperlink" Target="https://www.canlii.org/en/ca/fca/doc/2016/2016fca93/2016fca93.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Neue"/>
        <a:ea typeface="Helvetica Neue"/>
        <a:cs typeface="Helvetica Neue"/>
      </a:majorFont>
      <a:minorFont>
        <a:latin typeface="Helvetica Neue"/>
        <a:ea typeface="Helvetica Neue"/>
        <a:cs typeface="Helvetica Neue"/>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2124</Words>
  <Characters>12113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Soliyana Yared</cp:lastModifiedBy>
  <cp:revision>2</cp:revision>
  <dcterms:created xsi:type="dcterms:W3CDTF">2022-06-17T19:30:00Z</dcterms:created>
  <dcterms:modified xsi:type="dcterms:W3CDTF">2022-06-17T20:40:00Z</dcterms:modified>
</cp:coreProperties>
</file>