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13EC7" w14:textId="77777777" w:rsidR="00A03E39" w:rsidRDefault="00A03E39">
      <w:pPr>
        <w:pStyle w:val="CGText"/>
      </w:pPr>
    </w:p>
    <w:p w14:paraId="0CA2112B" w14:textId="77777777" w:rsidR="00A03E39" w:rsidRDefault="000823B8">
      <w:pPr>
        <w:pStyle w:val="Body"/>
        <w:tabs>
          <w:tab w:val="clear" w:pos="576"/>
          <w:tab w:val="clear" w:pos="1008"/>
          <w:tab w:val="clear" w:pos="1440"/>
          <w:tab w:val="clear" w:pos="1872"/>
          <w:tab w:val="clear" w:pos="2304"/>
          <w:tab w:val="clear" w:pos="2736"/>
        </w:tabs>
        <w:jc w:val="right"/>
        <w:rPr>
          <w:b/>
          <w:bCs/>
          <w:sz w:val="22"/>
          <w:szCs w:val="22"/>
        </w:rPr>
      </w:pPr>
      <w:r>
        <w:rPr>
          <w:b/>
          <w:bCs/>
          <w:sz w:val="22"/>
          <w:szCs w:val="22"/>
        </w:rPr>
        <w:t>RAD File / Dossier de la SAR : MC008954</w:t>
      </w:r>
    </w:p>
    <w:p w14:paraId="40794CED" w14:textId="77777777" w:rsidR="00A03E39" w:rsidRDefault="00A03E39">
      <w:pPr>
        <w:pStyle w:val="Body"/>
        <w:tabs>
          <w:tab w:val="clear" w:pos="576"/>
          <w:tab w:val="clear" w:pos="1008"/>
          <w:tab w:val="clear" w:pos="1440"/>
          <w:tab w:val="clear" w:pos="1872"/>
          <w:tab w:val="clear" w:pos="2304"/>
          <w:tab w:val="clear" w:pos="2736"/>
        </w:tabs>
        <w:jc w:val="right"/>
        <w:rPr>
          <w:rStyle w:val="citationcar"/>
          <w:sz w:val="20"/>
          <w:szCs w:val="20"/>
        </w:rPr>
      </w:pPr>
    </w:p>
    <w:p w14:paraId="088903AE" w14:textId="77777777" w:rsidR="00A03E39" w:rsidRDefault="000823B8">
      <w:pPr>
        <w:pStyle w:val="Header"/>
        <w:tabs>
          <w:tab w:val="clear" w:pos="576"/>
          <w:tab w:val="clear" w:pos="1008"/>
          <w:tab w:val="clear" w:pos="1440"/>
          <w:tab w:val="clear" w:pos="1872"/>
          <w:tab w:val="clear" w:pos="2304"/>
          <w:tab w:val="clear" w:pos="2736"/>
          <w:tab w:val="clear" w:pos="4320"/>
          <w:tab w:val="clear" w:pos="8640"/>
        </w:tabs>
        <w:jc w:val="right"/>
        <w:rPr>
          <w:rFonts w:ascii="Times New Roman" w:eastAsia="Times New Roman" w:hAnsi="Times New Roman" w:cs="Times New Roman"/>
          <w:b/>
          <w:bCs/>
          <w:i/>
          <w:iCs/>
          <w:sz w:val="22"/>
          <w:szCs w:val="22"/>
        </w:rPr>
      </w:pPr>
      <w:r>
        <w:rPr>
          <w:rFonts w:ascii="Times New Roman" w:hAnsi="Times New Roman"/>
          <w:b/>
          <w:bCs/>
          <w:i/>
          <w:iCs/>
          <w:sz w:val="22"/>
          <w:szCs w:val="22"/>
        </w:rPr>
        <w:t>Private Proceeding / Huis clos</w:t>
      </w:r>
    </w:p>
    <w:p w14:paraId="0B5EED0D" w14:textId="77777777" w:rsidR="00A03E39" w:rsidRDefault="00A03E39">
      <w:pPr>
        <w:pStyle w:val="Header"/>
        <w:tabs>
          <w:tab w:val="clear" w:pos="576"/>
          <w:tab w:val="clear" w:pos="1008"/>
          <w:tab w:val="clear" w:pos="1440"/>
          <w:tab w:val="clear" w:pos="1872"/>
          <w:tab w:val="clear" w:pos="2304"/>
          <w:tab w:val="clear" w:pos="2736"/>
          <w:tab w:val="clear" w:pos="4320"/>
          <w:tab w:val="clear" w:pos="8640"/>
        </w:tabs>
        <w:rPr>
          <w:rFonts w:ascii="Times New Roman" w:eastAsia="Times New Roman" w:hAnsi="Times New Roman" w:cs="Times New Roman"/>
          <w:sz w:val="22"/>
          <w:szCs w:val="22"/>
        </w:rPr>
      </w:pPr>
    </w:p>
    <w:p w14:paraId="53B8C019" w14:textId="77777777" w:rsidR="00A03E39" w:rsidRDefault="000823B8">
      <w:pPr>
        <w:pStyle w:val="Body"/>
        <w:keepNext/>
        <w:tabs>
          <w:tab w:val="left" w:pos="4950"/>
        </w:tabs>
        <w:spacing w:after="240"/>
        <w:jc w:val="center"/>
        <w:outlineLvl w:val="1"/>
        <w:rPr>
          <w:b/>
          <w:bCs/>
          <w:sz w:val="32"/>
          <w:szCs w:val="32"/>
        </w:rPr>
      </w:pPr>
      <w:r>
        <w:rPr>
          <w:b/>
          <w:bCs/>
          <w:sz w:val="32"/>
          <w:szCs w:val="32"/>
          <w:lang w:val="en-US"/>
        </w:rPr>
        <w:t xml:space="preserve">Reasons and Decision </w:t>
      </w:r>
      <w:r>
        <w:rPr>
          <w:rFonts w:ascii="Symbol" w:hAnsi="Symbol"/>
          <w:sz w:val="32"/>
          <w:szCs w:val="32"/>
        </w:rPr>
        <w:t>-</w:t>
      </w:r>
      <w:r>
        <w:rPr>
          <w:b/>
          <w:bCs/>
          <w:sz w:val="32"/>
          <w:szCs w:val="32"/>
        </w:rPr>
        <w:t xml:space="preserve"> Motifs et </w:t>
      </w:r>
      <w:proofErr w:type="spellStart"/>
      <w:r>
        <w:rPr>
          <w:b/>
          <w:bCs/>
          <w:sz w:val="32"/>
          <w:szCs w:val="32"/>
        </w:rPr>
        <w:t>decision</w:t>
      </w:r>
      <w:proofErr w:type="spellEnd"/>
    </w:p>
    <w:p w14:paraId="71AE57A5" w14:textId="77777777" w:rsidR="00A03E39" w:rsidRDefault="00A03E39">
      <w:pPr>
        <w:pStyle w:val="Header"/>
        <w:tabs>
          <w:tab w:val="clear" w:pos="576"/>
          <w:tab w:val="clear" w:pos="1008"/>
          <w:tab w:val="clear" w:pos="1440"/>
          <w:tab w:val="clear" w:pos="1872"/>
          <w:tab w:val="clear" w:pos="2304"/>
          <w:tab w:val="clear" w:pos="2736"/>
          <w:tab w:val="clear" w:pos="4320"/>
          <w:tab w:val="clear" w:pos="8640"/>
        </w:tabs>
        <w:rPr>
          <w:rFonts w:ascii="Times New Roman" w:eastAsia="Times New Roman" w:hAnsi="Times New Roman" w:cs="Times New Roman"/>
          <w:sz w:val="22"/>
          <w:szCs w:val="22"/>
        </w:rPr>
      </w:pPr>
    </w:p>
    <w:tbl>
      <w:tblPr>
        <w:tblW w:w="953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42"/>
        <w:gridCol w:w="4448"/>
        <w:gridCol w:w="2543"/>
      </w:tblGrid>
      <w:tr w:rsidR="00A03E39" w14:paraId="70C5921A" w14:textId="77777777">
        <w:trPr>
          <w:trHeight w:val="281"/>
          <w:jc w:val="center"/>
        </w:trPr>
        <w:tc>
          <w:tcPr>
            <w:tcW w:w="9533" w:type="dxa"/>
            <w:gridSpan w:val="3"/>
            <w:tcBorders>
              <w:top w:val="nil"/>
              <w:left w:val="nil"/>
              <w:bottom w:val="nil"/>
              <w:right w:val="nil"/>
            </w:tcBorders>
            <w:shd w:val="clear" w:color="auto" w:fill="auto"/>
            <w:tcMar>
              <w:top w:w="80" w:type="dxa"/>
              <w:left w:w="80" w:type="dxa"/>
              <w:bottom w:w="80" w:type="dxa"/>
              <w:right w:w="80" w:type="dxa"/>
            </w:tcMar>
          </w:tcPr>
          <w:p w14:paraId="4865499B" w14:textId="77777777" w:rsidR="00A03E39" w:rsidRDefault="00A03E39"/>
        </w:tc>
      </w:tr>
      <w:tr w:rsidR="00A03E39" w14:paraId="0AF58C0A" w14:textId="77777777">
        <w:trPr>
          <w:trHeight w:val="452"/>
          <w:jc w:val="center"/>
        </w:trPr>
        <w:tc>
          <w:tcPr>
            <w:tcW w:w="2542" w:type="dxa"/>
            <w:tcBorders>
              <w:top w:val="nil"/>
              <w:left w:val="nil"/>
              <w:bottom w:val="nil"/>
              <w:right w:val="nil"/>
            </w:tcBorders>
            <w:shd w:val="clear" w:color="auto" w:fill="auto"/>
            <w:tcMar>
              <w:top w:w="80" w:type="dxa"/>
              <w:left w:w="80" w:type="dxa"/>
              <w:bottom w:w="80" w:type="dxa"/>
              <w:right w:w="80" w:type="dxa"/>
            </w:tcMar>
          </w:tcPr>
          <w:p w14:paraId="6682E4A2" w14:textId="77777777" w:rsidR="00A03E39" w:rsidRDefault="000823B8">
            <w:pPr>
              <w:pStyle w:val="Body"/>
              <w:tabs>
                <w:tab w:val="clear" w:pos="576"/>
                <w:tab w:val="clear" w:pos="1008"/>
                <w:tab w:val="clear" w:pos="1440"/>
                <w:tab w:val="clear" w:pos="1872"/>
                <w:tab w:val="clear" w:pos="2304"/>
                <w:tab w:val="clear" w:pos="2736"/>
              </w:tabs>
              <w:jc w:val="left"/>
            </w:pPr>
            <w:r>
              <w:rPr>
                <w:b/>
                <w:bCs/>
                <w:spacing w:val="-1"/>
                <w:sz w:val="20"/>
                <w:szCs w:val="20"/>
                <w:lang w:val="en-US"/>
              </w:rPr>
              <w:t>Person who is the subject of the appeal</w:t>
            </w:r>
          </w:p>
        </w:tc>
        <w:tc>
          <w:tcPr>
            <w:tcW w:w="4448" w:type="dxa"/>
            <w:tcBorders>
              <w:top w:val="nil"/>
              <w:left w:val="nil"/>
              <w:bottom w:val="nil"/>
              <w:right w:val="nil"/>
            </w:tcBorders>
            <w:shd w:val="clear" w:color="auto" w:fill="auto"/>
            <w:tcMar>
              <w:top w:w="80" w:type="dxa"/>
              <w:left w:w="80" w:type="dxa"/>
              <w:bottom w:w="80" w:type="dxa"/>
              <w:right w:w="80" w:type="dxa"/>
            </w:tcMar>
          </w:tcPr>
          <w:p w14:paraId="4689F7FD" w14:textId="77777777" w:rsidR="00A03E39" w:rsidRDefault="000823B8">
            <w:pPr>
              <w:pStyle w:val="Body"/>
              <w:tabs>
                <w:tab w:val="clear" w:pos="576"/>
                <w:tab w:val="clear" w:pos="1008"/>
                <w:tab w:val="clear" w:pos="1440"/>
                <w:tab w:val="clear" w:pos="1872"/>
                <w:tab w:val="clear" w:pos="2304"/>
                <w:tab w:val="clear" w:pos="2736"/>
              </w:tabs>
              <w:jc w:val="center"/>
            </w:pPr>
            <w:r>
              <w:rPr>
                <w:b/>
                <w:bCs/>
              </w:rPr>
              <w:t xml:space="preserve">Ibrahim </w:t>
            </w:r>
            <w:proofErr w:type="spellStart"/>
            <w:r>
              <w:rPr>
                <w:b/>
                <w:bCs/>
              </w:rPr>
              <w:t>Oluwamuyiwa</w:t>
            </w:r>
            <w:proofErr w:type="spellEnd"/>
            <w:r>
              <w:rPr>
                <w:b/>
                <w:bCs/>
              </w:rPr>
              <w:t xml:space="preserve"> </w:t>
            </w:r>
            <w:proofErr w:type="spellStart"/>
            <w:r>
              <w:rPr>
                <w:b/>
                <w:bCs/>
              </w:rPr>
              <w:t>Akpala</w:t>
            </w:r>
            <w:proofErr w:type="spellEnd"/>
          </w:p>
        </w:tc>
        <w:tc>
          <w:tcPr>
            <w:tcW w:w="2543" w:type="dxa"/>
            <w:tcBorders>
              <w:top w:val="nil"/>
              <w:left w:val="nil"/>
              <w:bottom w:val="nil"/>
              <w:right w:val="nil"/>
            </w:tcBorders>
            <w:shd w:val="clear" w:color="auto" w:fill="auto"/>
            <w:tcMar>
              <w:top w:w="80" w:type="dxa"/>
              <w:left w:w="80" w:type="dxa"/>
              <w:bottom w:w="80" w:type="dxa"/>
              <w:right w:w="80" w:type="dxa"/>
            </w:tcMar>
          </w:tcPr>
          <w:p w14:paraId="35FB7649" w14:textId="77777777" w:rsidR="00A03E39" w:rsidRDefault="000823B8">
            <w:pPr>
              <w:pStyle w:val="Body"/>
              <w:tabs>
                <w:tab w:val="clear" w:pos="576"/>
                <w:tab w:val="clear" w:pos="1008"/>
                <w:tab w:val="clear" w:pos="1440"/>
                <w:tab w:val="clear" w:pos="1872"/>
                <w:tab w:val="clear" w:pos="2304"/>
                <w:tab w:val="clear" w:pos="2736"/>
              </w:tabs>
              <w:jc w:val="right"/>
            </w:pPr>
            <w:r>
              <w:rPr>
                <w:b/>
                <w:bCs/>
                <w:spacing w:val="-1"/>
                <w:sz w:val="20"/>
                <w:szCs w:val="20"/>
              </w:rPr>
              <w:t>Personne en cause</w:t>
            </w:r>
          </w:p>
        </w:tc>
      </w:tr>
      <w:tr w:rsidR="00A03E39" w14:paraId="79A1C453" w14:textId="77777777">
        <w:trPr>
          <w:trHeight w:val="407"/>
          <w:jc w:val="center"/>
        </w:trPr>
        <w:tc>
          <w:tcPr>
            <w:tcW w:w="2542" w:type="dxa"/>
            <w:tcBorders>
              <w:top w:val="nil"/>
              <w:left w:val="nil"/>
              <w:bottom w:val="nil"/>
              <w:right w:val="nil"/>
            </w:tcBorders>
            <w:shd w:val="clear" w:color="auto" w:fill="auto"/>
            <w:tcMar>
              <w:top w:w="80" w:type="dxa"/>
              <w:left w:w="80" w:type="dxa"/>
              <w:bottom w:w="80" w:type="dxa"/>
              <w:right w:w="80" w:type="dxa"/>
            </w:tcMar>
          </w:tcPr>
          <w:p w14:paraId="090A13FC" w14:textId="77777777" w:rsidR="00A03E39" w:rsidRDefault="00A03E39"/>
        </w:tc>
        <w:tc>
          <w:tcPr>
            <w:tcW w:w="4448" w:type="dxa"/>
            <w:tcBorders>
              <w:top w:val="nil"/>
              <w:left w:val="nil"/>
              <w:bottom w:val="nil"/>
              <w:right w:val="nil"/>
            </w:tcBorders>
            <w:shd w:val="clear" w:color="auto" w:fill="auto"/>
            <w:tcMar>
              <w:top w:w="80" w:type="dxa"/>
              <w:left w:w="80" w:type="dxa"/>
              <w:bottom w:w="80" w:type="dxa"/>
              <w:right w:w="80" w:type="dxa"/>
            </w:tcMar>
          </w:tcPr>
          <w:p w14:paraId="62AD4E70" w14:textId="77777777" w:rsidR="00A03E39" w:rsidRDefault="00A03E39"/>
        </w:tc>
        <w:tc>
          <w:tcPr>
            <w:tcW w:w="2543" w:type="dxa"/>
            <w:tcBorders>
              <w:top w:val="nil"/>
              <w:left w:val="nil"/>
              <w:bottom w:val="nil"/>
              <w:right w:val="nil"/>
            </w:tcBorders>
            <w:shd w:val="clear" w:color="auto" w:fill="auto"/>
            <w:tcMar>
              <w:top w:w="80" w:type="dxa"/>
              <w:left w:w="80" w:type="dxa"/>
              <w:bottom w:w="80" w:type="dxa"/>
              <w:right w:w="80" w:type="dxa"/>
            </w:tcMar>
          </w:tcPr>
          <w:p w14:paraId="2DA6F8C1" w14:textId="77777777" w:rsidR="00A03E39" w:rsidRDefault="00A03E39"/>
        </w:tc>
      </w:tr>
      <w:tr w:rsidR="00A03E39" w14:paraId="4B67F6B4" w14:textId="77777777">
        <w:trPr>
          <w:trHeight w:val="452"/>
          <w:jc w:val="center"/>
        </w:trPr>
        <w:tc>
          <w:tcPr>
            <w:tcW w:w="2542" w:type="dxa"/>
            <w:tcBorders>
              <w:top w:val="nil"/>
              <w:left w:val="nil"/>
              <w:bottom w:val="nil"/>
              <w:right w:val="nil"/>
            </w:tcBorders>
            <w:shd w:val="clear" w:color="auto" w:fill="auto"/>
            <w:tcMar>
              <w:top w:w="80" w:type="dxa"/>
              <w:left w:w="80" w:type="dxa"/>
              <w:bottom w:w="80" w:type="dxa"/>
              <w:right w:w="80" w:type="dxa"/>
            </w:tcMar>
          </w:tcPr>
          <w:p w14:paraId="4DF5978B" w14:textId="77777777" w:rsidR="00A03E39" w:rsidRDefault="000823B8">
            <w:pPr>
              <w:pStyle w:val="Body"/>
              <w:tabs>
                <w:tab w:val="clear" w:pos="576"/>
                <w:tab w:val="clear" w:pos="1008"/>
                <w:tab w:val="clear" w:pos="1440"/>
                <w:tab w:val="clear" w:pos="1872"/>
                <w:tab w:val="clear" w:pos="2304"/>
                <w:tab w:val="clear" w:pos="2736"/>
              </w:tabs>
              <w:jc w:val="left"/>
            </w:pPr>
            <w:r>
              <w:rPr>
                <w:b/>
                <w:bCs/>
                <w:spacing w:val="-1"/>
                <w:sz w:val="20"/>
                <w:szCs w:val="20"/>
                <w:lang w:val="en-US"/>
              </w:rPr>
              <w:t xml:space="preserve">Appeal considered / heard at </w:t>
            </w:r>
          </w:p>
        </w:tc>
        <w:tc>
          <w:tcPr>
            <w:tcW w:w="4448" w:type="dxa"/>
            <w:tcBorders>
              <w:top w:val="nil"/>
              <w:left w:val="nil"/>
              <w:bottom w:val="nil"/>
              <w:right w:val="nil"/>
            </w:tcBorders>
            <w:shd w:val="clear" w:color="auto" w:fill="auto"/>
            <w:tcMar>
              <w:top w:w="80" w:type="dxa"/>
              <w:left w:w="80" w:type="dxa"/>
              <w:bottom w:w="80" w:type="dxa"/>
              <w:right w:w="80" w:type="dxa"/>
            </w:tcMar>
          </w:tcPr>
          <w:p w14:paraId="61C37ED8" w14:textId="77777777" w:rsidR="00A03E39" w:rsidRDefault="000823B8">
            <w:pPr>
              <w:pStyle w:val="Header"/>
              <w:tabs>
                <w:tab w:val="clear" w:pos="576"/>
                <w:tab w:val="clear" w:pos="1008"/>
                <w:tab w:val="clear" w:pos="1440"/>
                <w:tab w:val="clear" w:pos="1872"/>
                <w:tab w:val="clear" w:pos="2304"/>
                <w:tab w:val="clear" w:pos="2736"/>
                <w:tab w:val="left" w:pos="720"/>
              </w:tabs>
              <w:jc w:val="center"/>
            </w:pPr>
            <w:r>
              <w:rPr>
                <w:rFonts w:ascii="Times New Roman" w:hAnsi="Times New Roman"/>
                <w:sz w:val="24"/>
                <w:szCs w:val="24"/>
              </w:rPr>
              <w:t>Calgary, AB</w:t>
            </w:r>
          </w:p>
        </w:tc>
        <w:tc>
          <w:tcPr>
            <w:tcW w:w="2543" w:type="dxa"/>
            <w:tcBorders>
              <w:top w:val="nil"/>
              <w:left w:val="nil"/>
              <w:bottom w:val="nil"/>
              <w:right w:val="nil"/>
            </w:tcBorders>
            <w:shd w:val="clear" w:color="auto" w:fill="auto"/>
            <w:tcMar>
              <w:top w:w="80" w:type="dxa"/>
              <w:left w:w="80" w:type="dxa"/>
              <w:bottom w:w="80" w:type="dxa"/>
              <w:right w:w="80" w:type="dxa"/>
            </w:tcMar>
          </w:tcPr>
          <w:p w14:paraId="23E60C06" w14:textId="77777777" w:rsidR="00A03E39" w:rsidRDefault="000823B8">
            <w:pPr>
              <w:pStyle w:val="Body"/>
              <w:tabs>
                <w:tab w:val="clear" w:pos="576"/>
                <w:tab w:val="clear" w:pos="1008"/>
                <w:tab w:val="clear" w:pos="1440"/>
                <w:tab w:val="clear" w:pos="1872"/>
                <w:tab w:val="clear" w:pos="2304"/>
                <w:tab w:val="clear" w:pos="2736"/>
              </w:tabs>
              <w:jc w:val="right"/>
            </w:pPr>
            <w:r>
              <w:rPr>
                <w:b/>
                <w:bCs/>
                <w:spacing w:val="-1"/>
                <w:sz w:val="20"/>
                <w:szCs w:val="20"/>
              </w:rPr>
              <w:t>Appel instruit / entendu à</w:t>
            </w:r>
          </w:p>
        </w:tc>
      </w:tr>
      <w:tr w:rsidR="00A03E39" w14:paraId="29D91BE4" w14:textId="77777777">
        <w:trPr>
          <w:trHeight w:val="407"/>
          <w:jc w:val="center"/>
        </w:trPr>
        <w:tc>
          <w:tcPr>
            <w:tcW w:w="2542" w:type="dxa"/>
            <w:tcBorders>
              <w:top w:val="nil"/>
              <w:left w:val="nil"/>
              <w:bottom w:val="nil"/>
              <w:right w:val="nil"/>
            </w:tcBorders>
            <w:shd w:val="clear" w:color="auto" w:fill="auto"/>
            <w:tcMar>
              <w:top w:w="80" w:type="dxa"/>
              <w:left w:w="80" w:type="dxa"/>
              <w:bottom w:w="80" w:type="dxa"/>
              <w:right w:w="80" w:type="dxa"/>
            </w:tcMar>
          </w:tcPr>
          <w:p w14:paraId="6E703DE4" w14:textId="77777777" w:rsidR="00A03E39" w:rsidRDefault="00A03E39"/>
        </w:tc>
        <w:tc>
          <w:tcPr>
            <w:tcW w:w="4448" w:type="dxa"/>
            <w:tcBorders>
              <w:top w:val="nil"/>
              <w:left w:val="nil"/>
              <w:bottom w:val="nil"/>
              <w:right w:val="nil"/>
            </w:tcBorders>
            <w:shd w:val="clear" w:color="auto" w:fill="auto"/>
            <w:tcMar>
              <w:top w:w="80" w:type="dxa"/>
              <w:left w:w="80" w:type="dxa"/>
              <w:bottom w:w="80" w:type="dxa"/>
              <w:right w:w="80" w:type="dxa"/>
            </w:tcMar>
          </w:tcPr>
          <w:p w14:paraId="6303403F" w14:textId="77777777" w:rsidR="00A03E39" w:rsidRDefault="00A03E39"/>
        </w:tc>
        <w:tc>
          <w:tcPr>
            <w:tcW w:w="2543" w:type="dxa"/>
            <w:tcBorders>
              <w:top w:val="nil"/>
              <w:left w:val="nil"/>
              <w:bottom w:val="nil"/>
              <w:right w:val="nil"/>
            </w:tcBorders>
            <w:shd w:val="clear" w:color="auto" w:fill="auto"/>
            <w:tcMar>
              <w:top w:w="80" w:type="dxa"/>
              <w:left w:w="80" w:type="dxa"/>
              <w:bottom w:w="80" w:type="dxa"/>
              <w:right w:w="80" w:type="dxa"/>
            </w:tcMar>
          </w:tcPr>
          <w:p w14:paraId="0EC4AACC" w14:textId="77777777" w:rsidR="00A03E39" w:rsidRDefault="00A03E39"/>
        </w:tc>
      </w:tr>
      <w:tr w:rsidR="00A03E39" w14:paraId="6E94D727" w14:textId="77777777">
        <w:trPr>
          <w:trHeight w:val="407"/>
          <w:jc w:val="center"/>
        </w:trPr>
        <w:tc>
          <w:tcPr>
            <w:tcW w:w="2542" w:type="dxa"/>
            <w:tcBorders>
              <w:top w:val="nil"/>
              <w:left w:val="nil"/>
              <w:bottom w:val="nil"/>
              <w:right w:val="nil"/>
            </w:tcBorders>
            <w:shd w:val="clear" w:color="auto" w:fill="auto"/>
            <w:tcMar>
              <w:top w:w="80" w:type="dxa"/>
              <w:left w:w="80" w:type="dxa"/>
              <w:bottom w:w="80" w:type="dxa"/>
              <w:right w:w="80" w:type="dxa"/>
            </w:tcMar>
          </w:tcPr>
          <w:p w14:paraId="090FD41F" w14:textId="77777777" w:rsidR="00A03E39" w:rsidRDefault="000823B8">
            <w:pPr>
              <w:pStyle w:val="Body"/>
              <w:tabs>
                <w:tab w:val="clear" w:pos="576"/>
                <w:tab w:val="clear" w:pos="1008"/>
                <w:tab w:val="clear" w:pos="1440"/>
                <w:tab w:val="clear" w:pos="1872"/>
                <w:tab w:val="clear" w:pos="2304"/>
                <w:tab w:val="clear" w:pos="2736"/>
              </w:tabs>
              <w:jc w:val="left"/>
            </w:pPr>
            <w:r>
              <w:rPr>
                <w:b/>
                <w:bCs/>
                <w:spacing w:val="-1"/>
                <w:sz w:val="20"/>
                <w:szCs w:val="20"/>
                <w:lang w:val="en-US"/>
              </w:rPr>
              <w:t xml:space="preserve">Date of decision </w:t>
            </w:r>
          </w:p>
        </w:tc>
        <w:tc>
          <w:tcPr>
            <w:tcW w:w="4448" w:type="dxa"/>
            <w:tcBorders>
              <w:top w:val="nil"/>
              <w:left w:val="nil"/>
              <w:bottom w:val="nil"/>
              <w:right w:val="nil"/>
            </w:tcBorders>
            <w:shd w:val="clear" w:color="auto" w:fill="auto"/>
            <w:tcMar>
              <w:top w:w="80" w:type="dxa"/>
              <w:left w:w="80" w:type="dxa"/>
              <w:bottom w:w="80" w:type="dxa"/>
              <w:right w:w="80" w:type="dxa"/>
            </w:tcMar>
          </w:tcPr>
          <w:p w14:paraId="3F495804" w14:textId="77777777" w:rsidR="00A03E39" w:rsidRDefault="000823B8">
            <w:pPr>
              <w:pStyle w:val="Body"/>
              <w:tabs>
                <w:tab w:val="clear" w:pos="576"/>
                <w:tab w:val="clear" w:pos="1008"/>
                <w:tab w:val="clear" w:pos="1440"/>
                <w:tab w:val="clear" w:pos="1872"/>
                <w:tab w:val="clear" w:pos="2304"/>
                <w:tab w:val="clear" w:pos="2736"/>
              </w:tabs>
              <w:jc w:val="center"/>
            </w:pPr>
            <w:r>
              <w:rPr>
                <w:lang w:val="en-US"/>
              </w:rPr>
              <w:t>June 29, 2021</w:t>
            </w:r>
          </w:p>
        </w:tc>
        <w:tc>
          <w:tcPr>
            <w:tcW w:w="2543" w:type="dxa"/>
            <w:tcBorders>
              <w:top w:val="nil"/>
              <w:left w:val="nil"/>
              <w:bottom w:val="nil"/>
              <w:right w:val="nil"/>
            </w:tcBorders>
            <w:shd w:val="clear" w:color="auto" w:fill="auto"/>
            <w:tcMar>
              <w:top w:w="80" w:type="dxa"/>
              <w:left w:w="80" w:type="dxa"/>
              <w:bottom w:w="80" w:type="dxa"/>
              <w:right w:w="80" w:type="dxa"/>
            </w:tcMar>
          </w:tcPr>
          <w:p w14:paraId="7BC2787A" w14:textId="77777777" w:rsidR="00A03E39" w:rsidRDefault="000823B8">
            <w:pPr>
              <w:pStyle w:val="Body"/>
              <w:tabs>
                <w:tab w:val="clear" w:pos="576"/>
                <w:tab w:val="clear" w:pos="1008"/>
                <w:tab w:val="clear" w:pos="1440"/>
                <w:tab w:val="clear" w:pos="1872"/>
                <w:tab w:val="clear" w:pos="2304"/>
                <w:tab w:val="clear" w:pos="2736"/>
              </w:tabs>
              <w:jc w:val="right"/>
            </w:pPr>
            <w:r>
              <w:rPr>
                <w:b/>
                <w:bCs/>
                <w:spacing w:val="-1"/>
                <w:sz w:val="20"/>
                <w:szCs w:val="20"/>
              </w:rPr>
              <w:t xml:space="preserve">Date de la décision </w:t>
            </w:r>
          </w:p>
        </w:tc>
      </w:tr>
      <w:tr w:rsidR="00A03E39" w14:paraId="6A4B6744" w14:textId="77777777">
        <w:trPr>
          <w:trHeight w:val="407"/>
          <w:jc w:val="center"/>
        </w:trPr>
        <w:tc>
          <w:tcPr>
            <w:tcW w:w="2542" w:type="dxa"/>
            <w:tcBorders>
              <w:top w:val="nil"/>
              <w:left w:val="nil"/>
              <w:bottom w:val="nil"/>
              <w:right w:val="nil"/>
            </w:tcBorders>
            <w:shd w:val="clear" w:color="auto" w:fill="auto"/>
            <w:tcMar>
              <w:top w:w="80" w:type="dxa"/>
              <w:left w:w="80" w:type="dxa"/>
              <w:bottom w:w="80" w:type="dxa"/>
              <w:right w:w="80" w:type="dxa"/>
            </w:tcMar>
          </w:tcPr>
          <w:p w14:paraId="5F0EF6AA" w14:textId="77777777" w:rsidR="00A03E39" w:rsidRDefault="00A03E39"/>
        </w:tc>
        <w:tc>
          <w:tcPr>
            <w:tcW w:w="4448" w:type="dxa"/>
            <w:tcBorders>
              <w:top w:val="nil"/>
              <w:left w:val="nil"/>
              <w:bottom w:val="nil"/>
              <w:right w:val="nil"/>
            </w:tcBorders>
            <w:shd w:val="clear" w:color="auto" w:fill="auto"/>
            <w:tcMar>
              <w:top w:w="80" w:type="dxa"/>
              <w:left w:w="80" w:type="dxa"/>
              <w:bottom w:w="80" w:type="dxa"/>
              <w:right w:w="80" w:type="dxa"/>
            </w:tcMar>
          </w:tcPr>
          <w:p w14:paraId="5C19CF91" w14:textId="77777777" w:rsidR="00A03E39" w:rsidRDefault="00A03E39"/>
        </w:tc>
        <w:tc>
          <w:tcPr>
            <w:tcW w:w="2543" w:type="dxa"/>
            <w:tcBorders>
              <w:top w:val="nil"/>
              <w:left w:val="nil"/>
              <w:bottom w:val="nil"/>
              <w:right w:val="nil"/>
            </w:tcBorders>
            <w:shd w:val="clear" w:color="auto" w:fill="auto"/>
            <w:tcMar>
              <w:top w:w="80" w:type="dxa"/>
              <w:left w:w="80" w:type="dxa"/>
              <w:bottom w:w="80" w:type="dxa"/>
              <w:right w:w="80" w:type="dxa"/>
            </w:tcMar>
          </w:tcPr>
          <w:p w14:paraId="653CD886" w14:textId="77777777" w:rsidR="00A03E39" w:rsidRDefault="00A03E39"/>
        </w:tc>
      </w:tr>
      <w:tr w:rsidR="00A03E39" w14:paraId="0B8AEDF9" w14:textId="77777777">
        <w:trPr>
          <w:trHeight w:val="407"/>
          <w:jc w:val="center"/>
        </w:trPr>
        <w:tc>
          <w:tcPr>
            <w:tcW w:w="2542" w:type="dxa"/>
            <w:tcBorders>
              <w:top w:val="nil"/>
              <w:left w:val="nil"/>
              <w:bottom w:val="nil"/>
              <w:right w:val="nil"/>
            </w:tcBorders>
            <w:shd w:val="clear" w:color="auto" w:fill="auto"/>
            <w:tcMar>
              <w:top w:w="80" w:type="dxa"/>
              <w:left w:w="80" w:type="dxa"/>
              <w:bottom w:w="80" w:type="dxa"/>
              <w:right w:w="80" w:type="dxa"/>
            </w:tcMar>
          </w:tcPr>
          <w:p w14:paraId="69C58CB1" w14:textId="77777777" w:rsidR="00A03E39" w:rsidRDefault="000823B8">
            <w:pPr>
              <w:pStyle w:val="Body"/>
              <w:tabs>
                <w:tab w:val="clear" w:pos="576"/>
                <w:tab w:val="clear" w:pos="1008"/>
                <w:tab w:val="clear" w:pos="1440"/>
                <w:tab w:val="clear" w:pos="1872"/>
                <w:tab w:val="clear" w:pos="2304"/>
                <w:tab w:val="clear" w:pos="2736"/>
              </w:tabs>
              <w:jc w:val="left"/>
            </w:pPr>
            <w:r>
              <w:rPr>
                <w:b/>
                <w:bCs/>
                <w:spacing w:val="-1"/>
                <w:sz w:val="20"/>
                <w:szCs w:val="20"/>
                <w:lang w:val="en-US"/>
              </w:rPr>
              <w:t>Panel</w:t>
            </w:r>
          </w:p>
        </w:tc>
        <w:tc>
          <w:tcPr>
            <w:tcW w:w="4448" w:type="dxa"/>
            <w:tcBorders>
              <w:top w:val="nil"/>
              <w:left w:val="nil"/>
              <w:bottom w:val="nil"/>
              <w:right w:val="nil"/>
            </w:tcBorders>
            <w:shd w:val="clear" w:color="auto" w:fill="auto"/>
            <w:tcMar>
              <w:top w:w="80" w:type="dxa"/>
              <w:left w:w="80" w:type="dxa"/>
              <w:bottom w:w="80" w:type="dxa"/>
              <w:right w:w="80" w:type="dxa"/>
            </w:tcMar>
          </w:tcPr>
          <w:p w14:paraId="5AB35F34" w14:textId="77777777" w:rsidR="00A03E39" w:rsidRDefault="000823B8">
            <w:pPr>
              <w:pStyle w:val="Body"/>
              <w:tabs>
                <w:tab w:val="clear" w:pos="576"/>
                <w:tab w:val="clear" w:pos="1008"/>
                <w:tab w:val="clear" w:pos="1440"/>
                <w:tab w:val="clear" w:pos="1872"/>
                <w:tab w:val="clear" w:pos="2304"/>
                <w:tab w:val="clear" w:pos="2736"/>
              </w:tabs>
              <w:jc w:val="center"/>
            </w:pPr>
            <w:r>
              <w:rPr>
                <w:lang w:val="en-US"/>
              </w:rPr>
              <w:t>Derek Vermette</w:t>
            </w:r>
          </w:p>
        </w:tc>
        <w:tc>
          <w:tcPr>
            <w:tcW w:w="2543" w:type="dxa"/>
            <w:tcBorders>
              <w:top w:val="nil"/>
              <w:left w:val="nil"/>
              <w:bottom w:val="nil"/>
              <w:right w:val="nil"/>
            </w:tcBorders>
            <w:shd w:val="clear" w:color="auto" w:fill="auto"/>
            <w:tcMar>
              <w:top w:w="80" w:type="dxa"/>
              <w:left w:w="80" w:type="dxa"/>
              <w:bottom w:w="80" w:type="dxa"/>
              <w:right w:w="80" w:type="dxa"/>
            </w:tcMar>
          </w:tcPr>
          <w:p w14:paraId="2E58463A" w14:textId="77777777" w:rsidR="00A03E39" w:rsidRDefault="000823B8">
            <w:pPr>
              <w:pStyle w:val="Body"/>
              <w:tabs>
                <w:tab w:val="clear" w:pos="576"/>
                <w:tab w:val="clear" w:pos="1008"/>
                <w:tab w:val="clear" w:pos="1440"/>
                <w:tab w:val="clear" w:pos="1872"/>
                <w:tab w:val="clear" w:pos="2304"/>
                <w:tab w:val="clear" w:pos="2736"/>
              </w:tabs>
              <w:jc w:val="right"/>
            </w:pPr>
            <w:r>
              <w:rPr>
                <w:b/>
                <w:bCs/>
                <w:spacing w:val="-1"/>
                <w:sz w:val="20"/>
                <w:szCs w:val="20"/>
              </w:rPr>
              <w:t>Tribunal</w:t>
            </w:r>
          </w:p>
        </w:tc>
      </w:tr>
      <w:tr w:rsidR="00A03E39" w14:paraId="18D74FEC" w14:textId="77777777">
        <w:trPr>
          <w:trHeight w:val="407"/>
          <w:jc w:val="center"/>
        </w:trPr>
        <w:tc>
          <w:tcPr>
            <w:tcW w:w="2542" w:type="dxa"/>
            <w:tcBorders>
              <w:top w:val="nil"/>
              <w:left w:val="nil"/>
              <w:bottom w:val="nil"/>
              <w:right w:val="nil"/>
            </w:tcBorders>
            <w:shd w:val="clear" w:color="auto" w:fill="auto"/>
            <w:tcMar>
              <w:top w:w="80" w:type="dxa"/>
              <w:left w:w="80" w:type="dxa"/>
              <w:bottom w:w="80" w:type="dxa"/>
              <w:right w:w="80" w:type="dxa"/>
            </w:tcMar>
          </w:tcPr>
          <w:p w14:paraId="6BD82732" w14:textId="77777777" w:rsidR="00A03E39" w:rsidRDefault="00A03E39"/>
        </w:tc>
        <w:tc>
          <w:tcPr>
            <w:tcW w:w="4448" w:type="dxa"/>
            <w:tcBorders>
              <w:top w:val="nil"/>
              <w:left w:val="nil"/>
              <w:bottom w:val="nil"/>
              <w:right w:val="nil"/>
            </w:tcBorders>
            <w:shd w:val="clear" w:color="auto" w:fill="auto"/>
            <w:tcMar>
              <w:top w:w="80" w:type="dxa"/>
              <w:left w:w="80" w:type="dxa"/>
              <w:bottom w:w="80" w:type="dxa"/>
              <w:right w:w="80" w:type="dxa"/>
            </w:tcMar>
          </w:tcPr>
          <w:p w14:paraId="5E649CC7" w14:textId="77777777" w:rsidR="00A03E39" w:rsidRDefault="00A03E39"/>
        </w:tc>
        <w:tc>
          <w:tcPr>
            <w:tcW w:w="2543" w:type="dxa"/>
            <w:tcBorders>
              <w:top w:val="nil"/>
              <w:left w:val="nil"/>
              <w:bottom w:val="nil"/>
              <w:right w:val="nil"/>
            </w:tcBorders>
            <w:shd w:val="clear" w:color="auto" w:fill="auto"/>
            <w:tcMar>
              <w:top w:w="80" w:type="dxa"/>
              <w:left w:w="80" w:type="dxa"/>
              <w:bottom w:w="80" w:type="dxa"/>
              <w:right w:w="80" w:type="dxa"/>
            </w:tcMar>
          </w:tcPr>
          <w:p w14:paraId="54DF629F" w14:textId="77777777" w:rsidR="00A03E39" w:rsidRDefault="00A03E39"/>
        </w:tc>
      </w:tr>
      <w:tr w:rsidR="00A03E39" w14:paraId="15E21B63" w14:textId="77777777">
        <w:trPr>
          <w:trHeight w:val="452"/>
          <w:jc w:val="center"/>
        </w:trPr>
        <w:tc>
          <w:tcPr>
            <w:tcW w:w="2542" w:type="dxa"/>
            <w:tcBorders>
              <w:top w:val="nil"/>
              <w:left w:val="nil"/>
              <w:bottom w:val="nil"/>
              <w:right w:val="nil"/>
            </w:tcBorders>
            <w:shd w:val="clear" w:color="auto" w:fill="auto"/>
            <w:tcMar>
              <w:top w:w="80" w:type="dxa"/>
              <w:left w:w="80" w:type="dxa"/>
              <w:bottom w:w="80" w:type="dxa"/>
              <w:right w:w="80" w:type="dxa"/>
            </w:tcMar>
          </w:tcPr>
          <w:p w14:paraId="1721C244" w14:textId="77777777" w:rsidR="00A03E39" w:rsidRDefault="000823B8">
            <w:pPr>
              <w:pStyle w:val="Body"/>
              <w:tabs>
                <w:tab w:val="clear" w:pos="576"/>
                <w:tab w:val="clear" w:pos="1008"/>
                <w:tab w:val="clear" w:pos="1440"/>
                <w:tab w:val="clear" w:pos="1872"/>
                <w:tab w:val="clear" w:pos="2304"/>
                <w:tab w:val="clear" w:pos="2736"/>
              </w:tabs>
              <w:jc w:val="left"/>
            </w:pPr>
            <w:r>
              <w:rPr>
                <w:b/>
                <w:bCs/>
                <w:spacing w:val="-1"/>
                <w:sz w:val="20"/>
                <w:szCs w:val="20"/>
                <w:lang w:val="en-US"/>
              </w:rPr>
              <w:t>Counsel for the person who is the subject of the appeal</w:t>
            </w:r>
          </w:p>
        </w:tc>
        <w:tc>
          <w:tcPr>
            <w:tcW w:w="4448" w:type="dxa"/>
            <w:tcBorders>
              <w:top w:val="nil"/>
              <w:left w:val="nil"/>
              <w:bottom w:val="nil"/>
              <w:right w:val="nil"/>
            </w:tcBorders>
            <w:shd w:val="clear" w:color="auto" w:fill="auto"/>
            <w:tcMar>
              <w:top w:w="80" w:type="dxa"/>
              <w:left w:w="80" w:type="dxa"/>
              <w:bottom w:w="80" w:type="dxa"/>
              <w:right w:w="80" w:type="dxa"/>
            </w:tcMar>
          </w:tcPr>
          <w:p w14:paraId="052660A8" w14:textId="77777777" w:rsidR="00A03E39" w:rsidRDefault="000823B8">
            <w:pPr>
              <w:pStyle w:val="Body"/>
              <w:tabs>
                <w:tab w:val="clear" w:pos="576"/>
                <w:tab w:val="clear" w:pos="1008"/>
                <w:tab w:val="clear" w:pos="1440"/>
                <w:tab w:val="clear" w:pos="1872"/>
                <w:tab w:val="clear" w:pos="2304"/>
                <w:tab w:val="clear" w:pos="2736"/>
              </w:tabs>
              <w:jc w:val="center"/>
            </w:pPr>
            <w:r>
              <w:rPr>
                <w:lang w:val="en-US"/>
              </w:rPr>
              <w:t xml:space="preserve">Michael Dorey </w:t>
            </w:r>
          </w:p>
        </w:tc>
        <w:tc>
          <w:tcPr>
            <w:tcW w:w="2543" w:type="dxa"/>
            <w:tcBorders>
              <w:top w:val="nil"/>
              <w:left w:val="nil"/>
              <w:bottom w:val="nil"/>
              <w:right w:val="nil"/>
            </w:tcBorders>
            <w:shd w:val="clear" w:color="auto" w:fill="auto"/>
            <w:tcMar>
              <w:top w:w="80" w:type="dxa"/>
              <w:left w:w="80" w:type="dxa"/>
              <w:bottom w:w="80" w:type="dxa"/>
              <w:right w:w="80" w:type="dxa"/>
            </w:tcMar>
          </w:tcPr>
          <w:p w14:paraId="2C56B81E" w14:textId="77777777" w:rsidR="00A03E39" w:rsidRDefault="000823B8">
            <w:pPr>
              <w:pStyle w:val="Header"/>
              <w:tabs>
                <w:tab w:val="clear" w:pos="576"/>
                <w:tab w:val="clear" w:pos="1008"/>
                <w:tab w:val="clear" w:pos="1440"/>
                <w:tab w:val="clear" w:pos="1872"/>
                <w:tab w:val="clear" w:pos="2304"/>
                <w:tab w:val="clear" w:pos="2736"/>
                <w:tab w:val="clear" w:pos="4320"/>
                <w:tab w:val="clear" w:pos="8640"/>
              </w:tabs>
              <w:jc w:val="right"/>
            </w:pPr>
            <w:r>
              <w:rPr>
                <w:rFonts w:ascii="Times New Roman" w:hAnsi="Times New Roman"/>
                <w:b/>
                <w:bCs/>
                <w:lang w:val="fr-FR"/>
              </w:rPr>
              <w:t xml:space="preserve">Conseil de la </w:t>
            </w:r>
            <w:r>
              <w:rPr>
                <w:rFonts w:ascii="Times New Roman" w:hAnsi="Times New Roman"/>
                <w:b/>
                <w:bCs/>
                <w:lang w:val="fr-FR"/>
              </w:rPr>
              <w:t>personne en cause</w:t>
            </w:r>
          </w:p>
        </w:tc>
      </w:tr>
      <w:tr w:rsidR="00A03E39" w14:paraId="4CAA5FD6" w14:textId="77777777">
        <w:trPr>
          <w:trHeight w:val="407"/>
          <w:jc w:val="center"/>
        </w:trPr>
        <w:tc>
          <w:tcPr>
            <w:tcW w:w="2542" w:type="dxa"/>
            <w:tcBorders>
              <w:top w:val="nil"/>
              <w:left w:val="nil"/>
              <w:bottom w:val="nil"/>
              <w:right w:val="nil"/>
            </w:tcBorders>
            <w:shd w:val="clear" w:color="auto" w:fill="auto"/>
            <w:tcMar>
              <w:top w:w="80" w:type="dxa"/>
              <w:left w:w="80" w:type="dxa"/>
              <w:bottom w:w="80" w:type="dxa"/>
              <w:right w:w="80" w:type="dxa"/>
            </w:tcMar>
          </w:tcPr>
          <w:p w14:paraId="1E415931" w14:textId="77777777" w:rsidR="00A03E39" w:rsidRDefault="00A03E39"/>
        </w:tc>
        <w:tc>
          <w:tcPr>
            <w:tcW w:w="4448" w:type="dxa"/>
            <w:tcBorders>
              <w:top w:val="nil"/>
              <w:left w:val="nil"/>
              <w:bottom w:val="nil"/>
              <w:right w:val="nil"/>
            </w:tcBorders>
            <w:shd w:val="clear" w:color="auto" w:fill="auto"/>
            <w:tcMar>
              <w:top w:w="80" w:type="dxa"/>
              <w:left w:w="80" w:type="dxa"/>
              <w:bottom w:w="80" w:type="dxa"/>
              <w:right w:w="80" w:type="dxa"/>
            </w:tcMar>
          </w:tcPr>
          <w:p w14:paraId="4C07776E" w14:textId="77777777" w:rsidR="00A03E39" w:rsidRDefault="00A03E39"/>
        </w:tc>
        <w:tc>
          <w:tcPr>
            <w:tcW w:w="2543" w:type="dxa"/>
            <w:tcBorders>
              <w:top w:val="nil"/>
              <w:left w:val="nil"/>
              <w:bottom w:val="nil"/>
              <w:right w:val="nil"/>
            </w:tcBorders>
            <w:shd w:val="clear" w:color="auto" w:fill="auto"/>
            <w:tcMar>
              <w:top w:w="80" w:type="dxa"/>
              <w:left w:w="80" w:type="dxa"/>
              <w:bottom w:w="80" w:type="dxa"/>
              <w:right w:w="80" w:type="dxa"/>
            </w:tcMar>
          </w:tcPr>
          <w:p w14:paraId="557D8D81" w14:textId="77777777" w:rsidR="00A03E39" w:rsidRDefault="00A03E39"/>
        </w:tc>
      </w:tr>
      <w:tr w:rsidR="00A03E39" w14:paraId="3FB40EFB" w14:textId="77777777">
        <w:trPr>
          <w:trHeight w:val="407"/>
          <w:jc w:val="center"/>
        </w:trPr>
        <w:tc>
          <w:tcPr>
            <w:tcW w:w="2542" w:type="dxa"/>
            <w:tcBorders>
              <w:top w:val="nil"/>
              <w:left w:val="nil"/>
              <w:bottom w:val="nil"/>
              <w:right w:val="nil"/>
            </w:tcBorders>
            <w:shd w:val="clear" w:color="auto" w:fill="auto"/>
            <w:tcMar>
              <w:top w:w="80" w:type="dxa"/>
              <w:left w:w="80" w:type="dxa"/>
              <w:bottom w:w="80" w:type="dxa"/>
              <w:right w:w="80" w:type="dxa"/>
            </w:tcMar>
          </w:tcPr>
          <w:p w14:paraId="3F2B63A4" w14:textId="77777777" w:rsidR="00A03E39" w:rsidRDefault="000823B8">
            <w:pPr>
              <w:pStyle w:val="Body"/>
              <w:tabs>
                <w:tab w:val="clear" w:pos="576"/>
                <w:tab w:val="clear" w:pos="1008"/>
                <w:tab w:val="clear" w:pos="1440"/>
                <w:tab w:val="clear" w:pos="1872"/>
                <w:tab w:val="clear" w:pos="2304"/>
                <w:tab w:val="clear" w:pos="2736"/>
              </w:tabs>
              <w:jc w:val="left"/>
            </w:pPr>
            <w:r>
              <w:rPr>
                <w:b/>
                <w:bCs/>
                <w:spacing w:val="-1"/>
                <w:sz w:val="20"/>
                <w:szCs w:val="20"/>
                <w:lang w:val="en-US"/>
              </w:rPr>
              <w:t>Designated representative</w:t>
            </w:r>
          </w:p>
        </w:tc>
        <w:tc>
          <w:tcPr>
            <w:tcW w:w="4448" w:type="dxa"/>
            <w:tcBorders>
              <w:top w:val="nil"/>
              <w:left w:val="nil"/>
              <w:bottom w:val="nil"/>
              <w:right w:val="nil"/>
            </w:tcBorders>
            <w:shd w:val="clear" w:color="auto" w:fill="auto"/>
            <w:tcMar>
              <w:top w:w="80" w:type="dxa"/>
              <w:left w:w="80" w:type="dxa"/>
              <w:bottom w:w="80" w:type="dxa"/>
              <w:right w:w="80" w:type="dxa"/>
            </w:tcMar>
          </w:tcPr>
          <w:p w14:paraId="7E9A6EAE" w14:textId="77777777" w:rsidR="00A03E39" w:rsidRDefault="000823B8">
            <w:pPr>
              <w:pStyle w:val="Body"/>
              <w:tabs>
                <w:tab w:val="clear" w:pos="576"/>
                <w:tab w:val="clear" w:pos="1008"/>
                <w:tab w:val="clear" w:pos="1440"/>
                <w:tab w:val="clear" w:pos="1872"/>
                <w:tab w:val="clear" w:pos="2304"/>
                <w:tab w:val="clear" w:pos="2736"/>
              </w:tabs>
              <w:jc w:val="center"/>
            </w:pPr>
            <w:r>
              <w:rPr>
                <w:lang w:val="en-US"/>
              </w:rPr>
              <w:t>N/A</w:t>
            </w:r>
          </w:p>
        </w:tc>
        <w:tc>
          <w:tcPr>
            <w:tcW w:w="2543" w:type="dxa"/>
            <w:tcBorders>
              <w:top w:val="nil"/>
              <w:left w:val="nil"/>
              <w:bottom w:val="nil"/>
              <w:right w:val="nil"/>
            </w:tcBorders>
            <w:shd w:val="clear" w:color="auto" w:fill="auto"/>
            <w:tcMar>
              <w:top w:w="80" w:type="dxa"/>
              <w:left w:w="80" w:type="dxa"/>
              <w:bottom w:w="80" w:type="dxa"/>
              <w:right w:w="80" w:type="dxa"/>
            </w:tcMar>
          </w:tcPr>
          <w:p w14:paraId="0594FCD4" w14:textId="77777777" w:rsidR="00A03E39" w:rsidRDefault="000823B8">
            <w:pPr>
              <w:pStyle w:val="Body"/>
              <w:tabs>
                <w:tab w:val="clear" w:pos="576"/>
                <w:tab w:val="clear" w:pos="1008"/>
                <w:tab w:val="clear" w:pos="1440"/>
                <w:tab w:val="clear" w:pos="1872"/>
                <w:tab w:val="clear" w:pos="2304"/>
                <w:tab w:val="clear" w:pos="2736"/>
              </w:tabs>
              <w:jc w:val="right"/>
            </w:pPr>
            <w:r>
              <w:rPr>
                <w:b/>
                <w:bCs/>
                <w:spacing w:val="-1"/>
                <w:sz w:val="20"/>
                <w:szCs w:val="20"/>
              </w:rPr>
              <w:t>Représentant(e) désigné(e)</w:t>
            </w:r>
          </w:p>
        </w:tc>
      </w:tr>
      <w:tr w:rsidR="00A03E39" w14:paraId="4ED35318" w14:textId="77777777">
        <w:trPr>
          <w:trHeight w:val="407"/>
          <w:jc w:val="center"/>
        </w:trPr>
        <w:tc>
          <w:tcPr>
            <w:tcW w:w="2542" w:type="dxa"/>
            <w:tcBorders>
              <w:top w:val="nil"/>
              <w:left w:val="nil"/>
              <w:bottom w:val="nil"/>
              <w:right w:val="nil"/>
            </w:tcBorders>
            <w:shd w:val="clear" w:color="auto" w:fill="auto"/>
            <w:tcMar>
              <w:top w:w="80" w:type="dxa"/>
              <w:left w:w="80" w:type="dxa"/>
              <w:bottom w:w="80" w:type="dxa"/>
              <w:right w:w="80" w:type="dxa"/>
            </w:tcMar>
          </w:tcPr>
          <w:p w14:paraId="79AF9556" w14:textId="77777777" w:rsidR="00A03E39" w:rsidRDefault="00A03E39"/>
        </w:tc>
        <w:tc>
          <w:tcPr>
            <w:tcW w:w="4448" w:type="dxa"/>
            <w:tcBorders>
              <w:top w:val="nil"/>
              <w:left w:val="nil"/>
              <w:bottom w:val="nil"/>
              <w:right w:val="nil"/>
            </w:tcBorders>
            <w:shd w:val="clear" w:color="auto" w:fill="auto"/>
            <w:tcMar>
              <w:top w:w="80" w:type="dxa"/>
              <w:left w:w="80" w:type="dxa"/>
              <w:bottom w:w="80" w:type="dxa"/>
              <w:right w:w="80" w:type="dxa"/>
            </w:tcMar>
          </w:tcPr>
          <w:p w14:paraId="6001027F" w14:textId="77777777" w:rsidR="00A03E39" w:rsidRDefault="00A03E39"/>
        </w:tc>
        <w:tc>
          <w:tcPr>
            <w:tcW w:w="2543" w:type="dxa"/>
            <w:tcBorders>
              <w:top w:val="nil"/>
              <w:left w:val="nil"/>
              <w:bottom w:val="nil"/>
              <w:right w:val="nil"/>
            </w:tcBorders>
            <w:shd w:val="clear" w:color="auto" w:fill="auto"/>
            <w:tcMar>
              <w:top w:w="80" w:type="dxa"/>
              <w:left w:w="80" w:type="dxa"/>
              <w:bottom w:w="80" w:type="dxa"/>
              <w:right w:w="80" w:type="dxa"/>
            </w:tcMar>
          </w:tcPr>
          <w:p w14:paraId="21C99E87" w14:textId="77777777" w:rsidR="00A03E39" w:rsidRDefault="00A03E39"/>
        </w:tc>
      </w:tr>
      <w:tr w:rsidR="00A03E39" w14:paraId="4F0DD645" w14:textId="77777777">
        <w:trPr>
          <w:trHeight w:val="407"/>
          <w:jc w:val="center"/>
        </w:trPr>
        <w:tc>
          <w:tcPr>
            <w:tcW w:w="2542" w:type="dxa"/>
            <w:tcBorders>
              <w:top w:val="nil"/>
              <w:left w:val="nil"/>
              <w:bottom w:val="nil"/>
              <w:right w:val="nil"/>
            </w:tcBorders>
            <w:shd w:val="clear" w:color="auto" w:fill="auto"/>
            <w:tcMar>
              <w:top w:w="80" w:type="dxa"/>
              <w:left w:w="80" w:type="dxa"/>
              <w:bottom w:w="80" w:type="dxa"/>
              <w:right w:w="80" w:type="dxa"/>
            </w:tcMar>
          </w:tcPr>
          <w:p w14:paraId="1C27A673" w14:textId="77777777" w:rsidR="00A03E39" w:rsidRDefault="000823B8">
            <w:pPr>
              <w:pStyle w:val="Body"/>
              <w:tabs>
                <w:tab w:val="clear" w:pos="576"/>
                <w:tab w:val="clear" w:pos="1008"/>
                <w:tab w:val="clear" w:pos="1440"/>
                <w:tab w:val="clear" w:pos="1872"/>
                <w:tab w:val="clear" w:pos="2304"/>
                <w:tab w:val="clear" w:pos="2736"/>
              </w:tabs>
              <w:jc w:val="left"/>
            </w:pPr>
            <w:r>
              <w:rPr>
                <w:b/>
                <w:bCs/>
                <w:spacing w:val="-1"/>
                <w:sz w:val="20"/>
                <w:szCs w:val="20"/>
                <w:lang w:val="en-US"/>
              </w:rPr>
              <w:t>Counsel for the Minister</w:t>
            </w:r>
          </w:p>
        </w:tc>
        <w:tc>
          <w:tcPr>
            <w:tcW w:w="4448" w:type="dxa"/>
            <w:tcBorders>
              <w:top w:val="nil"/>
              <w:left w:val="nil"/>
              <w:bottom w:val="nil"/>
              <w:right w:val="nil"/>
            </w:tcBorders>
            <w:shd w:val="clear" w:color="auto" w:fill="auto"/>
            <w:tcMar>
              <w:top w:w="80" w:type="dxa"/>
              <w:left w:w="80" w:type="dxa"/>
              <w:bottom w:w="80" w:type="dxa"/>
              <w:right w:w="80" w:type="dxa"/>
            </w:tcMar>
          </w:tcPr>
          <w:p w14:paraId="38293E61" w14:textId="77777777" w:rsidR="00A03E39" w:rsidRDefault="000823B8">
            <w:pPr>
              <w:pStyle w:val="Body"/>
              <w:tabs>
                <w:tab w:val="clear" w:pos="576"/>
                <w:tab w:val="clear" w:pos="1008"/>
                <w:tab w:val="clear" w:pos="1440"/>
                <w:tab w:val="clear" w:pos="1872"/>
                <w:tab w:val="clear" w:pos="2304"/>
                <w:tab w:val="clear" w:pos="2736"/>
              </w:tabs>
              <w:jc w:val="center"/>
            </w:pPr>
            <w:r>
              <w:rPr>
                <w:lang w:val="en-US"/>
              </w:rPr>
              <w:t>N/A</w:t>
            </w:r>
          </w:p>
        </w:tc>
        <w:tc>
          <w:tcPr>
            <w:tcW w:w="2543" w:type="dxa"/>
            <w:tcBorders>
              <w:top w:val="nil"/>
              <w:left w:val="nil"/>
              <w:bottom w:val="nil"/>
              <w:right w:val="nil"/>
            </w:tcBorders>
            <w:shd w:val="clear" w:color="auto" w:fill="auto"/>
            <w:tcMar>
              <w:top w:w="80" w:type="dxa"/>
              <w:left w:w="80" w:type="dxa"/>
              <w:bottom w:w="80" w:type="dxa"/>
              <w:right w:w="80" w:type="dxa"/>
            </w:tcMar>
          </w:tcPr>
          <w:p w14:paraId="214AD659" w14:textId="77777777" w:rsidR="00A03E39" w:rsidRDefault="000823B8">
            <w:pPr>
              <w:pStyle w:val="Body"/>
              <w:tabs>
                <w:tab w:val="clear" w:pos="576"/>
                <w:tab w:val="clear" w:pos="1008"/>
                <w:tab w:val="clear" w:pos="1440"/>
                <w:tab w:val="clear" w:pos="1872"/>
                <w:tab w:val="clear" w:pos="2304"/>
                <w:tab w:val="clear" w:pos="2736"/>
              </w:tabs>
              <w:jc w:val="right"/>
            </w:pPr>
            <w:r>
              <w:rPr>
                <w:b/>
                <w:bCs/>
                <w:spacing w:val="-1"/>
                <w:sz w:val="20"/>
                <w:szCs w:val="20"/>
              </w:rPr>
              <w:t>Conseil du ministre</w:t>
            </w:r>
          </w:p>
        </w:tc>
      </w:tr>
      <w:tr w:rsidR="00A03E39" w14:paraId="7E9B15E8" w14:textId="77777777">
        <w:trPr>
          <w:trHeight w:val="310"/>
          <w:jc w:val="center"/>
        </w:trPr>
        <w:tc>
          <w:tcPr>
            <w:tcW w:w="2542" w:type="dxa"/>
            <w:tcBorders>
              <w:top w:val="nil"/>
              <w:left w:val="nil"/>
              <w:bottom w:val="nil"/>
              <w:right w:val="nil"/>
            </w:tcBorders>
            <w:shd w:val="clear" w:color="auto" w:fill="auto"/>
            <w:tcMar>
              <w:top w:w="80" w:type="dxa"/>
              <w:left w:w="80" w:type="dxa"/>
              <w:bottom w:w="80" w:type="dxa"/>
              <w:right w:w="80" w:type="dxa"/>
            </w:tcMar>
          </w:tcPr>
          <w:p w14:paraId="60E1E8E9" w14:textId="77777777" w:rsidR="00A03E39" w:rsidRDefault="00A03E39"/>
        </w:tc>
        <w:tc>
          <w:tcPr>
            <w:tcW w:w="4448" w:type="dxa"/>
            <w:tcBorders>
              <w:top w:val="nil"/>
              <w:left w:val="nil"/>
              <w:bottom w:val="nil"/>
              <w:right w:val="nil"/>
            </w:tcBorders>
            <w:shd w:val="clear" w:color="auto" w:fill="auto"/>
            <w:tcMar>
              <w:top w:w="80" w:type="dxa"/>
              <w:left w:w="80" w:type="dxa"/>
              <w:bottom w:w="80" w:type="dxa"/>
              <w:right w:w="80" w:type="dxa"/>
            </w:tcMar>
          </w:tcPr>
          <w:p w14:paraId="55B1164C" w14:textId="77777777" w:rsidR="00A03E39" w:rsidRDefault="00A03E39"/>
        </w:tc>
        <w:tc>
          <w:tcPr>
            <w:tcW w:w="2543" w:type="dxa"/>
            <w:tcBorders>
              <w:top w:val="nil"/>
              <w:left w:val="nil"/>
              <w:bottom w:val="nil"/>
              <w:right w:val="nil"/>
            </w:tcBorders>
            <w:shd w:val="clear" w:color="auto" w:fill="auto"/>
            <w:tcMar>
              <w:top w:w="80" w:type="dxa"/>
              <w:left w:w="80" w:type="dxa"/>
              <w:bottom w:w="80" w:type="dxa"/>
              <w:right w:w="80" w:type="dxa"/>
            </w:tcMar>
          </w:tcPr>
          <w:p w14:paraId="05B151C8" w14:textId="77777777" w:rsidR="00A03E39" w:rsidRDefault="00A03E39"/>
        </w:tc>
      </w:tr>
    </w:tbl>
    <w:p w14:paraId="1EA46496" w14:textId="77777777" w:rsidR="00A03E39" w:rsidRDefault="00A03E39">
      <w:pPr>
        <w:pStyle w:val="Header"/>
        <w:widowControl w:val="0"/>
        <w:tabs>
          <w:tab w:val="clear" w:pos="576"/>
          <w:tab w:val="clear" w:pos="1008"/>
          <w:tab w:val="clear" w:pos="1440"/>
          <w:tab w:val="clear" w:pos="1872"/>
          <w:tab w:val="clear" w:pos="2304"/>
          <w:tab w:val="clear" w:pos="2736"/>
          <w:tab w:val="clear" w:pos="4320"/>
          <w:tab w:val="clear" w:pos="8640"/>
        </w:tabs>
        <w:jc w:val="center"/>
        <w:rPr>
          <w:rFonts w:ascii="Times New Roman" w:eastAsia="Times New Roman" w:hAnsi="Times New Roman" w:cs="Times New Roman"/>
          <w:sz w:val="22"/>
          <w:szCs w:val="22"/>
        </w:rPr>
      </w:pPr>
    </w:p>
    <w:p w14:paraId="23B39959" w14:textId="77777777" w:rsidR="00A03E39" w:rsidRDefault="000823B8">
      <w:pPr>
        <w:pStyle w:val="Body"/>
        <w:tabs>
          <w:tab w:val="clear" w:pos="576"/>
          <w:tab w:val="clear" w:pos="1008"/>
          <w:tab w:val="clear" w:pos="1440"/>
          <w:tab w:val="clear" w:pos="1872"/>
          <w:tab w:val="clear" w:pos="2304"/>
          <w:tab w:val="clear" w:pos="2736"/>
        </w:tabs>
        <w:jc w:val="left"/>
      </w:pPr>
      <w:r>
        <w:rPr>
          <w:rFonts w:ascii="Arial Unicode MS" w:hAnsi="Arial Unicode MS"/>
          <w:sz w:val="28"/>
          <w:szCs w:val="28"/>
        </w:rPr>
        <w:br w:type="page"/>
      </w:r>
    </w:p>
    <w:p w14:paraId="3C0EB06B" w14:textId="77777777" w:rsidR="00A03E39" w:rsidRDefault="000823B8">
      <w:pPr>
        <w:pStyle w:val="CGTG"/>
        <w:tabs>
          <w:tab w:val="clear" w:pos="576"/>
          <w:tab w:val="clear" w:pos="1008"/>
          <w:tab w:val="clear" w:pos="1440"/>
          <w:tab w:val="clear" w:pos="1872"/>
          <w:tab w:val="clear" w:pos="2304"/>
          <w:tab w:val="clear" w:pos="2736"/>
          <w:tab w:val="left" w:pos="993"/>
          <w:tab w:val="center" w:pos="4766"/>
        </w:tabs>
        <w:jc w:val="left"/>
      </w:pPr>
      <w:r>
        <w:lastRenderedPageBreak/>
        <w:tab/>
      </w:r>
      <w:r>
        <w:tab/>
        <w:t>REASONS FOR DECISION</w:t>
      </w:r>
    </w:p>
    <w:p w14:paraId="1A92BE7B" w14:textId="77777777" w:rsidR="00A03E39" w:rsidRDefault="000823B8">
      <w:pPr>
        <w:pStyle w:val="CG1H"/>
      </w:pPr>
      <w:bookmarkStart w:id="0" w:name="_Hlk67210897"/>
      <w:r>
        <w:rPr>
          <w:rStyle w:val="citationcar"/>
          <w:rFonts w:eastAsia="Arial Unicode MS" w:cs="Arial Unicode MS"/>
        </w:rPr>
        <w:t xml:space="preserve">OVERVIEW </w:t>
      </w:r>
    </w:p>
    <w:p w14:paraId="0AA244B6" w14:textId="187374D4" w:rsidR="00A03E39" w:rsidRDefault="000823B8">
      <w:pPr>
        <w:pStyle w:val="CGPara"/>
        <w:numPr>
          <w:ilvl w:val="0"/>
          <w:numId w:val="2"/>
        </w:numPr>
      </w:pPr>
      <w:r>
        <w:t xml:space="preserve">Ibrahim </w:t>
      </w:r>
      <w:proofErr w:type="spellStart"/>
      <w:r>
        <w:t>Aruwa</w:t>
      </w:r>
      <w:proofErr w:type="spellEnd"/>
      <w:r>
        <w:t xml:space="preserve"> </w:t>
      </w:r>
      <w:proofErr w:type="spellStart"/>
      <w:r>
        <w:t>Oluwamuyiwa</w:t>
      </w:r>
      <w:proofErr w:type="spellEnd"/>
      <w:r>
        <w:t xml:space="preserve"> </w:t>
      </w:r>
      <w:proofErr w:type="spellStart"/>
      <w:r>
        <w:t>Anjembe</w:t>
      </w:r>
      <w:proofErr w:type="spellEnd"/>
      <w:r>
        <w:t xml:space="preserve"> </w:t>
      </w:r>
      <w:r w:rsidR="0052040D">
        <w:t>(</w:t>
      </w:r>
      <w:r>
        <w:t>Appellant)</w:t>
      </w:r>
      <w:r>
        <w:rPr>
          <w:rStyle w:val="citationcar"/>
        </w:rPr>
        <w:t xml:space="preserve"> is a citizen of Nigeria, and he is appealing a Refugee Protection Division (RPD) decision that denied his claim for refugee protection.</w:t>
      </w:r>
    </w:p>
    <w:p w14:paraId="0E32AD4C" w14:textId="77777777" w:rsidR="00A03E39" w:rsidRDefault="000823B8">
      <w:pPr>
        <w:pStyle w:val="CGPara"/>
        <w:numPr>
          <w:ilvl w:val="0"/>
          <w:numId w:val="2"/>
        </w:numPr>
      </w:pPr>
      <w:r>
        <w:rPr>
          <w:rStyle w:val="citationcar"/>
        </w:rPr>
        <w:t xml:space="preserve">The Appellant alleges that he fled Nigeria because he fears his father, a devout Muslim Mohammed Usman </w:t>
      </w:r>
      <w:proofErr w:type="spellStart"/>
      <w:r>
        <w:rPr>
          <w:rStyle w:val="citationcar"/>
        </w:rPr>
        <w:t>Anjembe</w:t>
      </w:r>
      <w:proofErr w:type="spellEnd"/>
      <w:r>
        <w:rPr>
          <w:rStyle w:val="citationcar"/>
        </w:rPr>
        <w:t xml:space="preserve"> </w:t>
      </w:r>
      <w:proofErr w:type="spellStart"/>
      <w:r>
        <w:rPr>
          <w:rStyle w:val="citationcar"/>
        </w:rPr>
        <w:t>Akpali</w:t>
      </w:r>
      <w:proofErr w:type="spellEnd"/>
      <w:r>
        <w:rPr>
          <w:rStyle w:val="citationcar"/>
        </w:rPr>
        <w:t xml:space="preserve"> w</w:t>
      </w:r>
      <w:r>
        <w:rPr>
          <w:rStyle w:val="citationcar"/>
        </w:rPr>
        <w:t>ho was infuriated that the Appellant converted to Christianity and married a Christian woman.</w:t>
      </w:r>
    </w:p>
    <w:p w14:paraId="492EF268" w14:textId="77777777" w:rsidR="00A03E39" w:rsidRDefault="000823B8">
      <w:pPr>
        <w:pStyle w:val="CGPara"/>
        <w:numPr>
          <w:ilvl w:val="0"/>
          <w:numId w:val="2"/>
        </w:numPr>
      </w:pPr>
      <w:r>
        <w:rPr>
          <w:rStyle w:val="citationcar"/>
        </w:rPr>
        <w:t>The RPD denied the Appellant’</w:t>
      </w:r>
      <w:r>
        <w:rPr>
          <w:rStyle w:val="citationcar"/>
        </w:rPr>
        <w:t xml:space="preserve">s claim because it found that the Appellant had not established his identity, as required by section 106 of the </w:t>
      </w:r>
      <w:r>
        <w:rPr>
          <w:i/>
          <w:iCs/>
        </w:rPr>
        <w:t>Immigration and Refugee Protection Act</w:t>
      </w:r>
      <w:r>
        <w:rPr>
          <w:rStyle w:val="EndnoteReference"/>
        </w:rPr>
        <w:endnoteReference w:id="2"/>
      </w:r>
      <w:r>
        <w:rPr>
          <w:rStyle w:val="citationcar"/>
        </w:rPr>
        <w:t xml:space="preserve"> (IRPA), and Rule 11 of the </w:t>
      </w:r>
      <w:r>
        <w:rPr>
          <w:i/>
          <w:iCs/>
        </w:rPr>
        <w:t>Refugee Protection Division Rules</w:t>
      </w:r>
      <w:r>
        <w:rPr>
          <w:rStyle w:val="citationcar"/>
        </w:rPr>
        <w:t>.</w:t>
      </w:r>
      <w:r>
        <w:rPr>
          <w:rStyle w:val="EndnoteReference"/>
        </w:rPr>
        <w:endnoteReference w:id="3"/>
      </w:r>
    </w:p>
    <w:p w14:paraId="291669A8" w14:textId="77777777" w:rsidR="00A03E39" w:rsidRDefault="000823B8">
      <w:pPr>
        <w:pStyle w:val="CGPara"/>
        <w:numPr>
          <w:ilvl w:val="0"/>
          <w:numId w:val="2"/>
        </w:numPr>
      </w:pPr>
      <w:r>
        <w:rPr>
          <w:rStyle w:val="citationcar"/>
        </w:rPr>
        <w:t>The Appellant submits that the RPD erre</w:t>
      </w:r>
      <w:r>
        <w:rPr>
          <w:rStyle w:val="citationcar"/>
        </w:rPr>
        <w:t xml:space="preserve">d in its assessment of several of the Appellant’s identity documents. </w:t>
      </w:r>
    </w:p>
    <w:p w14:paraId="5BE01EC2" w14:textId="77777777" w:rsidR="00A03E39" w:rsidRDefault="000823B8">
      <w:pPr>
        <w:pStyle w:val="CGPara"/>
        <w:numPr>
          <w:ilvl w:val="0"/>
          <w:numId w:val="2"/>
        </w:numPr>
      </w:pPr>
      <w:r>
        <w:rPr>
          <w:rStyle w:val="citationcar"/>
        </w:rPr>
        <w:t>The RPD correctly decided that the Appellant had not established his identity, and therefore his claim must be dismissed.</w:t>
      </w:r>
    </w:p>
    <w:p w14:paraId="4008D251" w14:textId="77777777" w:rsidR="00A03E39" w:rsidRDefault="000823B8">
      <w:pPr>
        <w:pStyle w:val="CG1H"/>
      </w:pPr>
      <w:r>
        <w:rPr>
          <w:rStyle w:val="citationcar"/>
          <w:rFonts w:eastAsia="Arial Unicode MS" w:cs="Arial Unicode MS"/>
        </w:rPr>
        <w:t>DECISION</w:t>
      </w:r>
    </w:p>
    <w:p w14:paraId="2D793F19" w14:textId="77777777" w:rsidR="00A03E39" w:rsidRDefault="000823B8">
      <w:pPr>
        <w:pStyle w:val="CGPara"/>
        <w:numPr>
          <w:ilvl w:val="0"/>
          <w:numId w:val="2"/>
        </w:numPr>
      </w:pPr>
      <w:r>
        <w:rPr>
          <w:rStyle w:val="citationcar"/>
        </w:rPr>
        <w:t xml:space="preserve">I dismiss the appeal. The RPD was correct in </w:t>
      </w:r>
      <w:r>
        <w:rPr>
          <w:rStyle w:val="citationcar"/>
        </w:rPr>
        <w:t>finding that the Appellant is neither a Convention</w:t>
      </w:r>
      <w:r>
        <w:rPr>
          <w:rStyle w:val="EndnoteReference"/>
        </w:rPr>
        <w:endnoteReference w:id="4"/>
      </w:r>
      <w:r>
        <w:rPr>
          <w:rStyle w:val="citationcar"/>
        </w:rPr>
        <w:t xml:space="preserve"> refugee nor a person in need of protection.</w:t>
      </w:r>
    </w:p>
    <w:p w14:paraId="1F767B79" w14:textId="77777777" w:rsidR="00A03E39" w:rsidRDefault="000823B8">
      <w:pPr>
        <w:pStyle w:val="CG1H"/>
      </w:pPr>
      <w:r>
        <w:rPr>
          <w:rStyle w:val="citationcar"/>
          <w:rFonts w:eastAsia="Arial Unicode MS" w:cs="Arial Unicode MS"/>
        </w:rPr>
        <w:t>BACKGROUND</w:t>
      </w:r>
    </w:p>
    <w:p w14:paraId="1F6B9F2F" w14:textId="77777777" w:rsidR="00A03E39" w:rsidRDefault="000823B8">
      <w:pPr>
        <w:pStyle w:val="CGPara"/>
        <w:numPr>
          <w:ilvl w:val="0"/>
          <w:numId w:val="2"/>
        </w:numPr>
      </w:pPr>
      <w:r>
        <w:rPr>
          <w:rStyle w:val="citationcar"/>
        </w:rPr>
        <w:t xml:space="preserve">The Appellant alleges that his real identity, the name under which he is claiming refugee protection, is Ibrahim </w:t>
      </w:r>
      <w:proofErr w:type="spellStart"/>
      <w:r>
        <w:rPr>
          <w:rStyle w:val="citationcar"/>
        </w:rPr>
        <w:t>Oluwamuyiwa</w:t>
      </w:r>
      <w:proofErr w:type="spellEnd"/>
      <w:r>
        <w:rPr>
          <w:rStyle w:val="citationcar"/>
        </w:rPr>
        <w:t xml:space="preserve"> </w:t>
      </w:r>
      <w:proofErr w:type="spellStart"/>
      <w:r>
        <w:rPr>
          <w:rStyle w:val="citationcar"/>
        </w:rPr>
        <w:t>Akpala</w:t>
      </w:r>
      <w:proofErr w:type="spellEnd"/>
      <w:r>
        <w:rPr>
          <w:rStyle w:val="citationcar"/>
        </w:rPr>
        <w:t>. The Appellant a</w:t>
      </w:r>
      <w:r>
        <w:rPr>
          <w:rStyle w:val="citationcar"/>
        </w:rPr>
        <w:t>lso alleges that when he decided to flee Nigeria, he was worried that his father could issue a lookout notice for the Appellant at the airport, and so he asked that the agent that was helping him secure a visa from the United States of America (USA), obtai</w:t>
      </w:r>
      <w:r>
        <w:rPr>
          <w:rStyle w:val="citationcar"/>
        </w:rPr>
        <w:t xml:space="preserve">n a passport under an assumed name, which </w:t>
      </w:r>
      <w:r>
        <w:rPr>
          <w:rStyle w:val="citationcar"/>
        </w:rPr>
        <w:lastRenderedPageBreak/>
        <w:t xml:space="preserve">ended up being Ibrahim </w:t>
      </w:r>
      <w:proofErr w:type="spellStart"/>
      <w:r>
        <w:rPr>
          <w:rStyle w:val="citationcar"/>
        </w:rPr>
        <w:t>Oluwamuyiwa</w:t>
      </w:r>
      <w:proofErr w:type="spellEnd"/>
      <w:r>
        <w:rPr>
          <w:rStyle w:val="citationcar"/>
        </w:rPr>
        <w:t xml:space="preserve"> </w:t>
      </w:r>
      <w:proofErr w:type="spellStart"/>
      <w:r>
        <w:rPr>
          <w:rStyle w:val="citationcar"/>
        </w:rPr>
        <w:t>Anjembe</w:t>
      </w:r>
      <w:proofErr w:type="spellEnd"/>
      <w:r>
        <w:rPr>
          <w:rStyle w:val="citationcar"/>
        </w:rPr>
        <w:t xml:space="preserve">. The Appellant went to the </w:t>
      </w:r>
      <w:proofErr w:type="gramStart"/>
      <w:r>
        <w:rPr>
          <w:rStyle w:val="citationcar"/>
        </w:rPr>
        <w:t>USA, and</w:t>
      </w:r>
      <w:proofErr w:type="gramEnd"/>
      <w:r>
        <w:rPr>
          <w:rStyle w:val="citationcar"/>
        </w:rPr>
        <w:t xml:space="preserve"> sought medical treatment there under the name of </w:t>
      </w:r>
      <w:r>
        <w:t xml:space="preserve">Ibrahim </w:t>
      </w:r>
      <w:proofErr w:type="spellStart"/>
      <w:r>
        <w:t>Oluwamuyiwa</w:t>
      </w:r>
      <w:proofErr w:type="spellEnd"/>
      <w:r>
        <w:t xml:space="preserve"> </w:t>
      </w:r>
      <w:proofErr w:type="spellStart"/>
      <w:r>
        <w:t>Akpala</w:t>
      </w:r>
      <w:proofErr w:type="spellEnd"/>
      <w:r>
        <w:rPr>
          <w:rStyle w:val="citationcar"/>
        </w:rPr>
        <w:t>. He asked his wife to send him identity documents under the</w:t>
      </w:r>
      <w:r>
        <w:rPr>
          <w:rStyle w:val="citationcar"/>
        </w:rPr>
        <w:t xml:space="preserve"> name of </w:t>
      </w:r>
      <w:r>
        <w:t xml:space="preserve">Ibrahim </w:t>
      </w:r>
      <w:proofErr w:type="spellStart"/>
      <w:r>
        <w:t>Oluwamuyiwa</w:t>
      </w:r>
      <w:proofErr w:type="spellEnd"/>
      <w:r>
        <w:t xml:space="preserve"> </w:t>
      </w:r>
      <w:proofErr w:type="spellStart"/>
      <w:r>
        <w:t>Anjembe</w:t>
      </w:r>
      <w:proofErr w:type="spellEnd"/>
      <w:r>
        <w:rPr>
          <w:rStyle w:val="citationcar"/>
        </w:rPr>
        <w:t xml:space="preserve">. Once he received those documents, he came to Canada, and claimed refugee protection under the name of </w:t>
      </w:r>
      <w:r>
        <w:t xml:space="preserve">Ibrahim </w:t>
      </w:r>
      <w:proofErr w:type="spellStart"/>
      <w:r>
        <w:t>Aruwa</w:t>
      </w:r>
      <w:proofErr w:type="spellEnd"/>
      <w:r>
        <w:t xml:space="preserve"> </w:t>
      </w:r>
      <w:proofErr w:type="spellStart"/>
      <w:r>
        <w:t>Oluwamuyiwa</w:t>
      </w:r>
      <w:proofErr w:type="spellEnd"/>
      <w:r>
        <w:t xml:space="preserve"> </w:t>
      </w:r>
      <w:proofErr w:type="spellStart"/>
      <w:r>
        <w:t>Anjembe</w:t>
      </w:r>
      <w:proofErr w:type="spellEnd"/>
    </w:p>
    <w:p w14:paraId="7EC699D3" w14:textId="77777777" w:rsidR="00A03E39" w:rsidRDefault="000823B8">
      <w:pPr>
        <w:pStyle w:val="CGPara"/>
        <w:numPr>
          <w:ilvl w:val="0"/>
          <w:numId w:val="2"/>
        </w:numPr>
      </w:pPr>
      <w:r>
        <w:rPr>
          <w:rStyle w:val="citationcar"/>
        </w:rPr>
        <w:t xml:space="preserve">The Appellant, attempting to establish his identity as </w:t>
      </w:r>
      <w:r>
        <w:t xml:space="preserve">Ibrahim </w:t>
      </w:r>
      <w:proofErr w:type="spellStart"/>
      <w:r>
        <w:t>Oluwamuyiwa</w:t>
      </w:r>
      <w:proofErr w:type="spellEnd"/>
      <w:r>
        <w:t xml:space="preserve"> </w:t>
      </w:r>
      <w:proofErr w:type="spellStart"/>
      <w:r>
        <w:t>Akpala</w:t>
      </w:r>
      <w:proofErr w:type="spellEnd"/>
      <w:r>
        <w:rPr>
          <w:rStyle w:val="citationcar"/>
        </w:rPr>
        <w:t>,</w:t>
      </w:r>
      <w:r>
        <w:rPr>
          <w:rStyle w:val="citationcar"/>
        </w:rPr>
        <w:t xml:space="preserve"> submitted to the RPD a Birth Certificate,</w:t>
      </w:r>
      <w:r>
        <w:rPr>
          <w:sz w:val="16"/>
          <w:szCs w:val="16"/>
        </w:rPr>
        <w:t xml:space="preserve"> </w:t>
      </w:r>
      <w:r>
        <w:rPr>
          <w:rStyle w:val="citationcar"/>
        </w:rPr>
        <w:t>a Declaration of Age,</w:t>
      </w:r>
      <w:r>
        <w:rPr>
          <w:sz w:val="16"/>
          <w:szCs w:val="16"/>
        </w:rPr>
        <w:t xml:space="preserve"> </w:t>
      </w:r>
      <w:r>
        <w:rPr>
          <w:rStyle w:val="citationcar"/>
        </w:rPr>
        <w:t>a National Identification Number Slip (NINS),</w:t>
      </w:r>
      <w:r>
        <w:rPr>
          <w:sz w:val="16"/>
          <w:szCs w:val="16"/>
        </w:rPr>
        <w:t xml:space="preserve"> </w:t>
      </w:r>
      <w:r>
        <w:rPr>
          <w:rStyle w:val="citationcar"/>
        </w:rPr>
        <w:t>a V</w:t>
      </w:r>
      <w:r>
        <w:t>oter’s Card</w:t>
      </w:r>
      <w:r>
        <w:rPr>
          <w:rStyle w:val="citationcar"/>
        </w:rPr>
        <w:t>,</w:t>
      </w:r>
      <w:r>
        <w:rPr>
          <w:sz w:val="16"/>
          <w:szCs w:val="16"/>
        </w:rPr>
        <w:t xml:space="preserve"> </w:t>
      </w:r>
      <w:r>
        <w:rPr>
          <w:rStyle w:val="citationcar"/>
        </w:rPr>
        <w:t>a Certificate of Origin,</w:t>
      </w:r>
      <w:r>
        <w:rPr>
          <w:sz w:val="16"/>
          <w:szCs w:val="16"/>
        </w:rPr>
        <w:t xml:space="preserve"> </w:t>
      </w:r>
      <w:r>
        <w:rPr>
          <w:rStyle w:val="citationcar"/>
        </w:rPr>
        <w:t>his Baptismal Certificate</w:t>
      </w:r>
      <w:r>
        <w:rPr>
          <w:sz w:val="16"/>
          <w:szCs w:val="16"/>
        </w:rPr>
        <w:t xml:space="preserve"> </w:t>
      </w:r>
      <w:r>
        <w:rPr>
          <w:rStyle w:val="citationcar"/>
        </w:rPr>
        <w:t>along with his Marriage Certificate,</w:t>
      </w:r>
      <w:r>
        <w:rPr>
          <w:sz w:val="16"/>
          <w:szCs w:val="16"/>
        </w:rPr>
        <w:t xml:space="preserve"> </w:t>
      </w:r>
      <w:r>
        <w:rPr>
          <w:rStyle w:val="citationcar"/>
        </w:rPr>
        <w:t>a School Certificate,</w:t>
      </w:r>
      <w:r>
        <w:rPr>
          <w:sz w:val="16"/>
          <w:szCs w:val="16"/>
        </w:rPr>
        <w:t xml:space="preserve"> </w:t>
      </w:r>
      <w:r>
        <w:rPr>
          <w:rStyle w:val="citationcar"/>
        </w:rPr>
        <w:t>and a copy of his a</w:t>
      </w:r>
      <w:r>
        <w:rPr>
          <w:rStyle w:val="citationcar"/>
        </w:rPr>
        <w:t xml:space="preserve">lleged wife’s </w:t>
      </w:r>
      <w:r>
        <w:t>passport</w:t>
      </w:r>
      <w:r>
        <w:rPr>
          <w:rStyle w:val="citationcar"/>
        </w:rPr>
        <w:t>.</w:t>
      </w:r>
      <w:r>
        <w:rPr>
          <w:rStyle w:val="EndnoteReference"/>
        </w:rPr>
        <w:endnoteReference w:id="5"/>
      </w:r>
    </w:p>
    <w:p w14:paraId="240825FF" w14:textId="77777777" w:rsidR="00A03E39" w:rsidRDefault="000823B8">
      <w:pPr>
        <w:pStyle w:val="CG1H"/>
      </w:pPr>
      <w:r>
        <w:rPr>
          <w:rStyle w:val="citationcar"/>
          <w:rFonts w:eastAsia="Arial Unicode MS" w:cs="Arial Unicode MS"/>
        </w:rPr>
        <w:t xml:space="preserve">NEW EVIDENCE &amp; Oral Hearing </w:t>
      </w:r>
    </w:p>
    <w:p w14:paraId="67A6624E" w14:textId="77777777" w:rsidR="00A03E39" w:rsidRDefault="000823B8">
      <w:pPr>
        <w:pStyle w:val="CGPara"/>
        <w:numPr>
          <w:ilvl w:val="0"/>
          <w:numId w:val="2"/>
        </w:numPr>
      </w:pPr>
      <w:r>
        <w:rPr>
          <w:rStyle w:val="citationcar"/>
        </w:rPr>
        <w:t xml:space="preserve">The Appellant presented evidence with this </w:t>
      </w:r>
      <w:proofErr w:type="gramStart"/>
      <w:r>
        <w:rPr>
          <w:rStyle w:val="citationcar"/>
        </w:rPr>
        <w:t>appeal, and</w:t>
      </w:r>
      <w:proofErr w:type="gramEnd"/>
      <w:r>
        <w:rPr>
          <w:rStyle w:val="citationcar"/>
        </w:rPr>
        <w:t xml:space="preserve"> requested an oral hearing.</w:t>
      </w:r>
    </w:p>
    <w:p w14:paraId="75162CCA" w14:textId="77777777" w:rsidR="00A03E39" w:rsidRDefault="000823B8">
      <w:pPr>
        <w:pStyle w:val="CGPara"/>
        <w:numPr>
          <w:ilvl w:val="0"/>
          <w:numId w:val="2"/>
        </w:numPr>
      </w:pPr>
      <w:r>
        <w:rPr>
          <w:rStyle w:val="citationcar"/>
        </w:rPr>
        <w:t>The evidence submitted by the Appellant does not constitute new evidence, and his request for an oral hearing is denied</w:t>
      </w:r>
      <w:r>
        <w:rPr>
          <w:rStyle w:val="citationcar"/>
        </w:rPr>
        <w:t xml:space="preserve">. </w:t>
      </w:r>
    </w:p>
    <w:p w14:paraId="6EC13525" w14:textId="77777777" w:rsidR="00A03E39" w:rsidRDefault="000823B8">
      <w:pPr>
        <w:pStyle w:val="CGPara"/>
        <w:numPr>
          <w:ilvl w:val="0"/>
          <w:numId w:val="2"/>
        </w:numPr>
      </w:pPr>
      <w:r>
        <w:rPr>
          <w:rStyle w:val="citationcar"/>
        </w:rPr>
        <w:t xml:space="preserve">The Appellant submitted copies of a Baptismal Certificate, a NINS, a Voter’s Card, and a Certificate of Identification/Origin as proposed new evidence. These documents are not new. They were before the RPD, and they are contained in the RPD Record that </w:t>
      </w:r>
      <w:r>
        <w:rPr>
          <w:rStyle w:val="citationcar"/>
        </w:rPr>
        <w:t>is before me. The Appellant has also provided copies of two Federal Court decisions, which he argues support his submissions.</w:t>
      </w:r>
      <w:r>
        <w:rPr>
          <w:rStyle w:val="EndnoteReference"/>
        </w:rPr>
        <w:endnoteReference w:id="6"/>
      </w:r>
      <w:r>
        <w:rPr>
          <w:rStyle w:val="citationcar"/>
        </w:rPr>
        <w:t xml:space="preserve"> Federal Court decisions are not evidence, but I have considered those decisions in my analysis.</w:t>
      </w:r>
    </w:p>
    <w:p w14:paraId="0520BEB6" w14:textId="77777777" w:rsidR="00A03E39" w:rsidRDefault="000823B8">
      <w:pPr>
        <w:pStyle w:val="CGPara"/>
        <w:numPr>
          <w:ilvl w:val="0"/>
          <w:numId w:val="2"/>
        </w:numPr>
      </w:pPr>
      <w:r>
        <w:rPr>
          <w:rStyle w:val="citationcar"/>
        </w:rPr>
        <w:t>I reject the Appellant’s request</w:t>
      </w:r>
      <w:r>
        <w:rPr>
          <w:rStyle w:val="citationcar"/>
        </w:rPr>
        <w:t xml:space="preserve"> for an oral hearing. For the Refugee Appeal Division to hold an oral hearing, all the conditions set out in section 110(6) of the IRPA must be met, meaning that the new evidence: must raise a serious issue with respect to the credibility of the Appellants</w:t>
      </w:r>
      <w:r>
        <w:rPr>
          <w:rStyle w:val="citationcar"/>
        </w:rPr>
        <w:t>; must be central to the decision with respect to the refugee protection claim; and, if accepted, would justify allowing or rejecting the claim. I have not admitted any new evidence, and therefore the requirements set out in section 110(6) of the IRPA to h</w:t>
      </w:r>
      <w:r>
        <w:rPr>
          <w:rStyle w:val="citationcar"/>
        </w:rPr>
        <w:t>ave an oral hearing have not been met.</w:t>
      </w:r>
    </w:p>
    <w:p w14:paraId="5440FFBE" w14:textId="77777777" w:rsidR="00A03E39" w:rsidRDefault="000823B8">
      <w:pPr>
        <w:pStyle w:val="CG1H"/>
      </w:pPr>
      <w:r>
        <w:rPr>
          <w:rStyle w:val="citationcar"/>
          <w:rFonts w:eastAsia="Arial Unicode MS" w:cs="Arial Unicode MS"/>
        </w:rPr>
        <w:lastRenderedPageBreak/>
        <w:t>ANALYSIS</w:t>
      </w:r>
    </w:p>
    <w:p w14:paraId="5C9FFBA1" w14:textId="77777777" w:rsidR="00A03E39" w:rsidRDefault="000823B8">
      <w:pPr>
        <w:pStyle w:val="CGPara"/>
        <w:numPr>
          <w:ilvl w:val="0"/>
          <w:numId w:val="2"/>
        </w:numPr>
      </w:pPr>
      <w:r>
        <w:rPr>
          <w:rStyle w:val="citationcar"/>
        </w:rPr>
        <w:t>As will be explained in detail in this decision, my reasons for concluding that the RPD decision is correct are as follows. The presumption at law that foreign documents are valid has fallen away in this case</w:t>
      </w:r>
      <w:r>
        <w:rPr>
          <w:rStyle w:val="citationcar"/>
        </w:rPr>
        <w:t xml:space="preserve">. This does not necessarily mean that the documents submitted by the Appellant are not valid. Instead, it just means that the Appellant cannot rely on the presumption that they are authentic, and that he must prove their authenticity. A second and related </w:t>
      </w:r>
      <w:r>
        <w:rPr>
          <w:rStyle w:val="citationcar"/>
        </w:rPr>
        <w:t>reason is that there are documents that are in different names, and the Appellant has not provided sufficient evidence to establish which of those documents are authentic and which are not. As a result, there is no basis to decide that the documents in the</w:t>
      </w:r>
      <w:r>
        <w:rPr>
          <w:rStyle w:val="citationcar"/>
        </w:rPr>
        <w:t xml:space="preserve"> name of </w:t>
      </w:r>
      <w:r>
        <w:t xml:space="preserve">Ibrahim </w:t>
      </w:r>
      <w:proofErr w:type="spellStart"/>
      <w:r>
        <w:t>Oluwamuyiwa</w:t>
      </w:r>
      <w:proofErr w:type="spellEnd"/>
      <w:r>
        <w:t xml:space="preserve"> </w:t>
      </w:r>
      <w:proofErr w:type="spellStart"/>
      <w:r>
        <w:t>Anjembe</w:t>
      </w:r>
      <w:proofErr w:type="spellEnd"/>
      <w:r>
        <w:rPr>
          <w:rStyle w:val="citationcar"/>
        </w:rPr>
        <w:t xml:space="preserve"> are valid, over documents in the name of </w:t>
      </w:r>
      <w:r>
        <w:t xml:space="preserve">Ibrahim </w:t>
      </w:r>
      <w:proofErr w:type="spellStart"/>
      <w:r>
        <w:t>Oluwamuyiwa</w:t>
      </w:r>
      <w:proofErr w:type="spellEnd"/>
      <w:r>
        <w:t xml:space="preserve"> </w:t>
      </w:r>
      <w:proofErr w:type="spellStart"/>
      <w:r>
        <w:t>Akpala</w:t>
      </w:r>
      <w:proofErr w:type="spellEnd"/>
      <w:r>
        <w:rPr>
          <w:rStyle w:val="citationcar"/>
        </w:rPr>
        <w:t xml:space="preserve">. </w:t>
      </w:r>
    </w:p>
    <w:p w14:paraId="00854701" w14:textId="77777777" w:rsidR="00A03E39" w:rsidRDefault="000823B8">
      <w:pPr>
        <w:pStyle w:val="CGPara"/>
        <w:numPr>
          <w:ilvl w:val="0"/>
          <w:numId w:val="2"/>
        </w:numPr>
      </w:pPr>
      <w:r>
        <w:rPr>
          <w:rStyle w:val="citationcar"/>
        </w:rPr>
        <w:t>The Federal Court has indicated that there is a basic rule in Canadian law that foreign documents (whether they establish the identity or not of a cl</w:t>
      </w:r>
      <w:r>
        <w:rPr>
          <w:rStyle w:val="citationcar"/>
        </w:rPr>
        <w:t>aimant) purporting to be issued by a competent foreign public officer should be accepted as evidence of their content unless there is some valid reason to doubt their authenticity.</w:t>
      </w:r>
      <w:r>
        <w:rPr>
          <w:rStyle w:val="EndnoteReference"/>
        </w:rPr>
        <w:endnoteReference w:id="7"/>
      </w:r>
      <w:r>
        <w:rPr>
          <w:rStyle w:val="citationcar"/>
        </w:rPr>
        <w:t xml:space="preserve"> The Federal Court has also stated that the presumption that foreign ident</w:t>
      </w:r>
      <w:r>
        <w:rPr>
          <w:rStyle w:val="citationcar"/>
        </w:rPr>
        <w:t>ity documents are valid falls away when there is valid reason for doubting their authenticity.</w:t>
      </w:r>
      <w:r>
        <w:rPr>
          <w:rStyle w:val="EndnoteReference"/>
        </w:rPr>
        <w:endnoteReference w:id="8"/>
      </w:r>
      <w:r>
        <w:rPr>
          <w:rStyle w:val="citationcar"/>
        </w:rPr>
        <w:t xml:space="preserve"> </w:t>
      </w:r>
    </w:p>
    <w:p w14:paraId="140199FA" w14:textId="77777777" w:rsidR="00A03E39" w:rsidRDefault="000823B8">
      <w:pPr>
        <w:pStyle w:val="CGPara"/>
        <w:numPr>
          <w:ilvl w:val="0"/>
          <w:numId w:val="2"/>
        </w:numPr>
      </w:pPr>
      <w:r>
        <w:rPr>
          <w:rStyle w:val="citationcar"/>
        </w:rPr>
        <w:t xml:space="preserve">The RPD explained why the presumption that the Appellant’s foreign identity documents are valid falls away and why there are valid reasons for doubting their </w:t>
      </w:r>
      <w:r>
        <w:rPr>
          <w:rStyle w:val="citationcar"/>
        </w:rPr>
        <w:t xml:space="preserve">authenticity. I agree with the RPD’s reasoning. </w:t>
      </w:r>
    </w:p>
    <w:p w14:paraId="1C7CD089" w14:textId="77777777" w:rsidR="00A03E39" w:rsidRDefault="000823B8">
      <w:pPr>
        <w:pStyle w:val="CGPara"/>
        <w:numPr>
          <w:ilvl w:val="0"/>
          <w:numId w:val="2"/>
        </w:numPr>
      </w:pPr>
      <w:r>
        <w:rPr>
          <w:rStyle w:val="citationcar"/>
        </w:rPr>
        <w:t>The birth certificate submitted by the Appellant is of concern because the Appellant was unable to explain how his wife obtained it, and he was also unable to answer whether his birth was registered. It is n</w:t>
      </w:r>
      <w:r>
        <w:rPr>
          <w:rStyle w:val="citationcar"/>
        </w:rPr>
        <w:t>ot satisfactory that the Appellant was unable to name any documents that his wife submitted to obtain his birth certificate,</w:t>
      </w:r>
      <w:r>
        <w:rPr>
          <w:rStyle w:val="EndnoteReference"/>
        </w:rPr>
        <w:endnoteReference w:id="9"/>
      </w:r>
      <w:r>
        <w:rPr>
          <w:rStyle w:val="citationcar"/>
        </w:rPr>
        <w:t xml:space="preserve"> when the objective country information indicates that there are documents that would have been required to be submitted.</w:t>
      </w:r>
      <w:r>
        <w:rPr>
          <w:rStyle w:val="EndnoteReference"/>
        </w:rPr>
        <w:endnoteReference w:id="10"/>
      </w:r>
      <w:r>
        <w:rPr>
          <w:rStyle w:val="citationcar"/>
        </w:rPr>
        <w:t xml:space="preserve"> The Ap</w:t>
      </w:r>
      <w:r>
        <w:rPr>
          <w:rStyle w:val="citationcar"/>
        </w:rPr>
        <w:t>pellant’s inability to answer whether his birth was registered or not is also not satisfactory.</w:t>
      </w:r>
      <w:r>
        <w:rPr>
          <w:rStyle w:val="EndnoteReference"/>
        </w:rPr>
        <w:endnoteReference w:id="11"/>
      </w:r>
      <w:r>
        <w:rPr>
          <w:rStyle w:val="citationcar"/>
        </w:rPr>
        <w:t xml:space="preserve"> The objective country information for Nigeria indicates that if his birth </w:t>
      </w:r>
      <w:r>
        <w:rPr>
          <w:rStyle w:val="citationcar"/>
        </w:rPr>
        <w:lastRenderedPageBreak/>
        <w:t>had not been registered, the standard procedure would have been to issue an attestat</w:t>
      </w:r>
      <w:r>
        <w:rPr>
          <w:rStyle w:val="citationcar"/>
        </w:rPr>
        <w:t>ion letter, not a birth certificate.</w:t>
      </w:r>
      <w:r>
        <w:rPr>
          <w:rStyle w:val="EndnoteReference"/>
        </w:rPr>
        <w:endnoteReference w:id="12"/>
      </w:r>
      <w:r>
        <w:rPr>
          <w:rStyle w:val="citationcar"/>
        </w:rPr>
        <w:t xml:space="preserve">   </w:t>
      </w:r>
    </w:p>
    <w:p w14:paraId="7B58C609" w14:textId="77777777" w:rsidR="00A03E39" w:rsidRDefault="000823B8">
      <w:pPr>
        <w:pStyle w:val="CGPara"/>
        <w:numPr>
          <w:ilvl w:val="0"/>
          <w:numId w:val="2"/>
        </w:numPr>
      </w:pPr>
      <w:r>
        <w:rPr>
          <w:rStyle w:val="citationcar"/>
        </w:rPr>
        <w:t>The RPD also correctly analyzed the birth certificate in light of the declaration of age document.</w:t>
      </w:r>
      <w:r>
        <w:rPr>
          <w:rStyle w:val="EndnoteReference"/>
        </w:rPr>
        <w:endnoteReference w:id="13"/>
      </w:r>
      <w:r>
        <w:rPr>
          <w:rStyle w:val="citationcar"/>
        </w:rPr>
        <w:t xml:space="preserve"> I agree with the RPD that these two documents do not present a consistent story. As discussed above, a birth certificate is issued if a birth is registered. If a birth is not registered, an attestation letter is issued instead. In this case, the Appellant</w:t>
      </w:r>
      <w:r>
        <w:rPr>
          <w:rStyle w:val="citationcar"/>
        </w:rPr>
        <w:t xml:space="preserve"> presented a birth certificate, which according to this background, would suggest his birth was registered. However, the declaration of age document specifically states, “That, at the time of his birth, his birth was not registered, but it was written in t</w:t>
      </w:r>
      <w:r>
        <w:rPr>
          <w:rStyle w:val="citationcar"/>
        </w:rPr>
        <w:t>he family’s record for that purpose.”</w:t>
      </w:r>
      <w:r>
        <w:rPr>
          <w:rStyle w:val="EndnoteReference"/>
        </w:rPr>
        <w:endnoteReference w:id="14"/>
      </w:r>
      <w:r>
        <w:rPr>
          <w:rStyle w:val="citationcar"/>
        </w:rPr>
        <w:t xml:space="preserve"> The Appellant testified at the RPD hearing that it is standard to indicate that the birth is not recorded,</w:t>
      </w:r>
      <w:r>
        <w:rPr>
          <w:rStyle w:val="EndnoteReference"/>
        </w:rPr>
        <w:endnoteReference w:id="15"/>
      </w:r>
      <w:r>
        <w:rPr>
          <w:rStyle w:val="citationcar"/>
        </w:rPr>
        <w:t xml:space="preserve"> but I could not locate any objective country information to support this assertion.</w:t>
      </w:r>
    </w:p>
    <w:p w14:paraId="17B23A8D" w14:textId="77777777" w:rsidR="00A03E39" w:rsidRDefault="000823B8">
      <w:pPr>
        <w:pStyle w:val="CGPara"/>
        <w:numPr>
          <w:ilvl w:val="0"/>
          <w:numId w:val="2"/>
        </w:numPr>
      </w:pPr>
      <w:r>
        <w:rPr>
          <w:rStyle w:val="citationcar"/>
        </w:rPr>
        <w:t>The concern about the b</w:t>
      </w:r>
      <w:r>
        <w:rPr>
          <w:rStyle w:val="citationcar"/>
        </w:rPr>
        <w:t>irth certificate and declaration of age are sufficient to justify the conclusion that the presumption that the Appellant’s identity documents are valid has fallen away. This means that the Appellant cannot rely on the presumption that his documents are val</w:t>
      </w:r>
      <w:r>
        <w:rPr>
          <w:rStyle w:val="citationcar"/>
        </w:rPr>
        <w:t>id, and instead has the onus to establish that they are valid.</w:t>
      </w:r>
    </w:p>
    <w:p w14:paraId="2B7CE50D" w14:textId="77777777" w:rsidR="00A03E39" w:rsidRDefault="000823B8">
      <w:pPr>
        <w:pStyle w:val="CGPara"/>
        <w:numPr>
          <w:ilvl w:val="0"/>
          <w:numId w:val="2"/>
        </w:numPr>
      </w:pPr>
      <w:r>
        <w:rPr>
          <w:rStyle w:val="citationcar"/>
        </w:rPr>
        <w:t>I agree that with the RPD’s explanation for why the School Certificate, Marriage Certificate and a copy of Ms. Musa’s passport are insufficient in establishing the Appellant’s identity. The Mar</w:t>
      </w:r>
      <w:r>
        <w:rPr>
          <w:rStyle w:val="citationcar"/>
        </w:rPr>
        <w:t>riage Certificate is not credible as it is not an official document, and there is a lack of evidence to support that it is authentic. While the pervasiveness of fraudulent documents does not necessarily mean a document is fraudulent, in this case, the pres</w:t>
      </w:r>
      <w:r>
        <w:rPr>
          <w:rStyle w:val="citationcar"/>
        </w:rPr>
        <w:t>umption that the document is authentic has fallen away, and the Appellant has not provided sufficient proof to establish that this document is authentic. The School Certificate is not probative as it provides grades, or in other words, it is simply a repor</w:t>
      </w:r>
      <w:r>
        <w:rPr>
          <w:rStyle w:val="citationcar"/>
        </w:rPr>
        <w:t xml:space="preserve">t card. The excerpt from Ms. Musa’s passport is not probative as it does not mention the Appellant’s name or provide any particulars. </w:t>
      </w:r>
    </w:p>
    <w:p w14:paraId="716BF58B" w14:textId="77777777" w:rsidR="00A03E39" w:rsidRDefault="000823B8">
      <w:pPr>
        <w:pStyle w:val="CGPara"/>
        <w:numPr>
          <w:ilvl w:val="0"/>
          <w:numId w:val="2"/>
        </w:numPr>
      </w:pPr>
      <w:r>
        <w:rPr>
          <w:rStyle w:val="citationcar"/>
        </w:rPr>
        <w:t>On appeal, the Appellant specifically takes issue with the RPD’s analysis of the Baptismal Certificate, the NINS, the Vot</w:t>
      </w:r>
      <w:r>
        <w:rPr>
          <w:rStyle w:val="citationcar"/>
        </w:rPr>
        <w:t xml:space="preserve">er’s Card, and the Certificate of Identification/Origin. The Appellant argues that the RPD erred by giving no probative value to these documents without </w:t>
      </w:r>
      <w:r>
        <w:rPr>
          <w:rStyle w:val="citationcar"/>
        </w:rPr>
        <w:lastRenderedPageBreak/>
        <w:t>first making an explicit finding on their authenticity. The Appellant relies on a Federal Court decisio</w:t>
      </w:r>
      <w:r>
        <w:rPr>
          <w:rStyle w:val="citationcar"/>
        </w:rPr>
        <w:t>n that indicates that fact finders must have the courage to find facts, and they cannot mask authenticity findings by simply deeming evidence to be of little probative value.</w:t>
      </w:r>
      <w:r>
        <w:rPr>
          <w:rStyle w:val="EndnoteReference"/>
        </w:rPr>
        <w:endnoteReference w:id="16"/>
      </w:r>
      <w:r>
        <w:rPr>
          <w:rStyle w:val="citationcar"/>
        </w:rPr>
        <w:t xml:space="preserve"> </w:t>
      </w:r>
    </w:p>
    <w:p w14:paraId="55B7BCD2" w14:textId="77777777" w:rsidR="00A03E39" w:rsidRDefault="000823B8">
      <w:pPr>
        <w:pStyle w:val="CGPara"/>
        <w:numPr>
          <w:ilvl w:val="0"/>
          <w:numId w:val="2"/>
        </w:numPr>
      </w:pPr>
      <w:r>
        <w:rPr>
          <w:rStyle w:val="citationcar"/>
        </w:rPr>
        <w:t>The Federal Court decision relied upon by the Appellant indicates that it is a</w:t>
      </w:r>
      <w:r>
        <w:rPr>
          <w:rStyle w:val="citationcar"/>
        </w:rPr>
        <w:t>n error for a tribunal to not give a fair look at the evidence simply because the tribunal has first concluded that an applicant is not credible.</w:t>
      </w:r>
      <w:r>
        <w:rPr>
          <w:rStyle w:val="EndnoteReference"/>
        </w:rPr>
        <w:endnoteReference w:id="17"/>
      </w:r>
      <w:r>
        <w:rPr>
          <w:rStyle w:val="citationcar"/>
        </w:rPr>
        <w:t xml:space="preserve"> The other Federal Court decision cited by the Appellant is the </w:t>
      </w:r>
      <w:proofErr w:type="spellStart"/>
      <w:r>
        <w:rPr>
          <w:i/>
          <w:iCs/>
        </w:rPr>
        <w:t>Oranye</w:t>
      </w:r>
      <w:proofErr w:type="spellEnd"/>
      <w:r>
        <w:rPr>
          <w:rStyle w:val="citationcar"/>
        </w:rPr>
        <w:t xml:space="preserve"> decision. In that decision, Justice Ah</w:t>
      </w:r>
      <w:r>
        <w:rPr>
          <w:rStyle w:val="citationcar"/>
        </w:rPr>
        <w:t xml:space="preserve">med states that fact finders must have the courage to find facts, and that they cannot mask authenticity findings by simply deeming evidence to be of little probative value. Justice Norris of the Federal Court, citing the </w:t>
      </w:r>
      <w:proofErr w:type="spellStart"/>
      <w:r>
        <w:rPr>
          <w:i/>
          <w:iCs/>
        </w:rPr>
        <w:t>Oranye</w:t>
      </w:r>
      <w:proofErr w:type="spellEnd"/>
      <w:r>
        <w:rPr>
          <w:rStyle w:val="citationcar"/>
        </w:rPr>
        <w:t xml:space="preserve"> decision, has stated that, </w:t>
      </w:r>
      <w:r>
        <w:rPr>
          <w:rStyle w:val="citationcar"/>
        </w:rPr>
        <w:t>“</w:t>
      </w:r>
      <w:r>
        <w:t>where a foreign public document is central to a claim and, if it is genuine, it would have high probative value, any doubts about its genuineness should be stated expressly rather than disguised as assessments of weight.”</w:t>
      </w:r>
      <w:r>
        <w:rPr>
          <w:vertAlign w:val="superscript"/>
        </w:rPr>
        <w:endnoteReference w:id="18"/>
      </w:r>
      <w:r>
        <w:t xml:space="preserve"> Justice </w:t>
      </w:r>
      <w:proofErr w:type="spellStart"/>
      <w:r>
        <w:t>Mactavish</w:t>
      </w:r>
      <w:proofErr w:type="spellEnd"/>
      <w:r>
        <w:t xml:space="preserve"> of the Federa</w:t>
      </w:r>
      <w:r>
        <w:t xml:space="preserve">l Court stated, “Decisionmakers should not cast aspersions on the authenticity of a document, and then </w:t>
      </w:r>
      <w:proofErr w:type="spellStart"/>
      <w:r>
        <w:t>endeavour</w:t>
      </w:r>
      <w:proofErr w:type="spellEnd"/>
      <w:r>
        <w:t xml:space="preserve"> to hedge their bets by giving the document ‘</w:t>
      </w:r>
      <w:r>
        <w:rPr>
          <w:rStyle w:val="citationcar"/>
        </w:rPr>
        <w:t>little weight’</w:t>
      </w:r>
      <w:r>
        <w:t>.”</w:t>
      </w:r>
      <w:r>
        <w:rPr>
          <w:vertAlign w:val="superscript"/>
        </w:rPr>
        <w:endnoteReference w:id="19"/>
      </w:r>
      <w:r>
        <w:t xml:space="preserve"> </w:t>
      </w:r>
      <w:r>
        <w:rPr>
          <w:rStyle w:val="citationcar"/>
        </w:rPr>
        <w:t xml:space="preserve"> </w:t>
      </w:r>
    </w:p>
    <w:p w14:paraId="04D3B0B7" w14:textId="77777777" w:rsidR="00A03E39" w:rsidRDefault="000823B8">
      <w:pPr>
        <w:pStyle w:val="CGPara"/>
        <w:numPr>
          <w:ilvl w:val="0"/>
          <w:numId w:val="2"/>
        </w:numPr>
      </w:pPr>
      <w:r>
        <w:rPr>
          <w:rStyle w:val="citationcar"/>
        </w:rPr>
        <w:t>For the following reasons, I am not persuaded by the Appellant’s arguments bec</w:t>
      </w:r>
      <w:r>
        <w:rPr>
          <w:rStyle w:val="citationcar"/>
        </w:rPr>
        <w:t xml:space="preserve">ause I disagree with the Appellant’s interpretation of how the RPD analyzed the documents in question, and I also disagree with his suggested interpretation of the Federal Court decisions he cites. </w:t>
      </w:r>
    </w:p>
    <w:p w14:paraId="482F0996" w14:textId="77777777" w:rsidR="00A03E39" w:rsidRDefault="000823B8">
      <w:pPr>
        <w:pStyle w:val="CGPara"/>
        <w:numPr>
          <w:ilvl w:val="0"/>
          <w:numId w:val="2"/>
        </w:numPr>
      </w:pPr>
      <w:r>
        <w:rPr>
          <w:rStyle w:val="citationcar"/>
        </w:rPr>
        <w:t>I disagree with the Appellant’s suggestion that the RPD e</w:t>
      </w:r>
      <w:r>
        <w:rPr>
          <w:rStyle w:val="citationcar"/>
        </w:rPr>
        <w:t>rred in its analysis in the way these Federal Court decisions have cautioned against. When a tribunal gives low probative value or low weight to a document it does not necessarily follow that they are masking their doubts about the genuineness of the docum</w:t>
      </w:r>
      <w:r>
        <w:rPr>
          <w:rStyle w:val="citationcar"/>
        </w:rPr>
        <w:t xml:space="preserve">ent, and I disagree that the RPD committed such an error in this case. </w:t>
      </w:r>
    </w:p>
    <w:p w14:paraId="4F8FA6AB" w14:textId="77777777" w:rsidR="00A03E39" w:rsidRDefault="000823B8">
      <w:pPr>
        <w:pStyle w:val="CGPara"/>
        <w:numPr>
          <w:ilvl w:val="0"/>
          <w:numId w:val="2"/>
        </w:numPr>
      </w:pPr>
      <w:r>
        <w:rPr>
          <w:rStyle w:val="citationcar"/>
        </w:rPr>
        <w:t>I also disagree with the Appellant’s argument that a finding of authenticity is always required. If a document is not probative, then it is unnecessary to consider whether it is authen</w:t>
      </w:r>
      <w:r>
        <w:rPr>
          <w:rStyle w:val="citationcar"/>
        </w:rPr>
        <w:t>tic, or in other words, credible.</w:t>
      </w:r>
      <w:r>
        <w:rPr>
          <w:rStyle w:val="EndnoteReference"/>
        </w:rPr>
        <w:endnoteReference w:id="20"/>
      </w:r>
      <w:r>
        <w:rPr>
          <w:rStyle w:val="citationcar"/>
        </w:rPr>
        <w:t xml:space="preserve">  </w:t>
      </w:r>
    </w:p>
    <w:p w14:paraId="54F9CC88" w14:textId="77777777" w:rsidR="00A03E39" w:rsidRDefault="000823B8">
      <w:pPr>
        <w:pStyle w:val="CGPara"/>
        <w:numPr>
          <w:ilvl w:val="0"/>
          <w:numId w:val="2"/>
        </w:numPr>
      </w:pPr>
      <w:r>
        <w:rPr>
          <w:rStyle w:val="citationcar"/>
        </w:rPr>
        <w:t xml:space="preserve">Justice </w:t>
      </w:r>
      <w:proofErr w:type="spellStart"/>
      <w:r>
        <w:rPr>
          <w:rStyle w:val="citationcar"/>
        </w:rPr>
        <w:t>Grammond</w:t>
      </w:r>
      <w:proofErr w:type="spellEnd"/>
      <w:r>
        <w:rPr>
          <w:rStyle w:val="citationcar"/>
        </w:rPr>
        <w:t xml:space="preserve"> of the Federal Court defined the terms “credibility”, “probative” and “weight of evidence” thoroughly in the </w:t>
      </w:r>
      <w:proofErr w:type="spellStart"/>
      <w:r>
        <w:rPr>
          <w:i/>
          <w:iCs/>
        </w:rPr>
        <w:t>Magonza</w:t>
      </w:r>
      <w:proofErr w:type="spellEnd"/>
      <w:r>
        <w:rPr>
          <w:rStyle w:val="EndnoteReference"/>
        </w:rPr>
        <w:endnoteReference w:id="21"/>
      </w:r>
      <w:r>
        <w:rPr>
          <w:rStyle w:val="citationcar"/>
        </w:rPr>
        <w:t xml:space="preserve"> decision. Justice </w:t>
      </w:r>
      <w:proofErr w:type="spellStart"/>
      <w:r>
        <w:rPr>
          <w:rStyle w:val="citationcar"/>
        </w:rPr>
        <w:t>Grammond’s</w:t>
      </w:r>
      <w:proofErr w:type="spellEnd"/>
      <w:r>
        <w:rPr>
          <w:rStyle w:val="citationcar"/>
        </w:rPr>
        <w:t xml:space="preserve"> discussion </w:t>
      </w:r>
      <w:r>
        <w:rPr>
          <w:rStyle w:val="citationcar"/>
        </w:rPr>
        <w:lastRenderedPageBreak/>
        <w:t>is instructive, and in summary, he indicat</w:t>
      </w:r>
      <w:r>
        <w:rPr>
          <w:rStyle w:val="citationcar"/>
        </w:rPr>
        <w:t xml:space="preserve">es that “credibility” means the worthiness of belief, or in other words, the answer to the question, “is this a trustworthy source of information?” He explains that “probative” is </w:t>
      </w:r>
      <w:r>
        <w:t>the answer to the question, </w:t>
      </w:r>
      <w:r>
        <w:rPr>
          <w:rStyle w:val="citationcar"/>
        </w:rPr>
        <w:t>“to what degree is this information useful in an</w:t>
      </w:r>
      <w:r>
        <w:rPr>
          <w:rStyle w:val="citationcar"/>
        </w:rPr>
        <w:t xml:space="preserve">swering the question I have to address?” The “weight of evidence” is, as Justice </w:t>
      </w:r>
      <w:proofErr w:type="spellStart"/>
      <w:r>
        <w:rPr>
          <w:rStyle w:val="citationcar"/>
        </w:rPr>
        <w:t>Grammond</w:t>
      </w:r>
      <w:proofErr w:type="spellEnd"/>
      <w:r>
        <w:rPr>
          <w:rStyle w:val="citationcar"/>
        </w:rPr>
        <w:t xml:space="preserve"> explains, </w:t>
      </w:r>
      <w:r>
        <w:t xml:space="preserve">a function of credibility and probative value or, if one likes to see this in the form of an equation, weight = (credibility) x (probative value). Justice </w:t>
      </w:r>
      <w:proofErr w:type="spellStart"/>
      <w:r>
        <w:t>G</w:t>
      </w:r>
      <w:r>
        <w:t>rammond</w:t>
      </w:r>
      <w:proofErr w:type="spellEnd"/>
      <w:r>
        <w:t xml:space="preserve"> explains that weight can only be assessed as a function of credibility and probative value.</w:t>
      </w:r>
    </w:p>
    <w:p w14:paraId="0E285227" w14:textId="77777777" w:rsidR="00A03E39" w:rsidRDefault="000823B8">
      <w:pPr>
        <w:pStyle w:val="CGPara"/>
        <w:numPr>
          <w:ilvl w:val="0"/>
          <w:numId w:val="2"/>
        </w:numPr>
      </w:pPr>
      <w:r>
        <w:rPr>
          <w:rStyle w:val="citationcar"/>
        </w:rPr>
        <w:t>I will now turn to my specific analysis of the four documents that the Appellant alleges were analyzed incorrectly by the RPD.</w:t>
      </w:r>
    </w:p>
    <w:p w14:paraId="3BE4665A" w14:textId="77777777" w:rsidR="00A03E39" w:rsidRDefault="000823B8">
      <w:pPr>
        <w:pStyle w:val="CGPara"/>
        <w:tabs>
          <w:tab w:val="clear" w:pos="576"/>
          <w:tab w:val="clear" w:pos="1008"/>
          <w:tab w:val="clear" w:pos="1440"/>
          <w:tab w:val="clear" w:pos="1872"/>
          <w:tab w:val="clear" w:pos="2304"/>
          <w:tab w:val="clear" w:pos="2736"/>
        </w:tabs>
        <w:ind w:left="720" w:firstLine="0"/>
        <w:rPr>
          <w:i/>
          <w:iCs/>
        </w:rPr>
      </w:pPr>
      <w:r>
        <w:rPr>
          <w:i/>
          <w:iCs/>
        </w:rPr>
        <w:t xml:space="preserve">The Baptismal </w:t>
      </w:r>
      <w:r>
        <w:rPr>
          <w:i/>
          <w:iCs/>
        </w:rPr>
        <w:t>Certificate</w:t>
      </w:r>
    </w:p>
    <w:p w14:paraId="44376FC6" w14:textId="77777777" w:rsidR="00A03E39" w:rsidRDefault="000823B8">
      <w:pPr>
        <w:pStyle w:val="CGPara"/>
        <w:numPr>
          <w:ilvl w:val="0"/>
          <w:numId w:val="2"/>
        </w:numPr>
      </w:pPr>
      <w:r>
        <w:rPr>
          <w:rStyle w:val="citationcar"/>
        </w:rPr>
        <w:t>I find that that no weight should be given to this Baptismal Certificate in answering the question of the Appellant’s identity. The document is inauthentic, and more importantly, there is no probative value.</w:t>
      </w:r>
    </w:p>
    <w:p w14:paraId="1DC7DA0B" w14:textId="77777777" w:rsidR="00A03E39" w:rsidRDefault="000823B8">
      <w:pPr>
        <w:pStyle w:val="CGPara"/>
        <w:numPr>
          <w:ilvl w:val="0"/>
          <w:numId w:val="2"/>
        </w:numPr>
      </w:pPr>
      <w:r>
        <w:rPr>
          <w:rStyle w:val="citationcar"/>
        </w:rPr>
        <w:t xml:space="preserve">The Baptismal Certificate is in the </w:t>
      </w:r>
      <w:r>
        <w:rPr>
          <w:rStyle w:val="citationcar"/>
        </w:rPr>
        <w:t xml:space="preserve">name of </w:t>
      </w:r>
      <w:r>
        <w:t xml:space="preserve">Ibrahim </w:t>
      </w:r>
      <w:proofErr w:type="spellStart"/>
      <w:r>
        <w:t>Oluwamuyiwa</w:t>
      </w:r>
      <w:proofErr w:type="spellEnd"/>
      <w:r>
        <w:t xml:space="preserve"> </w:t>
      </w:r>
      <w:proofErr w:type="spellStart"/>
      <w:r>
        <w:t>Akpala</w:t>
      </w:r>
      <w:proofErr w:type="spellEnd"/>
      <w:r>
        <w:rPr>
          <w:rStyle w:val="citationcar"/>
        </w:rPr>
        <w:t>, and dated March 18, 1999. The Certificate is issued by “God’s Revelation Holy Ghost Deliverance Ministry” and is signed by the “General Overseer.”</w:t>
      </w:r>
    </w:p>
    <w:p w14:paraId="1704AD0B" w14:textId="77777777" w:rsidR="00A03E39" w:rsidRDefault="000823B8">
      <w:pPr>
        <w:pStyle w:val="CGPara"/>
        <w:numPr>
          <w:ilvl w:val="0"/>
          <w:numId w:val="2"/>
        </w:numPr>
      </w:pPr>
      <w:r>
        <w:rPr>
          <w:rStyle w:val="citationcar"/>
        </w:rPr>
        <w:t xml:space="preserve">The Baptismal Certificate does not contain a birth date, or the parent’s </w:t>
      </w:r>
      <w:r>
        <w:rPr>
          <w:rStyle w:val="citationcar"/>
        </w:rPr>
        <w:t>name, which contrasts with the objective country information for Nigeria that indicates that such information should be included in Baptismal Certificates:</w:t>
      </w:r>
      <w:r>
        <w:rPr>
          <w:rStyle w:val="EndnoteReference"/>
        </w:rPr>
        <w:endnoteReference w:id="22"/>
      </w:r>
    </w:p>
    <w:p w14:paraId="296F38B1" w14:textId="77777777" w:rsidR="00A03E39" w:rsidRDefault="000823B8">
      <w:pPr>
        <w:pStyle w:val="CGPara"/>
        <w:tabs>
          <w:tab w:val="clear" w:pos="576"/>
          <w:tab w:val="clear" w:pos="1008"/>
          <w:tab w:val="clear" w:pos="1440"/>
          <w:tab w:val="clear" w:pos="1872"/>
          <w:tab w:val="clear" w:pos="2304"/>
          <w:tab w:val="clear" w:pos="2736"/>
        </w:tabs>
        <w:spacing w:line="240" w:lineRule="auto"/>
        <w:ind w:left="720" w:right="893" w:firstLine="0"/>
      </w:pPr>
      <w:r>
        <w:rPr>
          <w:rStyle w:val="citationcar"/>
        </w:rPr>
        <w:t xml:space="preserve">In a telephone interview with the Research Directorate, a Catholic Priest in Nasarawa state </w:t>
      </w:r>
      <w:r>
        <w:rPr>
          <w:rStyle w:val="citationcar"/>
        </w:rPr>
        <w:t>indicated that baptism certificates contain a person's date of birth, along with other information such as their name and parent's names (Catholic Priest 22 Oct. 2013). The Catholic Priest said that baptism certificates are "very often used as a birth cert</w:t>
      </w:r>
      <w:r>
        <w:rPr>
          <w:rStyle w:val="citationcar"/>
        </w:rPr>
        <w:t>ificate by the holders of these documents," as a lot of people do not register their births and do not have any certification of their births" (ibid.). He said that the date of birth on a baptism certificate is often used as an official date of birth (ibid</w:t>
      </w:r>
      <w:r>
        <w:rPr>
          <w:rStyle w:val="citationcar"/>
        </w:rPr>
        <w:t>.).</w:t>
      </w:r>
    </w:p>
    <w:p w14:paraId="2ADEB2E5" w14:textId="77777777" w:rsidR="00A03E39" w:rsidRDefault="000823B8">
      <w:pPr>
        <w:pStyle w:val="CGPara"/>
        <w:numPr>
          <w:ilvl w:val="0"/>
          <w:numId w:val="2"/>
        </w:numPr>
      </w:pPr>
      <w:r>
        <w:rPr>
          <w:rStyle w:val="citationcar"/>
        </w:rPr>
        <w:t xml:space="preserve">The Appellant argues that the RPD erred by indicating that the Baptismal Certificate does not have a seal of the issuing </w:t>
      </w:r>
      <w:proofErr w:type="gramStart"/>
      <w:r>
        <w:rPr>
          <w:rStyle w:val="citationcar"/>
        </w:rPr>
        <w:t>authority, and</w:t>
      </w:r>
      <w:proofErr w:type="gramEnd"/>
      <w:r>
        <w:rPr>
          <w:rStyle w:val="citationcar"/>
        </w:rPr>
        <w:t xml:space="preserve"> does not state the name of the issuing authority. </w:t>
      </w:r>
      <w:r>
        <w:rPr>
          <w:rStyle w:val="citationcar"/>
        </w:rPr>
        <w:lastRenderedPageBreak/>
        <w:t xml:space="preserve">The Appellant argues that there is a seal on the bottom left-hand </w:t>
      </w:r>
      <w:r>
        <w:rPr>
          <w:rStyle w:val="citationcar"/>
        </w:rPr>
        <w:t xml:space="preserve">side of the certificate, and that it states the name of the issuing authority as “General Overseer.” I am not persuaded by these arguments because I find that a question of the sufficiency of the seal or whether “General Overseer” is an issuing authority, </w:t>
      </w:r>
      <w:r>
        <w:rPr>
          <w:rStyle w:val="citationcar"/>
        </w:rPr>
        <w:t>is secondary to the very important fact that the certificate is missing a date of birth and the parent’s names. As stated above, the objective country information indicates that a date of birth and the parent’s names should be included in Baptismal Certifi</w:t>
      </w:r>
      <w:r>
        <w:rPr>
          <w:rStyle w:val="citationcar"/>
        </w:rPr>
        <w:t>cates. The fact that this basic and necessary information is missing in the Baptismal Certificate before me, overrides the issue of the sufficiency of a stamp or who signed the document. In other words, on a balance of probabilities, the absence of the bas</w:t>
      </w:r>
      <w:r>
        <w:rPr>
          <w:rStyle w:val="citationcar"/>
        </w:rPr>
        <w:t xml:space="preserve">ic and required information of the date of birth and parent’s names makes this an inauthentic document.    </w:t>
      </w:r>
    </w:p>
    <w:p w14:paraId="3C81D7CE" w14:textId="77777777" w:rsidR="00A03E39" w:rsidRDefault="000823B8">
      <w:pPr>
        <w:pStyle w:val="CGPara"/>
        <w:numPr>
          <w:ilvl w:val="0"/>
          <w:numId w:val="2"/>
        </w:numPr>
      </w:pPr>
      <w:r>
        <w:rPr>
          <w:rStyle w:val="citationcar"/>
        </w:rPr>
        <w:t>More importantly, this document has no probative value. The document contains the name of “</w:t>
      </w:r>
      <w:r>
        <w:t xml:space="preserve">Ibrahim </w:t>
      </w:r>
      <w:proofErr w:type="spellStart"/>
      <w:r>
        <w:t>Oluwamuyiwa</w:t>
      </w:r>
      <w:proofErr w:type="spellEnd"/>
      <w:r>
        <w:t xml:space="preserve"> </w:t>
      </w:r>
      <w:proofErr w:type="spellStart"/>
      <w:r>
        <w:t>Anjembe</w:t>
      </w:r>
      <w:proofErr w:type="spellEnd"/>
      <w:r>
        <w:rPr>
          <w:rStyle w:val="citationcar"/>
        </w:rPr>
        <w:t>,” but there is no information</w:t>
      </w:r>
      <w:r>
        <w:rPr>
          <w:rStyle w:val="citationcar"/>
        </w:rPr>
        <w:t xml:space="preserve"> in the document that links this document to the Appellant. For example, there is no birth date or parent’s name, as discussed.</w:t>
      </w:r>
    </w:p>
    <w:p w14:paraId="5C40C0CB" w14:textId="77777777" w:rsidR="00A03E39" w:rsidRDefault="000823B8">
      <w:pPr>
        <w:pStyle w:val="CGPara"/>
        <w:tabs>
          <w:tab w:val="clear" w:pos="576"/>
          <w:tab w:val="clear" w:pos="1008"/>
          <w:tab w:val="clear" w:pos="1440"/>
          <w:tab w:val="clear" w:pos="1872"/>
          <w:tab w:val="clear" w:pos="2304"/>
          <w:tab w:val="clear" w:pos="2736"/>
        </w:tabs>
        <w:ind w:left="720" w:firstLine="0"/>
        <w:rPr>
          <w:i/>
          <w:iCs/>
        </w:rPr>
      </w:pPr>
      <w:r>
        <w:rPr>
          <w:i/>
          <w:iCs/>
        </w:rPr>
        <w:t>The National Identification Number Slip</w:t>
      </w:r>
    </w:p>
    <w:p w14:paraId="3B31061C" w14:textId="77777777" w:rsidR="00A03E39" w:rsidRDefault="000823B8">
      <w:pPr>
        <w:pStyle w:val="CGPara"/>
        <w:numPr>
          <w:ilvl w:val="0"/>
          <w:numId w:val="2"/>
        </w:numPr>
      </w:pPr>
      <w:r>
        <w:rPr>
          <w:rStyle w:val="citationcar"/>
        </w:rPr>
        <w:t>I find that that no weight should be given to this slip in answering the question of the</w:t>
      </w:r>
      <w:r>
        <w:rPr>
          <w:rStyle w:val="citationcar"/>
        </w:rPr>
        <w:t xml:space="preserve"> Appellant’s identity, because there is no probative value to the document.</w:t>
      </w:r>
    </w:p>
    <w:p w14:paraId="62C43C42" w14:textId="77777777" w:rsidR="00A03E39" w:rsidRDefault="000823B8">
      <w:pPr>
        <w:pStyle w:val="CGPara"/>
        <w:numPr>
          <w:ilvl w:val="0"/>
          <w:numId w:val="2"/>
        </w:numPr>
      </w:pPr>
      <w:r>
        <w:rPr>
          <w:rStyle w:val="citationcar"/>
        </w:rPr>
        <w:t xml:space="preserve">The NINS is in the name of </w:t>
      </w:r>
      <w:r>
        <w:t xml:space="preserve">Ibrahim </w:t>
      </w:r>
      <w:proofErr w:type="spellStart"/>
      <w:r>
        <w:t>Aruwa</w:t>
      </w:r>
      <w:proofErr w:type="spellEnd"/>
      <w:r>
        <w:t xml:space="preserve"> </w:t>
      </w:r>
      <w:proofErr w:type="spellStart"/>
      <w:r>
        <w:t>Oluwamuyiwa</w:t>
      </w:r>
      <w:proofErr w:type="spellEnd"/>
      <w:r>
        <w:t xml:space="preserve"> </w:t>
      </w:r>
      <w:proofErr w:type="spellStart"/>
      <w:r>
        <w:t>Anjembe</w:t>
      </w:r>
      <w:proofErr w:type="spellEnd"/>
      <w:r>
        <w:rPr>
          <w:rStyle w:val="citationcar"/>
        </w:rPr>
        <w:t xml:space="preserve"> and contains an issue date of “N/A.”</w:t>
      </w:r>
    </w:p>
    <w:p w14:paraId="1D4892E2" w14:textId="77777777" w:rsidR="00A03E39" w:rsidRDefault="000823B8">
      <w:pPr>
        <w:pStyle w:val="CGPara"/>
        <w:numPr>
          <w:ilvl w:val="0"/>
          <w:numId w:val="2"/>
        </w:numPr>
      </w:pPr>
      <w:r>
        <w:rPr>
          <w:rStyle w:val="citationcar"/>
        </w:rPr>
        <w:t>I find that the NINS has no probative value. A National Identity Card was not prov</w:t>
      </w:r>
      <w:r>
        <w:rPr>
          <w:rStyle w:val="citationcar"/>
        </w:rPr>
        <w:t>ided as evidence, and this slip in question is simply a receipt confirming that an application had been made. The objective country information for Nigeria indicates that, “After completing the enrolment, a [t]</w:t>
      </w:r>
      <w:proofErr w:type="spellStart"/>
      <w:r>
        <w:rPr>
          <w:rStyle w:val="citationcar"/>
        </w:rPr>
        <w:t>ransaction</w:t>
      </w:r>
      <w:proofErr w:type="spellEnd"/>
      <w:r>
        <w:rPr>
          <w:rStyle w:val="citationcar"/>
        </w:rPr>
        <w:t xml:space="preserve"> ID [s]lip will be issued to the app</w:t>
      </w:r>
      <w:r>
        <w:rPr>
          <w:rStyle w:val="citationcar"/>
        </w:rPr>
        <w:t>licant as [evidence] of the transaction. However, the [t]</w:t>
      </w:r>
      <w:proofErr w:type="spellStart"/>
      <w:r>
        <w:rPr>
          <w:rStyle w:val="citationcar"/>
        </w:rPr>
        <w:t>ransaction</w:t>
      </w:r>
      <w:proofErr w:type="spellEnd"/>
      <w:r>
        <w:rPr>
          <w:rStyle w:val="citationcar"/>
        </w:rPr>
        <w:t xml:space="preserve"> slip does not confer the right to a [NIN]. The applicant will be requested to come back for the NIN within 2-7 working days, as it is subjected to availability of network, </w:t>
      </w:r>
      <w:proofErr w:type="gramStart"/>
      <w:r>
        <w:rPr>
          <w:rStyle w:val="citationcar"/>
        </w:rPr>
        <w:t>authentication</w:t>
      </w:r>
      <w:proofErr w:type="gramEnd"/>
      <w:r>
        <w:rPr>
          <w:rStyle w:val="citationcar"/>
        </w:rPr>
        <w:t xml:space="preserve"> a</w:t>
      </w:r>
      <w:r>
        <w:rPr>
          <w:rStyle w:val="citationcar"/>
        </w:rPr>
        <w:t>nd verification.”</w:t>
      </w:r>
      <w:r>
        <w:rPr>
          <w:rStyle w:val="EndnoteReference"/>
        </w:rPr>
        <w:endnoteReference w:id="23"/>
      </w:r>
      <w:r>
        <w:rPr>
          <w:rStyle w:val="citationcar"/>
        </w:rPr>
        <w:t xml:space="preserve"> There is a lack of </w:t>
      </w:r>
      <w:r>
        <w:rPr>
          <w:rStyle w:val="citationcar"/>
        </w:rPr>
        <w:lastRenderedPageBreak/>
        <w:t>evidence that the authentication and verification process ever took place after this receipt was issued, and the Appellant testified that he did not receive a National Identity Card.</w:t>
      </w:r>
      <w:r>
        <w:rPr>
          <w:rStyle w:val="EndnoteReference"/>
        </w:rPr>
        <w:endnoteReference w:id="24"/>
      </w:r>
    </w:p>
    <w:p w14:paraId="0437B8F4" w14:textId="77777777" w:rsidR="00A03E39" w:rsidRDefault="000823B8">
      <w:pPr>
        <w:pStyle w:val="CGPara"/>
        <w:numPr>
          <w:ilvl w:val="0"/>
          <w:numId w:val="2"/>
        </w:numPr>
      </w:pPr>
      <w:r>
        <w:rPr>
          <w:rStyle w:val="citationcar"/>
        </w:rPr>
        <w:t>I find that the Appellant’s test</w:t>
      </w:r>
      <w:r>
        <w:rPr>
          <w:rStyle w:val="citationcar"/>
        </w:rPr>
        <w:t>imony about how he obtained the slip does not increase the potential probative value of the document either. The Appellant testified that he did not submit any documents when he applied for his National Identity Number.</w:t>
      </w:r>
      <w:r>
        <w:rPr>
          <w:rStyle w:val="EndnoteReference"/>
        </w:rPr>
        <w:endnoteReference w:id="25"/>
      </w:r>
      <w:r>
        <w:rPr>
          <w:rStyle w:val="citationcar"/>
        </w:rPr>
        <w:t xml:space="preserve"> The objective country information </w:t>
      </w:r>
      <w:r>
        <w:rPr>
          <w:rStyle w:val="citationcar"/>
        </w:rPr>
        <w:t>for Nigeria describes that an applicant must provide a bank verification number if they have one, as well as any of thirteen required original and valid supporting documents.</w:t>
      </w:r>
      <w:r>
        <w:rPr>
          <w:rStyle w:val="EndnoteReference"/>
        </w:rPr>
        <w:endnoteReference w:id="26"/>
      </w:r>
      <w:r>
        <w:rPr>
          <w:rStyle w:val="citationcar"/>
        </w:rPr>
        <w:t xml:space="preserve"> </w:t>
      </w:r>
    </w:p>
    <w:p w14:paraId="68BF1BBD" w14:textId="77777777" w:rsidR="00A03E39" w:rsidRDefault="000823B8">
      <w:pPr>
        <w:pStyle w:val="CGPara"/>
        <w:tabs>
          <w:tab w:val="clear" w:pos="576"/>
          <w:tab w:val="clear" w:pos="1008"/>
          <w:tab w:val="clear" w:pos="1440"/>
          <w:tab w:val="clear" w:pos="1872"/>
          <w:tab w:val="clear" w:pos="2304"/>
          <w:tab w:val="clear" w:pos="2736"/>
        </w:tabs>
        <w:ind w:left="720" w:firstLine="0"/>
        <w:rPr>
          <w:i/>
          <w:iCs/>
        </w:rPr>
      </w:pPr>
      <w:r>
        <w:rPr>
          <w:i/>
          <w:iCs/>
        </w:rPr>
        <w:t>The Voter’s Card</w:t>
      </w:r>
    </w:p>
    <w:p w14:paraId="06981D39" w14:textId="77777777" w:rsidR="00A03E39" w:rsidRDefault="000823B8">
      <w:pPr>
        <w:pStyle w:val="CGPara"/>
        <w:numPr>
          <w:ilvl w:val="0"/>
          <w:numId w:val="2"/>
        </w:numPr>
      </w:pPr>
      <w:r>
        <w:rPr>
          <w:rStyle w:val="citationcar"/>
        </w:rPr>
        <w:t>I find that more weight should not be given to this Voter’s C</w:t>
      </w:r>
      <w:r>
        <w:rPr>
          <w:rStyle w:val="citationcar"/>
        </w:rPr>
        <w:t xml:space="preserve">ard, versus other official documents containing a different name attributed to the Appellant. In other words, I have no basis to prefer this document over others. </w:t>
      </w:r>
    </w:p>
    <w:p w14:paraId="14A5B4FA" w14:textId="77777777" w:rsidR="00A03E39" w:rsidRDefault="000823B8">
      <w:pPr>
        <w:pStyle w:val="CGPara"/>
        <w:numPr>
          <w:ilvl w:val="0"/>
          <w:numId w:val="2"/>
        </w:numPr>
      </w:pPr>
      <w:r>
        <w:rPr>
          <w:rStyle w:val="citationcar"/>
        </w:rPr>
        <w:t xml:space="preserve">This Voter’s Card is in the name of </w:t>
      </w:r>
      <w:r>
        <w:t xml:space="preserve">Ibrahim </w:t>
      </w:r>
      <w:proofErr w:type="spellStart"/>
      <w:r>
        <w:t>Aruwa</w:t>
      </w:r>
      <w:proofErr w:type="spellEnd"/>
      <w:r>
        <w:t xml:space="preserve"> </w:t>
      </w:r>
      <w:proofErr w:type="spellStart"/>
      <w:r>
        <w:t>Akpala</w:t>
      </w:r>
      <w:proofErr w:type="spellEnd"/>
      <w:r>
        <w:rPr>
          <w:rStyle w:val="citationcar"/>
        </w:rPr>
        <w:t>, and contains a photograph, birth d</w:t>
      </w:r>
      <w:r>
        <w:rPr>
          <w:rStyle w:val="citationcar"/>
        </w:rPr>
        <w:t>ate and address.</w:t>
      </w:r>
    </w:p>
    <w:p w14:paraId="341CA72C" w14:textId="77777777" w:rsidR="00A03E39" w:rsidRDefault="000823B8">
      <w:pPr>
        <w:pStyle w:val="CGPara"/>
        <w:numPr>
          <w:ilvl w:val="0"/>
          <w:numId w:val="2"/>
        </w:numPr>
      </w:pPr>
      <w:r>
        <w:rPr>
          <w:rStyle w:val="citationcar"/>
        </w:rPr>
        <w:t>The Appellant testified that he did not submit any documents when he applied for this card, and he described the process as follows:</w:t>
      </w:r>
      <w:r>
        <w:rPr>
          <w:rStyle w:val="EndnoteReference"/>
        </w:rPr>
        <w:endnoteReference w:id="27"/>
      </w:r>
    </w:p>
    <w:p w14:paraId="4A462058" w14:textId="77777777" w:rsidR="00A03E39" w:rsidRDefault="000823B8">
      <w:pPr>
        <w:pStyle w:val="CGPara"/>
        <w:tabs>
          <w:tab w:val="clear" w:pos="576"/>
          <w:tab w:val="clear" w:pos="1008"/>
          <w:tab w:val="clear" w:pos="1440"/>
          <w:tab w:val="clear" w:pos="1872"/>
          <w:tab w:val="clear" w:pos="2304"/>
          <w:tab w:val="clear" w:pos="2736"/>
        </w:tabs>
        <w:spacing w:line="240" w:lineRule="auto"/>
        <w:ind w:left="720" w:right="893" w:firstLine="0"/>
      </w:pPr>
      <w:r>
        <w:rPr>
          <w:rStyle w:val="citationcar"/>
        </w:rPr>
        <w:t>That is how they do it. Like everybody that lives in that area, they ask you to line up in the primary s</w:t>
      </w:r>
      <w:r>
        <w:rPr>
          <w:rStyle w:val="citationcar"/>
        </w:rPr>
        <w:t>chool and they ask you to bring your, they take your thumbprint right there, they ask you your name and your address, and that’s where they give it to you over there, because that’s, if you are living in that area, that’ what they ask for.</w:t>
      </w:r>
    </w:p>
    <w:p w14:paraId="7F53B63E" w14:textId="77777777" w:rsidR="00A03E39" w:rsidRDefault="000823B8">
      <w:pPr>
        <w:pStyle w:val="CGPara"/>
        <w:tabs>
          <w:tab w:val="clear" w:pos="576"/>
          <w:tab w:val="clear" w:pos="1008"/>
          <w:tab w:val="clear" w:pos="1440"/>
          <w:tab w:val="clear" w:pos="1872"/>
          <w:tab w:val="clear" w:pos="2304"/>
          <w:tab w:val="clear" w:pos="2736"/>
        </w:tabs>
        <w:spacing w:line="240" w:lineRule="auto"/>
        <w:ind w:left="720" w:right="893" w:firstLine="0"/>
      </w:pPr>
      <w:r>
        <w:rPr>
          <w:rStyle w:val="citationcar"/>
        </w:rPr>
        <w:t>No document, you</w:t>
      </w:r>
      <w:r>
        <w:rPr>
          <w:rStyle w:val="citationcar"/>
        </w:rPr>
        <w:t xml:space="preserve"> just line up everyone, work done, they ask you to (inaudible) your address and your name and then they give you the card.</w:t>
      </w:r>
    </w:p>
    <w:p w14:paraId="49836667" w14:textId="77777777" w:rsidR="00A03E39" w:rsidRDefault="000823B8">
      <w:pPr>
        <w:pStyle w:val="CGPara"/>
        <w:numPr>
          <w:ilvl w:val="0"/>
          <w:numId w:val="2"/>
        </w:numPr>
      </w:pPr>
      <w:r>
        <w:rPr>
          <w:rStyle w:val="citationcar"/>
        </w:rPr>
        <w:t>The objective country information for Nigeria indicates that when applying for voter cards, eligible voters will have their textual d</w:t>
      </w:r>
      <w:r>
        <w:rPr>
          <w:rStyle w:val="citationcar"/>
        </w:rPr>
        <w:t>ata captured accurately, fingerprints scanned, picture taken and temporary voter identifications will be printed.</w:t>
      </w:r>
      <w:r>
        <w:rPr>
          <w:rStyle w:val="EndnoteReference"/>
        </w:rPr>
        <w:endnoteReference w:id="28"/>
      </w:r>
      <w:r>
        <w:rPr>
          <w:rStyle w:val="citationcar"/>
        </w:rPr>
        <w:t xml:space="preserve"> The same country information further indicates that permanent voter cards, which one is eligible to receive if they have a temporary voter c</w:t>
      </w:r>
      <w:r>
        <w:rPr>
          <w:rStyle w:val="citationcar"/>
        </w:rPr>
        <w:t xml:space="preserve">ard, contain an embedded chip that contains biometric data of the holder, </w:t>
      </w:r>
      <w:r>
        <w:rPr>
          <w:rStyle w:val="citationcar"/>
        </w:rPr>
        <w:lastRenderedPageBreak/>
        <w:t>including fingerprints and a facial image. The same document indicates that according to Nigeria’s Independent National Electoral Commission (INEC), temporary voter cards were “fragi</w:t>
      </w:r>
      <w:r>
        <w:rPr>
          <w:rStyle w:val="citationcar"/>
        </w:rPr>
        <w:t>le” and “susceptible to abuse” for manipulating elections, and that:</w:t>
      </w:r>
      <w:r>
        <w:rPr>
          <w:rStyle w:val="EndnoteReference"/>
        </w:rPr>
        <w:endnoteReference w:id="29"/>
      </w:r>
    </w:p>
    <w:p w14:paraId="50FC5D40" w14:textId="77777777" w:rsidR="00A03E39" w:rsidRDefault="000823B8">
      <w:pPr>
        <w:pStyle w:val="CGPara"/>
        <w:tabs>
          <w:tab w:val="clear" w:pos="576"/>
          <w:tab w:val="clear" w:pos="1008"/>
          <w:tab w:val="clear" w:pos="1440"/>
          <w:tab w:val="clear" w:pos="1872"/>
          <w:tab w:val="clear" w:pos="2304"/>
          <w:tab w:val="clear" w:pos="2736"/>
        </w:tabs>
        <w:spacing w:line="240" w:lineRule="auto"/>
        <w:ind w:left="720" w:right="893" w:firstLine="0"/>
      </w:pPr>
      <w:r>
        <w:rPr>
          <w:rStyle w:val="citationcar"/>
        </w:rPr>
        <w:t>According to the EU Election Observation Mission report on the 2015 general elections in Nigeria, "EU experts observed the [voter registration] process to be cumbersome, crowded, and ma</w:t>
      </w:r>
      <w:r>
        <w:rPr>
          <w:rStyle w:val="citationcar"/>
        </w:rPr>
        <w:t xml:space="preserve">rred by technical and staffing issues, with very few registrants presenting any documentation proving identity and age" (EU July 2015, 16). The same source states that of the 11,464,690 new voters that INEC </w:t>
      </w:r>
    </w:p>
    <w:p w14:paraId="7C92464D" w14:textId="77777777" w:rsidR="00A03E39" w:rsidRDefault="000823B8">
      <w:pPr>
        <w:pStyle w:val="Body"/>
        <w:tabs>
          <w:tab w:val="clear" w:pos="576"/>
          <w:tab w:val="clear" w:pos="1008"/>
          <w:tab w:val="clear" w:pos="1440"/>
          <w:tab w:val="clear" w:pos="1872"/>
          <w:tab w:val="clear" w:pos="2304"/>
          <w:tab w:val="clear" w:pos="2736"/>
        </w:tabs>
        <w:jc w:val="left"/>
      </w:pPr>
      <w:r>
        <w:rPr>
          <w:rStyle w:val="citationcar"/>
          <w:rFonts w:ascii="Arial Unicode MS" w:hAnsi="Arial Unicode MS"/>
        </w:rPr>
        <w:br w:type="page"/>
      </w:r>
    </w:p>
    <w:p w14:paraId="129FE0F3" w14:textId="77777777" w:rsidR="00A03E39" w:rsidRDefault="000823B8">
      <w:pPr>
        <w:pStyle w:val="CGPara"/>
        <w:tabs>
          <w:tab w:val="clear" w:pos="576"/>
          <w:tab w:val="clear" w:pos="1008"/>
          <w:tab w:val="clear" w:pos="1440"/>
          <w:tab w:val="clear" w:pos="1872"/>
          <w:tab w:val="clear" w:pos="2304"/>
          <w:tab w:val="clear" w:pos="2736"/>
        </w:tabs>
        <w:spacing w:line="240" w:lineRule="auto"/>
        <w:ind w:left="720" w:right="893" w:firstLine="0"/>
      </w:pPr>
      <w:r>
        <w:rPr>
          <w:rStyle w:val="citationcar"/>
        </w:rPr>
        <w:lastRenderedPageBreak/>
        <w:t xml:space="preserve">registered before the elections, the </w:t>
      </w:r>
      <w:r>
        <w:rPr>
          <w:rStyle w:val="citationcar"/>
        </w:rPr>
        <w:t>Commission removed 1,551,292 registrations that were either duplicates or did not meet biometric standards (ibid.). A 2015 report on the biometrics verification exercise conducted by INEC during 2011 and 2015 voter registration revealed cases of the same i</w:t>
      </w:r>
      <w:r>
        <w:rPr>
          <w:rStyle w:val="citationcar"/>
        </w:rPr>
        <w:t>ndividuals registering to vote under different names (Nigeria 13 Jan. 2015).</w:t>
      </w:r>
    </w:p>
    <w:p w14:paraId="1A859030" w14:textId="77777777" w:rsidR="00A03E39" w:rsidRDefault="000823B8">
      <w:pPr>
        <w:pStyle w:val="CGPara"/>
        <w:numPr>
          <w:ilvl w:val="0"/>
          <w:numId w:val="2"/>
        </w:numPr>
      </w:pPr>
      <w:r>
        <w:rPr>
          <w:rStyle w:val="citationcar"/>
        </w:rPr>
        <w:t xml:space="preserve">I find that the RPD’s reasoning in paragraphs 93 to 97 of its decision is correct, and I agree with the analysis that the Voter’s Card, based on fingerprints and a photograph, in </w:t>
      </w:r>
      <w:r>
        <w:rPr>
          <w:rStyle w:val="citationcar"/>
        </w:rPr>
        <w:t xml:space="preserve">the name of </w:t>
      </w:r>
      <w:r>
        <w:t xml:space="preserve">Ibrahim </w:t>
      </w:r>
      <w:proofErr w:type="spellStart"/>
      <w:r>
        <w:t>Aruwa</w:t>
      </w:r>
      <w:proofErr w:type="spellEnd"/>
      <w:r>
        <w:t xml:space="preserve"> </w:t>
      </w:r>
      <w:proofErr w:type="spellStart"/>
      <w:r>
        <w:t>Anjembe</w:t>
      </w:r>
      <w:proofErr w:type="spellEnd"/>
      <w:r>
        <w:rPr>
          <w:rStyle w:val="citationcar"/>
        </w:rPr>
        <w:t xml:space="preserve"> can be given no more weight than the passport under the name of </w:t>
      </w:r>
      <w:r>
        <w:t xml:space="preserve">Ibrahim </w:t>
      </w:r>
      <w:proofErr w:type="spellStart"/>
      <w:r>
        <w:t>Oluwamuyiwa</w:t>
      </w:r>
      <w:proofErr w:type="spellEnd"/>
      <w:r>
        <w:t xml:space="preserve"> </w:t>
      </w:r>
      <w:proofErr w:type="spellStart"/>
      <w:r>
        <w:t>Akpala</w:t>
      </w:r>
      <w:proofErr w:type="spellEnd"/>
      <w:r>
        <w:rPr>
          <w:rStyle w:val="citationcar"/>
        </w:rPr>
        <w:t>, also purporting to be a genuine document issued by Nigeria, and based on fingerprints and a photograph. As indicated by the RPD, “</w:t>
      </w:r>
      <w:r>
        <w:rPr>
          <w:rStyle w:val="citationcar"/>
        </w:rPr>
        <w:t>The Panel has no way of determining which one of them actually contains the real name of the claimant.”</w:t>
      </w:r>
      <w:r>
        <w:rPr>
          <w:rStyle w:val="EndnoteReference"/>
        </w:rPr>
        <w:endnoteReference w:id="30"/>
      </w:r>
      <w:r>
        <w:rPr>
          <w:rStyle w:val="citationcar"/>
        </w:rPr>
        <w:t xml:space="preserve"> In other words, faced with two documents, both issued by a government and both based on fingerprints and photographs, there is no basis for me to give</w:t>
      </w:r>
      <w:r>
        <w:rPr>
          <w:rStyle w:val="citationcar"/>
        </w:rPr>
        <w:t xml:space="preserve"> one document containing one name more weight than another competing document with a different name. This is especially so when the reliability of voter’s cards can be an issue, as indicated by the objective country information referred to above.   </w:t>
      </w:r>
    </w:p>
    <w:p w14:paraId="10F946F9" w14:textId="77777777" w:rsidR="00A03E39" w:rsidRDefault="000823B8">
      <w:pPr>
        <w:pStyle w:val="CGPara"/>
        <w:tabs>
          <w:tab w:val="clear" w:pos="576"/>
          <w:tab w:val="clear" w:pos="1008"/>
          <w:tab w:val="clear" w:pos="1440"/>
          <w:tab w:val="clear" w:pos="1872"/>
          <w:tab w:val="clear" w:pos="2304"/>
          <w:tab w:val="clear" w:pos="2736"/>
        </w:tabs>
        <w:ind w:left="720" w:firstLine="0"/>
        <w:rPr>
          <w:i/>
          <w:iCs/>
        </w:rPr>
      </w:pPr>
      <w:r>
        <w:rPr>
          <w:i/>
          <w:iCs/>
        </w:rPr>
        <w:t>The Ce</w:t>
      </w:r>
      <w:r>
        <w:rPr>
          <w:i/>
          <w:iCs/>
        </w:rPr>
        <w:t>rtificate of Origin</w:t>
      </w:r>
    </w:p>
    <w:p w14:paraId="46248783" w14:textId="77777777" w:rsidR="00A03E39" w:rsidRDefault="000823B8">
      <w:pPr>
        <w:pStyle w:val="CGPara"/>
        <w:numPr>
          <w:ilvl w:val="0"/>
          <w:numId w:val="2"/>
        </w:numPr>
      </w:pPr>
      <w:r>
        <w:rPr>
          <w:rStyle w:val="citationcar"/>
        </w:rPr>
        <w:t>I find that no weight should be given to this Certificate of Origin in answering the question of the Appellant’s identity because the document has no probative value.</w:t>
      </w:r>
    </w:p>
    <w:p w14:paraId="026F8A41" w14:textId="77777777" w:rsidR="00A03E39" w:rsidRDefault="000823B8">
      <w:pPr>
        <w:pStyle w:val="CGPara"/>
        <w:numPr>
          <w:ilvl w:val="0"/>
          <w:numId w:val="2"/>
        </w:numPr>
      </w:pPr>
      <w:r>
        <w:rPr>
          <w:rStyle w:val="citationcar"/>
        </w:rPr>
        <w:t xml:space="preserve">The Certificate of Origin is dated March 6, 2001, contains the </w:t>
      </w:r>
      <w:r>
        <w:rPr>
          <w:rStyle w:val="citationcar"/>
        </w:rPr>
        <w:t>Appellant’s photograph, and indicates that “</w:t>
      </w:r>
      <w:r>
        <w:t xml:space="preserve">Ibrahim </w:t>
      </w:r>
      <w:proofErr w:type="spellStart"/>
      <w:r>
        <w:t>Oluwamuyiwa</w:t>
      </w:r>
      <w:proofErr w:type="spellEnd"/>
      <w:r>
        <w:t xml:space="preserve"> </w:t>
      </w:r>
      <w:proofErr w:type="spellStart"/>
      <w:r>
        <w:t>Akpala</w:t>
      </w:r>
      <w:proofErr w:type="spellEnd"/>
      <w:r>
        <w:rPr>
          <w:rStyle w:val="citationcar"/>
        </w:rPr>
        <w:t xml:space="preserve">” is an indigence/a native of </w:t>
      </w:r>
      <w:proofErr w:type="spellStart"/>
      <w:r>
        <w:rPr>
          <w:rStyle w:val="citationcar"/>
        </w:rPr>
        <w:t>Idumebo</w:t>
      </w:r>
      <w:proofErr w:type="spellEnd"/>
      <w:r>
        <w:rPr>
          <w:rStyle w:val="citationcar"/>
        </w:rPr>
        <w:t xml:space="preserve"> in Esan West Local Government Area of the Edo State, Nigeria. </w:t>
      </w:r>
    </w:p>
    <w:p w14:paraId="0C17950A" w14:textId="77777777" w:rsidR="00A03E39" w:rsidRDefault="000823B8">
      <w:pPr>
        <w:pStyle w:val="CGPara"/>
        <w:numPr>
          <w:ilvl w:val="0"/>
          <w:numId w:val="2"/>
        </w:numPr>
      </w:pPr>
      <w:r>
        <w:rPr>
          <w:rStyle w:val="citationcar"/>
        </w:rPr>
        <w:t xml:space="preserve">The Certificate of Origin is not useful in answering the question of the Appellant’s </w:t>
      </w:r>
      <w:r>
        <w:rPr>
          <w:rStyle w:val="citationcar"/>
        </w:rPr>
        <w:t>identity. This is because the objective country information for Nigeria indicates that, “in Nigeria, a place of origin speaks to the paternal ancestral place of birth of an individual and not the place of the birth of the individual.”</w:t>
      </w:r>
      <w:r>
        <w:rPr>
          <w:rStyle w:val="EndnoteReference"/>
        </w:rPr>
        <w:endnoteReference w:id="31"/>
      </w:r>
      <w:r>
        <w:rPr>
          <w:rStyle w:val="citationcar"/>
        </w:rPr>
        <w:t xml:space="preserve"> In other words, the</w:t>
      </w:r>
      <w:r>
        <w:rPr>
          <w:rStyle w:val="citationcar"/>
        </w:rPr>
        <w:t xml:space="preserve"> certificate relates to someone else’s birth, not the Appellant’s birth. The same document indicates that certificates of origin have no legal basis, and that there are no established written criteria.</w:t>
      </w:r>
    </w:p>
    <w:p w14:paraId="7FBD67AA" w14:textId="77777777" w:rsidR="00A03E39" w:rsidRDefault="000823B8">
      <w:pPr>
        <w:pStyle w:val="CG1H"/>
      </w:pPr>
      <w:r>
        <w:rPr>
          <w:rStyle w:val="citationcar"/>
          <w:rFonts w:eastAsia="Arial Unicode MS" w:cs="Arial Unicode MS"/>
        </w:rPr>
        <w:lastRenderedPageBreak/>
        <w:t xml:space="preserve">CONCLUSION </w:t>
      </w:r>
    </w:p>
    <w:p w14:paraId="203EDD16" w14:textId="77777777" w:rsidR="00A03E39" w:rsidRDefault="000823B8">
      <w:pPr>
        <w:pStyle w:val="CGPara"/>
        <w:numPr>
          <w:ilvl w:val="0"/>
          <w:numId w:val="2"/>
        </w:numPr>
      </w:pPr>
      <w:r>
        <w:rPr>
          <w:rStyle w:val="citationcar"/>
        </w:rPr>
        <w:t>I dismiss the appeal and confirm the decis</w:t>
      </w:r>
      <w:r>
        <w:rPr>
          <w:rStyle w:val="citationcar"/>
        </w:rPr>
        <w:t>ion of the RPD that the Appellant is neither a Convention refugee nor a person in need of protection.</w:t>
      </w:r>
    </w:p>
    <w:p w14:paraId="26B454C2" w14:textId="77777777" w:rsidR="00A03E39" w:rsidRDefault="00A03E39">
      <w:pPr>
        <w:pStyle w:val="CGNormal"/>
      </w:pPr>
    </w:p>
    <w:p w14:paraId="6F24600E" w14:textId="77777777" w:rsidR="00A03E39" w:rsidRDefault="00A03E39">
      <w:pPr>
        <w:pStyle w:val="CGNormal"/>
      </w:pPr>
    </w:p>
    <w:tbl>
      <w:tblPr>
        <w:tblW w:w="953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13"/>
        <w:gridCol w:w="4820"/>
      </w:tblGrid>
      <w:tr w:rsidR="00A03E39" w14:paraId="0CB8990E" w14:textId="77777777">
        <w:trPr>
          <w:trHeight w:hRule="exact" w:val="182"/>
          <w:jc w:val="center"/>
        </w:trPr>
        <w:tc>
          <w:tcPr>
            <w:tcW w:w="4713" w:type="dxa"/>
            <w:tcBorders>
              <w:top w:val="nil"/>
              <w:left w:val="nil"/>
              <w:bottom w:val="nil"/>
              <w:right w:val="nil"/>
            </w:tcBorders>
            <w:shd w:val="clear" w:color="auto" w:fill="auto"/>
            <w:tcMar>
              <w:top w:w="80" w:type="dxa"/>
              <w:left w:w="80" w:type="dxa"/>
              <w:bottom w:w="80" w:type="dxa"/>
              <w:right w:w="80" w:type="dxa"/>
            </w:tcMar>
          </w:tcPr>
          <w:p w14:paraId="6185E129" w14:textId="77777777" w:rsidR="00A03E39" w:rsidRDefault="000823B8">
            <w:pPr>
              <w:pStyle w:val="Body"/>
              <w:tabs>
                <w:tab w:val="clear" w:pos="576"/>
                <w:tab w:val="clear" w:pos="1008"/>
                <w:tab w:val="clear" w:pos="1440"/>
                <w:tab w:val="clear" w:pos="1872"/>
                <w:tab w:val="clear" w:pos="2304"/>
                <w:tab w:val="clear" w:pos="2736"/>
              </w:tabs>
              <w:jc w:val="right"/>
            </w:pPr>
            <w:r>
              <w:rPr>
                <w:lang w:val="en-US"/>
              </w:rPr>
              <w:t>(</w:t>
            </w:r>
            <w:r>
              <w:rPr>
                <w:i/>
                <w:iCs/>
                <w:lang w:val="en-US"/>
              </w:rPr>
              <w:t>signed</w:t>
            </w:r>
            <w:r>
              <w:rPr>
                <w:lang w:val="en-US"/>
              </w:rPr>
              <w:t>)</w:t>
            </w:r>
          </w:p>
        </w:tc>
        <w:tc>
          <w:tcPr>
            <w:tcW w:w="4820" w:type="dxa"/>
            <w:tcBorders>
              <w:top w:val="nil"/>
              <w:left w:val="nil"/>
              <w:bottom w:val="single" w:sz="6" w:space="0" w:color="000000"/>
              <w:right w:val="nil"/>
            </w:tcBorders>
            <w:shd w:val="clear" w:color="auto" w:fill="auto"/>
            <w:tcMar>
              <w:top w:w="80" w:type="dxa"/>
              <w:left w:w="80" w:type="dxa"/>
              <w:bottom w:w="80" w:type="dxa"/>
              <w:right w:w="80" w:type="dxa"/>
            </w:tcMar>
          </w:tcPr>
          <w:p w14:paraId="681BC745" w14:textId="77777777" w:rsidR="00A03E39" w:rsidRDefault="000823B8">
            <w:pPr>
              <w:pStyle w:val="Body"/>
              <w:tabs>
                <w:tab w:val="clear" w:pos="576"/>
                <w:tab w:val="clear" w:pos="1008"/>
                <w:tab w:val="clear" w:pos="1440"/>
                <w:tab w:val="clear" w:pos="1872"/>
                <w:tab w:val="clear" w:pos="2304"/>
                <w:tab w:val="clear" w:pos="2736"/>
              </w:tabs>
              <w:jc w:val="center"/>
            </w:pPr>
            <w:r>
              <w:rPr>
                <w:lang w:val="en-US"/>
              </w:rPr>
              <w:t>Derek Vermette</w:t>
            </w:r>
          </w:p>
        </w:tc>
      </w:tr>
      <w:tr w:rsidR="00A03E39" w14:paraId="39C2C602" w14:textId="77777777">
        <w:trPr>
          <w:trHeight w:hRule="exact" w:val="407"/>
          <w:jc w:val="center"/>
        </w:trPr>
        <w:tc>
          <w:tcPr>
            <w:tcW w:w="4713" w:type="dxa"/>
            <w:tcBorders>
              <w:top w:val="nil"/>
              <w:left w:val="nil"/>
              <w:bottom w:val="nil"/>
              <w:right w:val="nil"/>
            </w:tcBorders>
            <w:shd w:val="clear" w:color="auto" w:fill="auto"/>
            <w:tcMar>
              <w:top w:w="80" w:type="dxa"/>
              <w:left w:w="80" w:type="dxa"/>
              <w:bottom w:w="80" w:type="dxa"/>
              <w:right w:w="80" w:type="dxa"/>
            </w:tcMar>
          </w:tcPr>
          <w:p w14:paraId="20D472A6" w14:textId="77777777" w:rsidR="00A03E39" w:rsidRDefault="00A03E39"/>
        </w:tc>
        <w:tc>
          <w:tcPr>
            <w:tcW w:w="4820" w:type="dxa"/>
            <w:tcBorders>
              <w:top w:val="single" w:sz="6" w:space="0" w:color="000000"/>
              <w:left w:val="nil"/>
              <w:bottom w:val="nil"/>
              <w:right w:val="nil"/>
            </w:tcBorders>
            <w:shd w:val="clear" w:color="auto" w:fill="auto"/>
            <w:tcMar>
              <w:top w:w="80" w:type="dxa"/>
              <w:left w:w="138" w:type="dxa"/>
              <w:bottom w:w="80" w:type="dxa"/>
              <w:right w:w="80" w:type="dxa"/>
            </w:tcMar>
          </w:tcPr>
          <w:p w14:paraId="113F0580" w14:textId="77777777" w:rsidR="00A03E39" w:rsidRDefault="000823B8">
            <w:pPr>
              <w:pStyle w:val="Signature"/>
            </w:pPr>
            <w:r>
              <w:t>Derek Vermette</w:t>
            </w:r>
          </w:p>
        </w:tc>
      </w:tr>
      <w:tr w:rsidR="00A03E39" w14:paraId="14939DFD" w14:textId="77777777">
        <w:trPr>
          <w:trHeight w:hRule="exact" w:val="173"/>
          <w:jc w:val="center"/>
        </w:trPr>
        <w:tc>
          <w:tcPr>
            <w:tcW w:w="4713" w:type="dxa"/>
            <w:tcBorders>
              <w:top w:val="nil"/>
              <w:left w:val="nil"/>
              <w:bottom w:val="nil"/>
              <w:right w:val="nil"/>
            </w:tcBorders>
            <w:shd w:val="clear" w:color="auto" w:fill="auto"/>
            <w:tcMar>
              <w:top w:w="80" w:type="dxa"/>
              <w:left w:w="80" w:type="dxa"/>
              <w:bottom w:w="80" w:type="dxa"/>
              <w:right w:w="80" w:type="dxa"/>
            </w:tcMar>
          </w:tcPr>
          <w:p w14:paraId="003311A6" w14:textId="77777777" w:rsidR="00A03E39" w:rsidRDefault="00A03E39"/>
        </w:tc>
        <w:tc>
          <w:tcPr>
            <w:tcW w:w="4820" w:type="dxa"/>
            <w:tcBorders>
              <w:top w:val="nil"/>
              <w:left w:val="nil"/>
              <w:bottom w:val="single" w:sz="6" w:space="0" w:color="000000"/>
              <w:right w:val="nil"/>
            </w:tcBorders>
            <w:shd w:val="clear" w:color="auto" w:fill="auto"/>
            <w:tcMar>
              <w:top w:w="80" w:type="dxa"/>
              <w:left w:w="80" w:type="dxa"/>
              <w:bottom w:w="80" w:type="dxa"/>
              <w:right w:w="80" w:type="dxa"/>
            </w:tcMar>
          </w:tcPr>
          <w:p w14:paraId="4238B564" w14:textId="77777777" w:rsidR="00A03E39" w:rsidRDefault="000823B8">
            <w:pPr>
              <w:pStyle w:val="Body"/>
              <w:tabs>
                <w:tab w:val="clear" w:pos="576"/>
                <w:tab w:val="clear" w:pos="1008"/>
                <w:tab w:val="clear" w:pos="1440"/>
                <w:tab w:val="clear" w:pos="1872"/>
                <w:tab w:val="clear" w:pos="2304"/>
                <w:tab w:val="clear" w:pos="2736"/>
              </w:tabs>
              <w:jc w:val="center"/>
            </w:pPr>
            <w:r>
              <w:rPr>
                <w:lang w:val="en-US"/>
              </w:rPr>
              <w:t>June 29, 2021</w:t>
            </w:r>
          </w:p>
        </w:tc>
      </w:tr>
      <w:tr w:rsidR="00A03E39" w14:paraId="0889B4E7" w14:textId="77777777">
        <w:trPr>
          <w:trHeight w:hRule="exact" w:val="407"/>
          <w:jc w:val="center"/>
        </w:trPr>
        <w:tc>
          <w:tcPr>
            <w:tcW w:w="4713" w:type="dxa"/>
            <w:tcBorders>
              <w:top w:val="nil"/>
              <w:left w:val="nil"/>
              <w:bottom w:val="nil"/>
              <w:right w:val="nil"/>
            </w:tcBorders>
            <w:shd w:val="clear" w:color="auto" w:fill="auto"/>
            <w:tcMar>
              <w:top w:w="80" w:type="dxa"/>
              <w:left w:w="80" w:type="dxa"/>
              <w:bottom w:w="80" w:type="dxa"/>
              <w:right w:w="80" w:type="dxa"/>
            </w:tcMar>
          </w:tcPr>
          <w:p w14:paraId="7E20C0E8" w14:textId="77777777" w:rsidR="00A03E39" w:rsidRDefault="00A03E39"/>
        </w:tc>
        <w:tc>
          <w:tcPr>
            <w:tcW w:w="4820" w:type="dxa"/>
            <w:tcBorders>
              <w:top w:val="single" w:sz="6" w:space="0" w:color="000000"/>
              <w:left w:val="nil"/>
              <w:bottom w:val="nil"/>
              <w:right w:val="nil"/>
            </w:tcBorders>
            <w:shd w:val="clear" w:color="auto" w:fill="auto"/>
            <w:tcMar>
              <w:top w:w="80" w:type="dxa"/>
              <w:left w:w="138" w:type="dxa"/>
              <w:bottom w:w="80" w:type="dxa"/>
              <w:right w:w="80" w:type="dxa"/>
            </w:tcMar>
          </w:tcPr>
          <w:p w14:paraId="499587DB" w14:textId="77777777" w:rsidR="00A03E39" w:rsidRDefault="000823B8">
            <w:pPr>
              <w:pStyle w:val="Signature"/>
            </w:pPr>
            <w:r>
              <w:t>Date</w:t>
            </w:r>
          </w:p>
        </w:tc>
      </w:tr>
      <w:bookmarkEnd w:id="0"/>
    </w:tbl>
    <w:p w14:paraId="25EDBB51" w14:textId="77777777" w:rsidR="00A03E39" w:rsidRDefault="00A03E39">
      <w:pPr>
        <w:pStyle w:val="CGNormal"/>
        <w:widowControl w:val="0"/>
        <w:jc w:val="center"/>
      </w:pPr>
    </w:p>
    <w:sectPr w:rsidR="00A03E39">
      <w:headerReference w:type="default" r:id="rId7"/>
      <w:footerReference w:type="default" r:id="rId8"/>
      <w:headerReference w:type="first" r:id="rId9"/>
      <w:footerReference w:type="first" r:id="rId10"/>
      <w:pgSz w:w="12240" w:h="15840"/>
      <w:pgMar w:top="1440" w:right="1267" w:bottom="1714" w:left="1440" w:header="720" w:footer="4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E47AD" w14:textId="77777777" w:rsidR="000823B8" w:rsidRDefault="000823B8">
      <w:r>
        <w:separator/>
      </w:r>
    </w:p>
  </w:endnote>
  <w:endnote w:type="continuationSeparator" w:id="0">
    <w:p w14:paraId="7A734957" w14:textId="77777777" w:rsidR="000823B8" w:rsidRDefault="000823B8">
      <w:r>
        <w:continuationSeparator/>
      </w:r>
    </w:p>
  </w:endnote>
  <w:endnote w:type="continuationNotice" w:id="1">
    <w:p w14:paraId="08D3935D" w14:textId="77777777" w:rsidR="000823B8" w:rsidRDefault="000823B8"/>
  </w:endnote>
  <w:endnote w:id="2">
    <w:p w14:paraId="064C71ED" w14:textId="77777777" w:rsidR="00A03E39" w:rsidRDefault="000823B8">
      <w:pPr>
        <w:pStyle w:val="EndnoteText"/>
      </w:pPr>
      <w:r>
        <w:rPr>
          <w:rStyle w:val="EndnoteReference"/>
        </w:rPr>
        <w:endnoteRef/>
      </w:r>
      <w:r>
        <w:rPr>
          <w:rFonts w:eastAsia="Arial Unicode MS" w:cs="Arial Unicode MS"/>
          <w:lang w:val="en-US"/>
        </w:rPr>
        <w:t xml:space="preserve"> </w:t>
      </w:r>
      <w:r>
        <w:rPr>
          <w:rFonts w:eastAsia="Arial Unicode MS" w:cs="Arial Unicode MS"/>
          <w:i/>
          <w:iCs/>
          <w:lang w:val="en-US"/>
        </w:rPr>
        <w:t>Immigration and Refugee Protection Act</w:t>
      </w:r>
      <w:r>
        <w:rPr>
          <w:rFonts w:eastAsia="Arial Unicode MS" w:cs="Arial Unicode MS"/>
          <w:lang w:val="en-US"/>
        </w:rPr>
        <w:t xml:space="preserve"> (IRPA), S.C. 2001, c. 27, as amended.</w:t>
      </w:r>
    </w:p>
  </w:endnote>
  <w:endnote w:id="3">
    <w:p w14:paraId="3DBB4D1E" w14:textId="77777777" w:rsidR="00A03E39" w:rsidRDefault="000823B8">
      <w:pPr>
        <w:pStyle w:val="EndnoteText"/>
      </w:pPr>
      <w:r>
        <w:rPr>
          <w:rStyle w:val="EndnoteReference"/>
        </w:rPr>
        <w:endnoteRef/>
      </w:r>
      <w:r>
        <w:rPr>
          <w:rFonts w:eastAsia="Arial Unicode MS" w:cs="Arial Unicode MS"/>
          <w:lang w:val="en-US"/>
        </w:rPr>
        <w:t xml:space="preserve"> </w:t>
      </w:r>
      <w:r>
        <w:rPr>
          <w:rFonts w:eastAsia="Arial Unicode MS" w:cs="Arial Unicode MS"/>
          <w:i/>
          <w:iCs/>
          <w:lang w:val="en-US"/>
        </w:rPr>
        <w:t>Refugee Protection Division Rules</w:t>
      </w:r>
      <w:r>
        <w:rPr>
          <w:rFonts w:eastAsia="Arial Unicode MS" w:cs="Arial Unicode MS"/>
          <w:lang w:val="en-US"/>
        </w:rPr>
        <w:t>, SOR/2012-256.</w:t>
      </w:r>
    </w:p>
  </w:endnote>
  <w:endnote w:id="4">
    <w:p w14:paraId="558A3E54" w14:textId="77777777" w:rsidR="00A03E39" w:rsidRDefault="000823B8">
      <w:pPr>
        <w:pStyle w:val="EndnoteText"/>
      </w:pPr>
      <w:r>
        <w:rPr>
          <w:rStyle w:val="EndnoteReference"/>
        </w:rPr>
        <w:endnoteRef/>
      </w:r>
      <w:r>
        <w:rPr>
          <w:rFonts w:eastAsia="Arial Unicode MS" w:cs="Arial Unicode MS"/>
          <w:lang w:val="en-US"/>
        </w:rPr>
        <w:t xml:space="preserve"> </w:t>
      </w:r>
      <w:r>
        <w:rPr>
          <w:rFonts w:eastAsia="Arial Unicode MS" w:cs="Arial Unicode MS"/>
          <w:i/>
          <w:iCs/>
          <w:lang w:val="en-US"/>
        </w:rPr>
        <w:t>1951 Convention Relating to the Status of Refugees</w:t>
      </w:r>
      <w:r>
        <w:rPr>
          <w:rFonts w:eastAsia="Arial Unicode MS" w:cs="Arial Unicode MS"/>
          <w:lang w:val="en-US"/>
        </w:rPr>
        <w:t xml:space="preserve">: Office of the United Nations High Commissioner for Refugees, </w:t>
      </w:r>
      <w:r>
        <w:rPr>
          <w:rFonts w:eastAsia="Arial Unicode MS" w:cs="Arial Unicode MS"/>
          <w:lang w:val="en-US"/>
        </w:rPr>
        <w:t>“</w:t>
      </w:r>
      <w:r>
        <w:rPr>
          <w:rFonts w:eastAsia="Arial Unicode MS" w:cs="Arial Unicode MS"/>
          <w:lang w:val="en-US"/>
        </w:rPr>
        <w:t>Handbook on Procedures and Criteria for Determining Refugee Status</w:t>
      </w:r>
      <w:r>
        <w:rPr>
          <w:rFonts w:eastAsia="Arial Unicode MS" w:cs="Arial Unicode MS"/>
          <w:lang w:val="en-US"/>
        </w:rPr>
        <w:t>”</w:t>
      </w:r>
      <w:r>
        <w:rPr>
          <w:rFonts w:eastAsia="Arial Unicode MS" w:cs="Arial Unicode MS"/>
          <w:lang w:val="en-US"/>
        </w:rPr>
        <w:t>, under the 1951 Convention.</w:t>
      </w:r>
    </w:p>
  </w:endnote>
  <w:endnote w:id="5">
    <w:p w14:paraId="338612D4" w14:textId="77777777" w:rsidR="00A03E39" w:rsidRDefault="000823B8">
      <w:pPr>
        <w:pStyle w:val="EndnoteText"/>
      </w:pPr>
      <w:r>
        <w:rPr>
          <w:rStyle w:val="EndnoteReference"/>
        </w:rPr>
        <w:endnoteRef/>
      </w:r>
      <w:r>
        <w:rPr>
          <w:rFonts w:eastAsia="Arial Unicode MS" w:cs="Arial Unicode MS"/>
          <w:lang w:val="en-US"/>
        </w:rPr>
        <w:t xml:space="preserve"> Exhibit RPD-1, RPD Record, RPD Decision, para. 18.</w:t>
      </w:r>
    </w:p>
  </w:endnote>
  <w:endnote w:id="6">
    <w:p w14:paraId="398D2196" w14:textId="77777777" w:rsidR="00A03E39" w:rsidRDefault="000823B8">
      <w:pPr>
        <w:pStyle w:val="EndnoteText"/>
      </w:pPr>
      <w:r>
        <w:rPr>
          <w:rStyle w:val="EndnoteReference"/>
        </w:rPr>
        <w:endnoteRef/>
      </w:r>
      <w:r>
        <w:rPr>
          <w:rFonts w:eastAsia="Arial Unicode MS" w:cs="Arial Unicode MS"/>
          <w:lang w:val="en-US"/>
        </w:rPr>
        <w:t xml:space="preserve"> </w:t>
      </w:r>
      <w:proofErr w:type="spellStart"/>
      <w:r>
        <w:rPr>
          <w:rFonts w:eastAsia="Arial Unicode MS" w:cs="Arial Unicode MS"/>
          <w:i/>
          <w:iCs/>
          <w:lang w:val="en-US"/>
        </w:rPr>
        <w:t>Oranye</w:t>
      </w:r>
      <w:proofErr w:type="spellEnd"/>
      <w:r>
        <w:rPr>
          <w:rFonts w:eastAsia="Arial Unicode MS" w:cs="Arial Unicode MS"/>
          <w:i/>
          <w:iCs/>
          <w:lang w:val="en-US"/>
        </w:rPr>
        <w:t> </w:t>
      </w:r>
      <w:r>
        <w:rPr>
          <w:rFonts w:eastAsia="Arial Unicode MS" w:cs="Arial Unicode MS"/>
          <w:i/>
          <w:iCs/>
          <w:lang w:val="en-US"/>
        </w:rPr>
        <w:t>v. Canada (Citizenship and Immigra</w:t>
      </w:r>
      <w:r>
        <w:rPr>
          <w:rFonts w:eastAsia="Arial Unicode MS" w:cs="Arial Unicode MS"/>
          <w:i/>
          <w:iCs/>
          <w:lang w:val="en-US"/>
        </w:rPr>
        <w:t>tion)</w:t>
      </w:r>
      <w:r>
        <w:rPr>
          <w:rFonts w:eastAsia="Arial Unicode MS" w:cs="Arial Unicode MS"/>
          <w:lang w:val="en-US"/>
        </w:rPr>
        <w:t xml:space="preserve">, 2018 FC 390; and </w:t>
      </w:r>
      <w:proofErr w:type="spellStart"/>
      <w:r>
        <w:rPr>
          <w:rFonts w:eastAsia="Arial Unicode MS" w:cs="Arial Unicode MS"/>
          <w:i/>
          <w:iCs/>
          <w:lang w:val="en-US"/>
        </w:rPr>
        <w:t>Geneus</w:t>
      </w:r>
      <w:proofErr w:type="spellEnd"/>
      <w:r>
        <w:rPr>
          <w:rFonts w:eastAsia="Arial Unicode MS" w:cs="Arial Unicode MS"/>
          <w:i/>
          <w:iCs/>
          <w:lang w:val="en-US"/>
        </w:rPr>
        <w:t> </w:t>
      </w:r>
      <w:r>
        <w:rPr>
          <w:rFonts w:eastAsia="Arial Unicode MS" w:cs="Arial Unicode MS"/>
          <w:i/>
          <w:iCs/>
          <w:lang w:val="en-US"/>
        </w:rPr>
        <w:t>v. Canada (Citizenship and Immigration)</w:t>
      </w:r>
      <w:r>
        <w:rPr>
          <w:rFonts w:eastAsia="Arial Unicode MS" w:cs="Arial Unicode MS"/>
          <w:lang w:val="en-US"/>
        </w:rPr>
        <w:t>, 2019 FC 264.</w:t>
      </w:r>
    </w:p>
  </w:endnote>
  <w:endnote w:id="7">
    <w:p w14:paraId="764E57C6" w14:textId="77777777" w:rsidR="00A03E39" w:rsidRDefault="000823B8">
      <w:pPr>
        <w:pStyle w:val="EndnoteText"/>
      </w:pPr>
      <w:r>
        <w:rPr>
          <w:rStyle w:val="EndnoteReference"/>
        </w:rPr>
        <w:endnoteRef/>
      </w:r>
      <w:r>
        <w:rPr>
          <w:rFonts w:eastAsia="Arial Unicode MS" w:cs="Arial Unicode MS"/>
          <w:lang w:val="en-US"/>
        </w:rPr>
        <w:t xml:space="preserve"> </w:t>
      </w:r>
      <w:r>
        <w:rPr>
          <w:rFonts w:eastAsia="Arial Unicode MS" w:cs="Arial Unicode MS"/>
          <w:i/>
          <w:iCs/>
          <w:lang w:val="en-US"/>
        </w:rPr>
        <w:t>Rasheed v. Canada (Minister of Citizenship and Immigration)</w:t>
      </w:r>
      <w:r>
        <w:rPr>
          <w:rFonts w:eastAsia="Arial Unicode MS" w:cs="Arial Unicode MS"/>
          <w:lang w:val="en-US"/>
        </w:rPr>
        <w:t>, 2004 FC 587 at para. 19.</w:t>
      </w:r>
    </w:p>
  </w:endnote>
  <w:endnote w:id="8">
    <w:p w14:paraId="368A306E" w14:textId="77777777" w:rsidR="00A03E39" w:rsidRDefault="000823B8">
      <w:pPr>
        <w:pStyle w:val="EndnoteText"/>
      </w:pPr>
      <w:r>
        <w:rPr>
          <w:rStyle w:val="EndnoteReference"/>
        </w:rPr>
        <w:endnoteRef/>
      </w:r>
      <w:r>
        <w:rPr>
          <w:rFonts w:eastAsia="Arial Unicode MS" w:cs="Arial Unicode MS"/>
          <w:lang w:val="en-US"/>
        </w:rPr>
        <w:t xml:space="preserve"> </w:t>
      </w:r>
      <w:proofErr w:type="spellStart"/>
      <w:r>
        <w:rPr>
          <w:rFonts w:eastAsia="Arial Unicode MS" w:cs="Arial Unicode MS"/>
          <w:i/>
          <w:iCs/>
          <w:lang w:val="en-US"/>
        </w:rPr>
        <w:t>Teweldebrhan</w:t>
      </w:r>
      <w:proofErr w:type="spellEnd"/>
      <w:r>
        <w:rPr>
          <w:rFonts w:eastAsia="Arial Unicode MS" w:cs="Arial Unicode MS"/>
          <w:i/>
          <w:iCs/>
          <w:lang w:val="en-US"/>
        </w:rPr>
        <w:t xml:space="preserve"> v. Canada (Citizenship and Immigration)</w:t>
      </w:r>
      <w:r>
        <w:rPr>
          <w:rFonts w:eastAsia="Arial Unicode MS" w:cs="Arial Unicode MS"/>
          <w:lang w:val="en-US"/>
        </w:rPr>
        <w:t>, 2015 FC 418 at paras. 14-16</w:t>
      </w:r>
      <w:r>
        <w:rPr>
          <w:rFonts w:eastAsia="Arial Unicode MS" w:cs="Arial Unicode MS"/>
          <w:lang w:val="en-US"/>
        </w:rPr>
        <w:t>.</w:t>
      </w:r>
    </w:p>
  </w:endnote>
  <w:endnote w:id="9">
    <w:p w14:paraId="6E70BC35" w14:textId="77777777" w:rsidR="00A03E39" w:rsidRDefault="000823B8">
      <w:pPr>
        <w:pStyle w:val="EndnoteText"/>
      </w:pPr>
      <w:r>
        <w:rPr>
          <w:rStyle w:val="EndnoteReference"/>
        </w:rPr>
        <w:endnoteRef/>
      </w:r>
      <w:r>
        <w:rPr>
          <w:rFonts w:eastAsia="Arial Unicode MS" w:cs="Arial Unicode MS"/>
          <w:lang w:val="en-US"/>
        </w:rPr>
        <w:t xml:space="preserve"> RPD Hearing Transcript (March 11, 2020), p. 13, line 24 </w:t>
      </w:r>
      <w:proofErr w:type="spellStart"/>
      <w:r>
        <w:rPr>
          <w:rFonts w:eastAsia="Arial Unicode MS" w:cs="Arial Unicode MS"/>
          <w:lang w:val="en-US"/>
        </w:rPr>
        <w:t>to p</w:t>
      </w:r>
      <w:proofErr w:type="spellEnd"/>
      <w:r>
        <w:rPr>
          <w:rFonts w:eastAsia="Arial Unicode MS" w:cs="Arial Unicode MS"/>
          <w:lang w:val="en-US"/>
        </w:rPr>
        <w:t>. 14, line 2.</w:t>
      </w:r>
    </w:p>
  </w:endnote>
  <w:endnote w:id="10">
    <w:p w14:paraId="75F12BB2" w14:textId="77777777" w:rsidR="00A03E39" w:rsidRDefault="000823B8">
      <w:pPr>
        <w:pStyle w:val="EndnoteText"/>
      </w:pPr>
      <w:r>
        <w:rPr>
          <w:rStyle w:val="EndnoteReference"/>
        </w:rPr>
        <w:endnoteRef/>
      </w:r>
      <w:r>
        <w:rPr>
          <w:rFonts w:eastAsia="Arial Unicode MS" w:cs="Arial Unicode MS"/>
          <w:lang w:val="en-US"/>
        </w:rPr>
        <w:t xml:space="preserve"> Exhibit RAD-1, National Documentation Package (NDP) for Nigeria (April 16, 2021), item 3.15: </w:t>
      </w:r>
      <w:r>
        <w:rPr>
          <w:rFonts w:eastAsia="Arial Unicode MS" w:cs="Arial Unicode MS"/>
          <w:i/>
          <w:iCs/>
          <w:lang w:val="en-US"/>
        </w:rPr>
        <w:t>Requirements and procedures an adult must fulfill to obtain a birth certificate, in</w:t>
      </w:r>
      <w:r>
        <w:rPr>
          <w:rFonts w:eastAsia="Arial Unicode MS" w:cs="Arial Unicode MS"/>
          <w:i/>
          <w:iCs/>
          <w:lang w:val="en-US"/>
        </w:rPr>
        <w:t>cluding for those who apply from within the country and abroad</w:t>
      </w:r>
      <w:r>
        <w:rPr>
          <w:rFonts w:eastAsia="Arial Unicode MS" w:cs="Arial Unicode MS"/>
          <w:lang w:val="en-US"/>
        </w:rPr>
        <w:t>. Immigration and Refugee Board of Canada. November 8, 2013. NGA</w:t>
      </w:r>
      <w:proofErr w:type="gramStart"/>
      <w:r>
        <w:rPr>
          <w:rFonts w:eastAsia="Arial Unicode MS" w:cs="Arial Unicode MS"/>
          <w:lang w:val="en-US"/>
        </w:rPr>
        <w:t>104601.E.</w:t>
      </w:r>
      <w:proofErr w:type="gramEnd"/>
    </w:p>
  </w:endnote>
  <w:endnote w:id="11">
    <w:p w14:paraId="402641FA" w14:textId="77777777" w:rsidR="00A03E39" w:rsidRDefault="000823B8">
      <w:pPr>
        <w:pStyle w:val="EndnoteText"/>
      </w:pPr>
      <w:r>
        <w:rPr>
          <w:rStyle w:val="EndnoteReference"/>
        </w:rPr>
        <w:endnoteRef/>
      </w:r>
      <w:r>
        <w:rPr>
          <w:rFonts w:eastAsia="Arial Unicode MS" w:cs="Arial Unicode MS"/>
          <w:lang w:val="en-US"/>
        </w:rPr>
        <w:t xml:space="preserve"> RPD Hearing Transcript (December 12, 2019), p. 17, line 42 </w:t>
      </w:r>
      <w:proofErr w:type="spellStart"/>
      <w:r>
        <w:rPr>
          <w:rFonts w:eastAsia="Arial Unicode MS" w:cs="Arial Unicode MS"/>
          <w:lang w:val="en-US"/>
        </w:rPr>
        <w:t>to p</w:t>
      </w:r>
      <w:proofErr w:type="spellEnd"/>
      <w:r>
        <w:rPr>
          <w:rFonts w:eastAsia="Arial Unicode MS" w:cs="Arial Unicode MS"/>
          <w:lang w:val="en-US"/>
        </w:rPr>
        <w:t xml:space="preserve">. 18, line 15. </w:t>
      </w:r>
    </w:p>
  </w:endnote>
  <w:endnote w:id="12">
    <w:p w14:paraId="16BDE678" w14:textId="77777777" w:rsidR="00A03E39" w:rsidRDefault="000823B8">
      <w:pPr>
        <w:pStyle w:val="EndnoteText"/>
      </w:pPr>
      <w:r>
        <w:rPr>
          <w:rStyle w:val="EndnoteReference"/>
        </w:rPr>
        <w:endnoteRef/>
      </w:r>
      <w:r>
        <w:rPr>
          <w:rFonts w:eastAsia="Arial Unicode MS" w:cs="Arial Unicode MS"/>
          <w:lang w:val="en-US"/>
        </w:rPr>
        <w:t xml:space="preserve"> Exhibit RAD-1, NDP for Nigeria (April</w:t>
      </w:r>
      <w:r>
        <w:rPr>
          <w:rFonts w:eastAsia="Arial Unicode MS" w:cs="Arial Unicode MS"/>
          <w:lang w:val="en-US"/>
        </w:rPr>
        <w:t xml:space="preserve"> 16, 2021), item 3.15: </w:t>
      </w:r>
      <w:r>
        <w:rPr>
          <w:rFonts w:eastAsia="Arial Unicode MS" w:cs="Arial Unicode MS"/>
          <w:i/>
          <w:iCs/>
          <w:lang w:val="en-US"/>
        </w:rPr>
        <w:t>Requirements and procedures an adult must fulfill to obtain a birth certificate, including for those who apply from within the country and abroad</w:t>
      </w:r>
      <w:r>
        <w:rPr>
          <w:rFonts w:eastAsia="Arial Unicode MS" w:cs="Arial Unicode MS"/>
          <w:lang w:val="en-US"/>
        </w:rPr>
        <w:t>. Immigration and Refugee Board of Canada. November 8, 2013. NGA</w:t>
      </w:r>
      <w:proofErr w:type="gramStart"/>
      <w:r>
        <w:rPr>
          <w:rFonts w:eastAsia="Arial Unicode MS" w:cs="Arial Unicode MS"/>
          <w:lang w:val="en-US"/>
        </w:rPr>
        <w:t>104601.E.</w:t>
      </w:r>
      <w:proofErr w:type="gramEnd"/>
    </w:p>
  </w:endnote>
  <w:endnote w:id="13">
    <w:p w14:paraId="0E3F4A7C" w14:textId="77777777" w:rsidR="00A03E39" w:rsidRDefault="000823B8">
      <w:pPr>
        <w:pStyle w:val="EndnoteText"/>
      </w:pPr>
      <w:r>
        <w:rPr>
          <w:rStyle w:val="EndnoteReference"/>
        </w:rPr>
        <w:endnoteRef/>
      </w:r>
      <w:r>
        <w:rPr>
          <w:rFonts w:eastAsia="Arial Unicode MS" w:cs="Arial Unicode MS"/>
          <w:lang w:val="en-US"/>
        </w:rPr>
        <w:t xml:space="preserve"> Exhibit RPD-1, RPD Record, Exhibit P-21, Declaration of Age, p. 140.</w:t>
      </w:r>
    </w:p>
  </w:endnote>
  <w:endnote w:id="14">
    <w:p w14:paraId="2D193610" w14:textId="77777777" w:rsidR="00A03E39" w:rsidRDefault="000823B8">
      <w:pPr>
        <w:pStyle w:val="EndnoteText"/>
      </w:pPr>
      <w:r>
        <w:rPr>
          <w:rStyle w:val="EndnoteReference"/>
        </w:rPr>
        <w:endnoteRef/>
      </w:r>
      <w:r>
        <w:rPr>
          <w:rFonts w:eastAsia="Arial Unicode MS" w:cs="Arial Unicode MS"/>
          <w:lang w:val="en-US"/>
        </w:rPr>
        <w:t xml:space="preserve"> Exhibit RPD-1, RPD Record, Exhibit P-21, Declaration of Age, p. 140.</w:t>
      </w:r>
    </w:p>
  </w:endnote>
  <w:endnote w:id="15">
    <w:p w14:paraId="3B3BD470" w14:textId="77777777" w:rsidR="00A03E39" w:rsidRDefault="000823B8">
      <w:pPr>
        <w:pStyle w:val="EndnoteText"/>
      </w:pPr>
      <w:r>
        <w:rPr>
          <w:rStyle w:val="EndnoteReference"/>
        </w:rPr>
        <w:endnoteRef/>
      </w:r>
      <w:r>
        <w:rPr>
          <w:rFonts w:eastAsia="Arial Unicode MS" w:cs="Arial Unicode MS"/>
          <w:lang w:val="en-US"/>
        </w:rPr>
        <w:t xml:space="preserve"> RPD Hearing Transcript (December 12, 2019), p. 32, lines 12-24.</w:t>
      </w:r>
    </w:p>
  </w:endnote>
  <w:endnote w:id="16">
    <w:p w14:paraId="01519140" w14:textId="77777777" w:rsidR="00A03E39" w:rsidRDefault="000823B8">
      <w:pPr>
        <w:pStyle w:val="EndnoteText"/>
      </w:pPr>
      <w:r>
        <w:rPr>
          <w:rStyle w:val="EndnoteReference"/>
        </w:rPr>
        <w:endnoteRef/>
      </w:r>
      <w:r>
        <w:rPr>
          <w:rFonts w:eastAsia="Arial Unicode MS" w:cs="Arial Unicode MS"/>
          <w:lang w:val="en-US"/>
        </w:rPr>
        <w:t xml:space="preserve"> </w:t>
      </w:r>
      <w:proofErr w:type="spellStart"/>
      <w:r>
        <w:rPr>
          <w:rFonts w:eastAsia="Arial Unicode MS" w:cs="Arial Unicode MS"/>
          <w:i/>
          <w:iCs/>
          <w:lang w:val="en-US"/>
        </w:rPr>
        <w:t>Oranye</w:t>
      </w:r>
      <w:proofErr w:type="spellEnd"/>
      <w:r>
        <w:rPr>
          <w:rFonts w:eastAsia="Arial Unicode MS" w:cs="Arial Unicode MS"/>
          <w:i/>
          <w:iCs/>
          <w:lang w:val="en-US"/>
        </w:rPr>
        <w:t> </w:t>
      </w:r>
      <w:r>
        <w:rPr>
          <w:rFonts w:eastAsia="Arial Unicode MS" w:cs="Arial Unicode MS"/>
          <w:i/>
          <w:iCs/>
          <w:lang w:val="en-US"/>
        </w:rPr>
        <w:t>v. Canada (Citizenship and Immigration)</w:t>
      </w:r>
      <w:r>
        <w:rPr>
          <w:rFonts w:eastAsia="Arial Unicode MS" w:cs="Arial Unicode MS"/>
          <w:lang w:val="en-US"/>
        </w:rPr>
        <w:t>,</w:t>
      </w:r>
      <w:r>
        <w:rPr>
          <w:rFonts w:eastAsia="Arial Unicode MS" w:cs="Arial Unicode MS"/>
          <w:lang w:val="en-US"/>
        </w:rPr>
        <w:t xml:space="preserve"> 2018 FC 390.</w:t>
      </w:r>
    </w:p>
  </w:endnote>
  <w:endnote w:id="17">
    <w:p w14:paraId="313DFF72" w14:textId="77777777" w:rsidR="00A03E39" w:rsidRDefault="000823B8">
      <w:pPr>
        <w:pStyle w:val="EndnoteText"/>
      </w:pPr>
      <w:r>
        <w:rPr>
          <w:rStyle w:val="EndnoteReference"/>
        </w:rPr>
        <w:endnoteRef/>
      </w:r>
      <w:r>
        <w:rPr>
          <w:rFonts w:eastAsia="Arial Unicode MS" w:cs="Arial Unicode MS"/>
          <w:lang w:val="en-US"/>
        </w:rPr>
        <w:t xml:space="preserve"> </w:t>
      </w:r>
      <w:proofErr w:type="spellStart"/>
      <w:r>
        <w:rPr>
          <w:rFonts w:eastAsia="Arial Unicode MS" w:cs="Arial Unicode MS"/>
          <w:i/>
          <w:iCs/>
          <w:lang w:val="en-US"/>
        </w:rPr>
        <w:t>Geneus</w:t>
      </w:r>
      <w:proofErr w:type="spellEnd"/>
      <w:r>
        <w:rPr>
          <w:rFonts w:eastAsia="Arial Unicode MS" w:cs="Arial Unicode MS"/>
          <w:i/>
          <w:iCs/>
          <w:lang w:val="en-US"/>
        </w:rPr>
        <w:t> </w:t>
      </w:r>
      <w:r>
        <w:rPr>
          <w:rFonts w:eastAsia="Arial Unicode MS" w:cs="Arial Unicode MS"/>
          <w:i/>
          <w:iCs/>
          <w:lang w:val="en-US"/>
        </w:rPr>
        <w:t>v. Canada (Citizenship and Immigration)</w:t>
      </w:r>
      <w:r>
        <w:rPr>
          <w:rFonts w:eastAsia="Arial Unicode MS" w:cs="Arial Unicode MS"/>
          <w:lang w:val="en-US"/>
        </w:rPr>
        <w:t>, 2019 FC 264 at para. 10.</w:t>
      </w:r>
    </w:p>
  </w:endnote>
  <w:endnote w:id="18">
    <w:p w14:paraId="327D7EED" w14:textId="77777777" w:rsidR="00A03E39" w:rsidRDefault="000823B8">
      <w:pPr>
        <w:pStyle w:val="EndnoteText"/>
      </w:pPr>
      <w:r>
        <w:rPr>
          <w:vertAlign w:val="superscript"/>
        </w:rPr>
        <w:endnoteRef/>
      </w:r>
      <w:r>
        <w:rPr>
          <w:rFonts w:eastAsia="Arial Unicode MS" w:cs="Arial Unicode MS"/>
          <w:lang w:val="en-US"/>
        </w:rPr>
        <w:t xml:space="preserve"> </w:t>
      </w:r>
      <w:r>
        <w:rPr>
          <w:rFonts w:eastAsia="Arial Unicode MS" w:cs="Arial Unicode MS"/>
          <w:i/>
          <w:iCs/>
          <w:lang w:val="en-US"/>
        </w:rPr>
        <w:t>Liu v. Canada (Citizenship and Immigration)</w:t>
      </w:r>
      <w:r>
        <w:rPr>
          <w:rFonts w:eastAsia="Arial Unicode MS" w:cs="Arial Unicode MS"/>
          <w:lang w:val="en-US"/>
        </w:rPr>
        <w:t>, 2020 FC 576 at para. 91.</w:t>
      </w:r>
    </w:p>
  </w:endnote>
  <w:endnote w:id="19">
    <w:p w14:paraId="137B0628" w14:textId="77777777" w:rsidR="00A03E39" w:rsidRDefault="000823B8">
      <w:pPr>
        <w:pStyle w:val="EndnoteText"/>
      </w:pPr>
      <w:r>
        <w:rPr>
          <w:vertAlign w:val="superscript"/>
        </w:rPr>
        <w:endnoteRef/>
      </w:r>
      <w:r>
        <w:rPr>
          <w:rFonts w:eastAsia="Arial Unicode MS" w:cs="Arial Unicode MS"/>
          <w:lang w:val="en-US"/>
        </w:rPr>
        <w:t xml:space="preserve"> </w:t>
      </w:r>
      <w:proofErr w:type="spellStart"/>
      <w:r>
        <w:rPr>
          <w:rFonts w:eastAsia="Arial Unicode MS" w:cs="Arial Unicode MS"/>
          <w:i/>
          <w:iCs/>
          <w:lang w:val="en-US"/>
        </w:rPr>
        <w:t>Sitnikova</w:t>
      </w:r>
      <w:proofErr w:type="spellEnd"/>
      <w:r>
        <w:rPr>
          <w:rFonts w:eastAsia="Arial Unicode MS" w:cs="Arial Unicode MS"/>
          <w:i/>
          <w:iCs/>
          <w:lang w:val="en-US"/>
        </w:rPr>
        <w:t xml:space="preserve"> v. Canada (Citizenship and Immigration)</w:t>
      </w:r>
      <w:r>
        <w:rPr>
          <w:rFonts w:eastAsia="Arial Unicode MS" w:cs="Arial Unicode MS"/>
          <w:lang w:val="en-US"/>
        </w:rPr>
        <w:t>, 2017 FC 1082 at para. 20.</w:t>
      </w:r>
    </w:p>
  </w:endnote>
  <w:endnote w:id="20">
    <w:p w14:paraId="71A7E343" w14:textId="77777777" w:rsidR="00A03E39" w:rsidRDefault="000823B8">
      <w:pPr>
        <w:pStyle w:val="EndnoteText"/>
      </w:pPr>
      <w:r>
        <w:rPr>
          <w:rStyle w:val="EndnoteReference"/>
        </w:rPr>
        <w:endnoteRef/>
      </w:r>
      <w:r>
        <w:rPr>
          <w:rFonts w:eastAsia="Arial Unicode MS" w:cs="Arial Unicode MS"/>
          <w:lang w:val="en-US"/>
        </w:rPr>
        <w:t xml:space="preserve"> </w:t>
      </w:r>
      <w:proofErr w:type="spellStart"/>
      <w:r>
        <w:rPr>
          <w:rFonts w:eastAsia="Arial Unicode MS" w:cs="Arial Unicode MS"/>
          <w:i/>
          <w:iCs/>
          <w:lang w:val="en-US"/>
        </w:rPr>
        <w:t>Nti</w:t>
      </w:r>
      <w:proofErr w:type="spellEnd"/>
      <w:r>
        <w:rPr>
          <w:rFonts w:eastAsia="Arial Unicode MS" w:cs="Arial Unicode MS"/>
          <w:i/>
          <w:iCs/>
          <w:lang w:val="en-US"/>
        </w:rPr>
        <w:t> </w:t>
      </w:r>
      <w:r>
        <w:rPr>
          <w:rFonts w:eastAsia="Arial Unicode MS" w:cs="Arial Unicode MS"/>
          <w:i/>
          <w:iCs/>
          <w:lang w:val="en-US"/>
        </w:rPr>
        <w:t xml:space="preserve">v. Canada </w:t>
      </w:r>
      <w:r>
        <w:rPr>
          <w:rFonts w:eastAsia="Arial Unicode MS" w:cs="Arial Unicode MS"/>
          <w:i/>
          <w:iCs/>
          <w:lang w:val="en-US"/>
        </w:rPr>
        <w:t>(Citizenship and Immigration)</w:t>
      </w:r>
      <w:r>
        <w:rPr>
          <w:rFonts w:eastAsia="Arial Unicode MS" w:cs="Arial Unicode MS"/>
          <w:lang w:val="en-US"/>
        </w:rPr>
        <w:t>, 2020 FC 595 at paras. 19-22.</w:t>
      </w:r>
    </w:p>
  </w:endnote>
  <w:endnote w:id="21">
    <w:p w14:paraId="50C688C6" w14:textId="77777777" w:rsidR="00A03E39" w:rsidRDefault="000823B8">
      <w:pPr>
        <w:pStyle w:val="EndnoteText"/>
      </w:pPr>
      <w:r>
        <w:rPr>
          <w:rStyle w:val="EndnoteReference"/>
        </w:rPr>
        <w:endnoteRef/>
      </w:r>
      <w:r>
        <w:rPr>
          <w:rFonts w:eastAsia="Arial Unicode MS" w:cs="Arial Unicode MS"/>
          <w:lang w:val="en-US"/>
        </w:rPr>
        <w:t xml:space="preserve"> </w:t>
      </w:r>
      <w:proofErr w:type="spellStart"/>
      <w:r>
        <w:rPr>
          <w:rFonts w:eastAsia="Arial Unicode MS" w:cs="Arial Unicode MS"/>
          <w:i/>
          <w:iCs/>
          <w:lang w:val="en-US"/>
        </w:rPr>
        <w:t>Magonza</w:t>
      </w:r>
      <w:proofErr w:type="spellEnd"/>
      <w:r>
        <w:rPr>
          <w:rFonts w:eastAsia="Arial Unicode MS" w:cs="Arial Unicode MS"/>
          <w:i/>
          <w:iCs/>
          <w:lang w:val="en-US"/>
        </w:rPr>
        <w:t xml:space="preserve"> v. Canada (Citizenship and Immigration)</w:t>
      </w:r>
      <w:r>
        <w:rPr>
          <w:rFonts w:eastAsia="Arial Unicode MS" w:cs="Arial Unicode MS"/>
          <w:lang w:val="en-US"/>
        </w:rPr>
        <w:t>, 2019 FC 14.</w:t>
      </w:r>
    </w:p>
  </w:endnote>
  <w:endnote w:id="22">
    <w:p w14:paraId="6B79E6B9" w14:textId="77777777" w:rsidR="00A03E39" w:rsidRDefault="000823B8">
      <w:pPr>
        <w:pStyle w:val="EndnoteText"/>
      </w:pPr>
      <w:r>
        <w:rPr>
          <w:rStyle w:val="EndnoteReference"/>
        </w:rPr>
        <w:endnoteRef/>
      </w:r>
      <w:r>
        <w:rPr>
          <w:rFonts w:eastAsia="Arial Unicode MS" w:cs="Arial Unicode MS"/>
          <w:lang w:val="en-US"/>
        </w:rPr>
        <w:t xml:space="preserve"> Exhibit RAD-1, NDP for Nigeria (April 16, 2021), item 3.15: </w:t>
      </w:r>
      <w:r>
        <w:rPr>
          <w:rFonts w:eastAsia="Arial Unicode MS" w:cs="Arial Unicode MS"/>
          <w:i/>
          <w:iCs/>
          <w:lang w:val="en-US"/>
        </w:rPr>
        <w:t>Requirements and procedures an adult must fulfill to obtain a birth cer</w:t>
      </w:r>
      <w:r>
        <w:rPr>
          <w:rFonts w:eastAsia="Arial Unicode MS" w:cs="Arial Unicode MS"/>
          <w:i/>
          <w:iCs/>
          <w:lang w:val="en-US"/>
        </w:rPr>
        <w:t>tificate, including for those who apply from within the country and abroad</w:t>
      </w:r>
      <w:r>
        <w:rPr>
          <w:rFonts w:eastAsia="Arial Unicode MS" w:cs="Arial Unicode MS"/>
          <w:lang w:val="en-US"/>
        </w:rPr>
        <w:t>. Immigration and Refugee Board of Canada. November 8, 2013. NGA</w:t>
      </w:r>
      <w:proofErr w:type="gramStart"/>
      <w:r>
        <w:rPr>
          <w:rFonts w:eastAsia="Arial Unicode MS" w:cs="Arial Unicode MS"/>
          <w:lang w:val="en-US"/>
        </w:rPr>
        <w:t>104601.E.</w:t>
      </w:r>
      <w:proofErr w:type="gramEnd"/>
      <w:r>
        <w:rPr>
          <w:rFonts w:eastAsia="Arial Unicode MS" w:cs="Arial Unicode MS"/>
          <w:lang w:val="en-US"/>
        </w:rPr>
        <w:t xml:space="preserve"> Section 9 (Baptism Certificates)</w:t>
      </w:r>
    </w:p>
  </w:endnote>
  <w:endnote w:id="23">
    <w:p w14:paraId="3E953C65" w14:textId="77777777" w:rsidR="00A03E39" w:rsidRDefault="000823B8">
      <w:pPr>
        <w:pStyle w:val="EndnoteText"/>
      </w:pPr>
      <w:r>
        <w:rPr>
          <w:rStyle w:val="EndnoteReference"/>
        </w:rPr>
        <w:endnoteRef/>
      </w:r>
      <w:r>
        <w:rPr>
          <w:rFonts w:eastAsia="Arial Unicode MS" w:cs="Arial Unicode MS"/>
          <w:lang w:val="en-US"/>
        </w:rPr>
        <w:t xml:space="preserve"> Exhibit RAD-1, NDP for Nigeria (April 16, 2021), item 3.9: </w:t>
      </w:r>
      <w:r>
        <w:rPr>
          <w:rFonts w:eastAsia="Arial Unicode MS" w:cs="Arial Unicode MS"/>
          <w:lang w:val="en-US"/>
        </w:rPr>
        <w:t>​</w:t>
      </w:r>
      <w:r>
        <w:rPr>
          <w:rFonts w:eastAsia="Arial Unicode MS" w:cs="Arial Unicode MS"/>
          <w:i/>
          <w:iCs/>
          <w:lang w:val="en-US"/>
        </w:rPr>
        <w:t>Implementatio</w:t>
      </w:r>
      <w:r>
        <w:rPr>
          <w:rFonts w:eastAsia="Arial Unicode MS" w:cs="Arial Unicode MS"/>
          <w:i/>
          <w:iCs/>
          <w:lang w:val="en-US"/>
        </w:rPr>
        <w:t>n of the National Identity Card (NIC), including roll-out of the National Identification Number (NIN); requirements and procedures to obtain a NIN and NIC; appearance and security features; prevalence of fraudulent NICs (2016-November 2018)</w:t>
      </w:r>
      <w:r>
        <w:rPr>
          <w:rFonts w:eastAsia="Arial Unicode MS" w:cs="Arial Unicode MS"/>
          <w:lang w:val="en-US"/>
        </w:rPr>
        <w:t>. Immigration an</w:t>
      </w:r>
      <w:r>
        <w:rPr>
          <w:rFonts w:eastAsia="Arial Unicode MS" w:cs="Arial Unicode MS"/>
          <w:lang w:val="en-US"/>
        </w:rPr>
        <w:t>d Refugee Board of Canada. November 13, 2018. NGA</w:t>
      </w:r>
      <w:proofErr w:type="gramStart"/>
      <w:r>
        <w:rPr>
          <w:rFonts w:eastAsia="Arial Unicode MS" w:cs="Arial Unicode MS"/>
          <w:lang w:val="en-US"/>
        </w:rPr>
        <w:t>106187.E.</w:t>
      </w:r>
      <w:proofErr w:type="gramEnd"/>
    </w:p>
  </w:endnote>
  <w:endnote w:id="24">
    <w:p w14:paraId="7E3ACBD3" w14:textId="77777777" w:rsidR="00A03E39" w:rsidRDefault="000823B8">
      <w:pPr>
        <w:pStyle w:val="EndnoteText"/>
      </w:pPr>
      <w:r>
        <w:rPr>
          <w:rStyle w:val="EndnoteReference"/>
        </w:rPr>
        <w:endnoteRef/>
      </w:r>
      <w:r>
        <w:rPr>
          <w:rFonts w:eastAsia="Arial Unicode MS" w:cs="Arial Unicode MS"/>
          <w:lang w:val="en-US"/>
        </w:rPr>
        <w:t xml:space="preserve"> RPD Transcript (December 12, 2019), p. 18, lines 19-32.</w:t>
      </w:r>
    </w:p>
  </w:endnote>
  <w:endnote w:id="25">
    <w:p w14:paraId="30AA5564" w14:textId="77777777" w:rsidR="00A03E39" w:rsidRDefault="000823B8">
      <w:pPr>
        <w:pStyle w:val="EndnoteText"/>
      </w:pPr>
      <w:r>
        <w:rPr>
          <w:rStyle w:val="EndnoteReference"/>
        </w:rPr>
        <w:endnoteRef/>
      </w:r>
      <w:r>
        <w:rPr>
          <w:rFonts w:eastAsia="Arial Unicode MS" w:cs="Arial Unicode MS"/>
          <w:lang w:val="en-US"/>
        </w:rPr>
        <w:t xml:space="preserve"> RPD Transcript (March 11, 2020), p. 9, line 17 </w:t>
      </w:r>
      <w:proofErr w:type="spellStart"/>
      <w:r>
        <w:rPr>
          <w:rFonts w:eastAsia="Arial Unicode MS" w:cs="Arial Unicode MS"/>
          <w:lang w:val="en-US"/>
        </w:rPr>
        <w:t>to p</w:t>
      </w:r>
      <w:proofErr w:type="spellEnd"/>
      <w:r>
        <w:rPr>
          <w:rFonts w:eastAsia="Arial Unicode MS" w:cs="Arial Unicode MS"/>
          <w:lang w:val="en-US"/>
        </w:rPr>
        <w:t>. 10, line 42.</w:t>
      </w:r>
    </w:p>
  </w:endnote>
  <w:endnote w:id="26">
    <w:p w14:paraId="119A9AFF" w14:textId="77777777" w:rsidR="00A03E39" w:rsidRDefault="000823B8">
      <w:pPr>
        <w:pStyle w:val="EndnoteText"/>
      </w:pPr>
      <w:r>
        <w:rPr>
          <w:rStyle w:val="EndnoteReference"/>
        </w:rPr>
        <w:endnoteRef/>
      </w:r>
      <w:r>
        <w:rPr>
          <w:rFonts w:eastAsia="Arial Unicode MS" w:cs="Arial Unicode MS"/>
          <w:lang w:val="en-US"/>
        </w:rPr>
        <w:t xml:space="preserve"> Exhibit RAD-1, NDP for Nigeria (April 16, 2021), item 3.9: </w:t>
      </w:r>
      <w:r>
        <w:rPr>
          <w:rFonts w:eastAsia="Arial Unicode MS" w:cs="Arial Unicode MS"/>
          <w:lang w:val="en-US"/>
        </w:rPr>
        <w:t>​</w:t>
      </w:r>
      <w:r>
        <w:rPr>
          <w:rFonts w:eastAsia="Arial Unicode MS" w:cs="Arial Unicode MS"/>
          <w:i/>
          <w:iCs/>
          <w:lang w:val="en-US"/>
        </w:rPr>
        <w:t>Implementation of the National Identity Card (NIC), including roll-out of the National Identification Number (NIN); requirements and procedures to obtain a NIN and NIC; appearance and security features; prevalence of fraudulent NICs (2016-November 2018)</w:t>
      </w:r>
      <w:r>
        <w:rPr>
          <w:rFonts w:eastAsia="Arial Unicode MS" w:cs="Arial Unicode MS"/>
          <w:lang w:val="en-US"/>
        </w:rPr>
        <w:t>. I</w:t>
      </w:r>
      <w:r>
        <w:rPr>
          <w:rFonts w:eastAsia="Arial Unicode MS" w:cs="Arial Unicode MS"/>
          <w:lang w:val="en-US"/>
        </w:rPr>
        <w:t>mmigration and Refugee Board of Canada. November 13, 2018. NGA</w:t>
      </w:r>
      <w:proofErr w:type="gramStart"/>
      <w:r>
        <w:rPr>
          <w:rFonts w:eastAsia="Arial Unicode MS" w:cs="Arial Unicode MS"/>
          <w:lang w:val="en-US"/>
        </w:rPr>
        <w:t>106187.E.</w:t>
      </w:r>
      <w:proofErr w:type="gramEnd"/>
      <w:r>
        <w:rPr>
          <w:rFonts w:eastAsia="Arial Unicode MS" w:cs="Arial Unicode MS"/>
          <w:lang w:val="en-US"/>
        </w:rPr>
        <w:t xml:space="preserve"> Section 2.1.1 (Enrolment for Those 16 Years of Age and Older).</w:t>
      </w:r>
    </w:p>
  </w:endnote>
  <w:endnote w:id="27">
    <w:p w14:paraId="7338EEEB" w14:textId="77777777" w:rsidR="00A03E39" w:rsidRDefault="000823B8">
      <w:pPr>
        <w:pStyle w:val="EndnoteText"/>
      </w:pPr>
      <w:r>
        <w:rPr>
          <w:rStyle w:val="EndnoteReference"/>
        </w:rPr>
        <w:endnoteRef/>
      </w:r>
      <w:r>
        <w:rPr>
          <w:rFonts w:eastAsia="Arial Unicode MS" w:cs="Arial Unicode MS"/>
          <w:lang w:val="en-US"/>
        </w:rPr>
        <w:t xml:space="preserve"> RPD Hearing Transcript (March 11, 2020), p. 8, line 39 </w:t>
      </w:r>
      <w:proofErr w:type="spellStart"/>
      <w:r>
        <w:rPr>
          <w:rFonts w:eastAsia="Arial Unicode MS" w:cs="Arial Unicode MS"/>
          <w:lang w:val="en-US"/>
        </w:rPr>
        <w:t>to p</w:t>
      </w:r>
      <w:proofErr w:type="spellEnd"/>
      <w:r>
        <w:rPr>
          <w:rFonts w:eastAsia="Arial Unicode MS" w:cs="Arial Unicode MS"/>
          <w:lang w:val="en-US"/>
        </w:rPr>
        <w:t>. 9, line 15.</w:t>
      </w:r>
    </w:p>
  </w:endnote>
  <w:endnote w:id="28">
    <w:p w14:paraId="6A3295BE" w14:textId="77777777" w:rsidR="00A03E39" w:rsidRDefault="000823B8">
      <w:pPr>
        <w:pStyle w:val="EndnoteText"/>
      </w:pPr>
      <w:r>
        <w:rPr>
          <w:rStyle w:val="EndnoteReference"/>
        </w:rPr>
        <w:endnoteRef/>
      </w:r>
      <w:r>
        <w:rPr>
          <w:rFonts w:eastAsia="Arial Unicode MS" w:cs="Arial Unicode MS"/>
          <w:lang w:val="en-US"/>
        </w:rPr>
        <w:t xml:space="preserve"> Exhibit RAD-1, NDP for Nigeria (April 16, 20</w:t>
      </w:r>
      <w:r>
        <w:rPr>
          <w:rFonts w:eastAsia="Arial Unicode MS" w:cs="Arial Unicode MS"/>
          <w:lang w:val="en-US"/>
        </w:rPr>
        <w:t xml:space="preserve">21), item 3.22: </w:t>
      </w:r>
      <w:r>
        <w:rPr>
          <w:rFonts w:eastAsia="Arial Unicode MS" w:cs="Arial Unicode MS"/>
          <w:i/>
          <w:iCs/>
          <w:lang w:val="en-US"/>
        </w:rPr>
        <w:t>Requirements and procedures to obtain a voter card; information on voter cards, including appearance, features; issuing authority and place of issuance (2012-June 2016)</w:t>
      </w:r>
      <w:r>
        <w:rPr>
          <w:rFonts w:eastAsia="Arial Unicode MS" w:cs="Arial Unicode MS"/>
          <w:lang w:val="en-US"/>
        </w:rPr>
        <w:t>. Immigration and Refugee Board of Canada. May 13, 2016. NGA</w:t>
      </w:r>
      <w:proofErr w:type="gramStart"/>
      <w:r>
        <w:rPr>
          <w:rFonts w:eastAsia="Arial Unicode MS" w:cs="Arial Unicode MS"/>
          <w:lang w:val="en-US"/>
        </w:rPr>
        <w:t>105486.E.</w:t>
      </w:r>
      <w:proofErr w:type="gramEnd"/>
    </w:p>
  </w:endnote>
  <w:endnote w:id="29">
    <w:p w14:paraId="31A79B47" w14:textId="77777777" w:rsidR="00A03E39" w:rsidRDefault="000823B8">
      <w:pPr>
        <w:pStyle w:val="EndnoteText"/>
      </w:pPr>
      <w:r>
        <w:rPr>
          <w:rStyle w:val="EndnoteReference"/>
        </w:rPr>
        <w:endnoteRef/>
      </w:r>
      <w:r>
        <w:rPr>
          <w:rFonts w:eastAsia="Arial Unicode MS" w:cs="Arial Unicode MS"/>
          <w:lang w:val="en-US"/>
        </w:rPr>
        <w:t xml:space="preserve"> </w:t>
      </w:r>
      <w:r>
        <w:rPr>
          <w:rFonts w:eastAsia="Arial Unicode MS" w:cs="Arial Unicode MS"/>
          <w:lang w:val="en-US"/>
        </w:rPr>
        <w:t xml:space="preserve">Ibid., NDP for Nigeria (April 16, 2021), item 3.22, Section 4. Voter Registration Fraud. </w:t>
      </w:r>
    </w:p>
  </w:endnote>
  <w:endnote w:id="30">
    <w:p w14:paraId="05FCB2EF" w14:textId="77777777" w:rsidR="00A03E39" w:rsidRDefault="000823B8">
      <w:pPr>
        <w:pStyle w:val="EndnoteText"/>
      </w:pPr>
      <w:r>
        <w:rPr>
          <w:rStyle w:val="EndnoteReference"/>
        </w:rPr>
        <w:endnoteRef/>
      </w:r>
      <w:r>
        <w:rPr>
          <w:rFonts w:eastAsia="Arial Unicode MS" w:cs="Arial Unicode MS"/>
          <w:lang w:val="en-US"/>
        </w:rPr>
        <w:t xml:space="preserve"> Exhibit RPD-1, RPD Record, RPD Decision, para. 93.</w:t>
      </w:r>
    </w:p>
  </w:endnote>
  <w:endnote w:id="31">
    <w:p w14:paraId="4A6940E2" w14:textId="77777777" w:rsidR="00A03E39" w:rsidRDefault="000823B8">
      <w:pPr>
        <w:pStyle w:val="EndnoteText"/>
      </w:pPr>
      <w:r>
        <w:rPr>
          <w:rStyle w:val="EndnoteReference"/>
        </w:rPr>
        <w:endnoteRef/>
      </w:r>
      <w:r>
        <w:rPr>
          <w:rFonts w:eastAsia="Arial Unicode MS" w:cs="Arial Unicode MS"/>
          <w:lang w:val="en-US"/>
        </w:rPr>
        <w:t xml:space="preserve"> Exhibit RAD-1, NDP for Nigeria (April 16, 2021), item 3.13: </w:t>
      </w:r>
      <w:r>
        <w:rPr>
          <w:rFonts w:eastAsia="Arial Unicode MS" w:cs="Arial Unicode MS"/>
          <w:lang w:val="en-US"/>
        </w:rPr>
        <w:t>​</w:t>
      </w:r>
      <w:r>
        <w:rPr>
          <w:rFonts w:eastAsia="Arial Unicode MS" w:cs="Arial Unicode MS"/>
          <w:lang w:val="en-US"/>
        </w:rPr>
        <w:t>Information on a Certificate of State of Origin, i</w:t>
      </w:r>
      <w:r>
        <w:rPr>
          <w:rFonts w:eastAsia="Arial Unicode MS" w:cs="Arial Unicode MS"/>
          <w:lang w:val="en-US"/>
        </w:rPr>
        <w:t xml:space="preserve">ncluding purpose of document, issuing and signing authority, and requirements and procedures to obtain the document; information on the appearance of the certificate, including security features and information contained in the </w:t>
      </w:r>
      <w:proofErr w:type="gramStart"/>
      <w:r>
        <w:rPr>
          <w:rFonts w:eastAsia="Arial Unicode MS" w:cs="Arial Unicode MS"/>
          <w:lang w:val="en-US"/>
        </w:rPr>
        <w:t>document;</w:t>
      </w:r>
      <w:proofErr w:type="gramEnd"/>
      <w:r>
        <w:rPr>
          <w:rFonts w:eastAsia="Arial Unicode MS" w:cs="Arial Unicode MS"/>
          <w:lang w:val="en-US"/>
        </w:rPr>
        <w:t xml:space="preserve"> whether the appear</w:t>
      </w:r>
      <w:r>
        <w:rPr>
          <w:rFonts w:eastAsia="Arial Unicode MS" w:cs="Arial Unicode MS"/>
          <w:lang w:val="en-US"/>
        </w:rPr>
        <w:t>ance of the document is uniform throughout the country (2015-January 2017). Immigration and Refugee Board of Canada. January 30, 2017. NGA</w:t>
      </w:r>
      <w:proofErr w:type="gramStart"/>
      <w:r>
        <w:rPr>
          <w:rFonts w:eastAsia="Arial Unicode MS" w:cs="Arial Unicode MS"/>
          <w:lang w:val="en-US"/>
        </w:rPr>
        <w:t>105727.E.</w:t>
      </w:r>
      <w:proofErr w:type="gram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37544" w14:textId="77777777" w:rsidR="00A03E39" w:rsidRDefault="000823B8">
    <w:pPr>
      <w:pStyle w:val="Body"/>
      <w:spacing w:line="240" w:lineRule="exact"/>
      <w:rPr>
        <w:spacing w:val="-1"/>
        <w:sz w:val="20"/>
        <w:szCs w:val="20"/>
      </w:rPr>
    </w:pPr>
    <w:r>
      <w:rPr>
        <w:spacing w:val="-1"/>
        <w:sz w:val="20"/>
        <w:szCs w:val="20"/>
        <w:lang w:val="en-US"/>
      </w:rPr>
      <w:t>RAD.25.02 (May 19, 2021)</w:t>
    </w:r>
  </w:p>
  <w:p w14:paraId="6AC66660" w14:textId="77777777" w:rsidR="00A03E39" w:rsidRDefault="000823B8">
    <w:pPr>
      <w:pStyle w:val="Body"/>
      <w:jc w:val="right"/>
    </w:pPr>
    <w:r>
      <w:rPr>
        <w:i/>
        <w:iCs/>
        <w:spacing w:val="-1"/>
        <w:sz w:val="20"/>
        <w:szCs w:val="20"/>
      </w:rPr>
      <w:t xml:space="preserve">Disponible en </w:t>
    </w:r>
    <w:proofErr w:type="spellStart"/>
    <w:r>
      <w:rPr>
        <w:i/>
        <w:iCs/>
        <w:spacing w:val="-1"/>
        <w:sz w:val="20"/>
        <w:szCs w:val="20"/>
      </w:rPr>
      <w:t>fran</w:t>
    </w:r>
    <w:proofErr w:type="spellEnd"/>
    <w:r>
      <w:rPr>
        <w:i/>
        <w:iCs/>
        <w:spacing w:val="-1"/>
        <w:sz w:val="20"/>
        <w:szCs w:val="20"/>
        <w:lang w:val="pt-PT"/>
      </w:rPr>
      <w:t>ç</w:t>
    </w:r>
    <w:r>
      <w:rPr>
        <w:i/>
        <w:iCs/>
        <w:spacing w:val="-1"/>
        <w:sz w:val="20"/>
        <w:szCs w:val="20"/>
      </w:rPr>
      <w:t>ais</w:t>
    </w:r>
    <w:r>
      <w:rPr>
        <w:i/>
        <w:iCs/>
        <w:spacing w:val="-1"/>
        <w:sz w:val="20"/>
        <w:szCs w:val="20"/>
      </w:rPr>
      <w:tab/>
    </w:r>
    <w:r>
      <w:rPr>
        <w:lang w:val="en-US"/>
      </w:rPr>
      <w:fldChar w:fldCharType="begin"/>
    </w:r>
    <w:r>
      <w:rPr>
        <w:lang w:val="en-US"/>
      </w:rPr>
      <w:instrText xml:space="preserve"> PAGE </w:instrText>
    </w:r>
    <w:r>
      <w:rPr>
        <w:lang w:val="en-US"/>
      </w:rPr>
      <w:fldChar w:fldCharType="separate"/>
    </w:r>
    <w:r w:rsidR="0052040D">
      <w:rPr>
        <w:noProof/>
        <w:lang w:val="en-US"/>
      </w:rPr>
      <w:t>2</w:t>
    </w:r>
    <w:r>
      <w:rPr>
        <w:lang w:val="en-US"/>
      </w:rPr>
      <w:fldChar w:fldCharType="end"/>
    </w:r>
    <w:r>
      <w:rPr>
        <w:lang w:val="en-US"/>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395F3" w14:textId="77777777" w:rsidR="00A03E39" w:rsidRDefault="000823B8">
    <w:pPr>
      <w:pStyle w:val="Body"/>
      <w:rPr>
        <w:spacing w:val="-1"/>
        <w:sz w:val="20"/>
        <w:szCs w:val="20"/>
      </w:rPr>
    </w:pPr>
    <w:r>
      <w:rPr>
        <w:spacing w:val="-1"/>
        <w:sz w:val="20"/>
        <w:szCs w:val="20"/>
        <w:lang w:val="en-US"/>
      </w:rPr>
      <w:t>RAD.25.02 (May 19, 2021)</w:t>
    </w:r>
  </w:p>
  <w:p w14:paraId="01CC53D0" w14:textId="77777777" w:rsidR="00A03E39" w:rsidRDefault="000823B8">
    <w:pPr>
      <w:pStyle w:val="Body"/>
      <w:jc w:val="right"/>
    </w:pPr>
    <w:r>
      <w:t xml:space="preserve">Disponible en </w:t>
    </w:r>
    <w:proofErr w:type="spellStart"/>
    <w:r>
      <w:t>fran</w:t>
    </w:r>
    <w:proofErr w:type="spellEnd"/>
    <w:r>
      <w:rPr>
        <w:lang w:val="pt-PT"/>
      </w:rPr>
      <w:t>ç</w:t>
    </w:r>
    <w:r>
      <w:t>ais</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16B06" w14:textId="77777777" w:rsidR="000823B8" w:rsidRDefault="000823B8">
      <w:r>
        <w:separator/>
      </w:r>
    </w:p>
  </w:footnote>
  <w:footnote w:type="continuationSeparator" w:id="0">
    <w:p w14:paraId="46701026" w14:textId="77777777" w:rsidR="000823B8" w:rsidRDefault="00082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FBEF0" w14:textId="77777777" w:rsidR="00A03E39" w:rsidRDefault="000823B8">
    <w:pPr>
      <w:pStyle w:val="Body"/>
      <w:jc w:val="right"/>
      <w:rPr>
        <w:b/>
        <w:bCs/>
        <w:sz w:val="20"/>
        <w:szCs w:val="20"/>
      </w:rPr>
    </w:pPr>
    <w:r>
      <w:rPr>
        <w:b/>
        <w:bCs/>
        <w:noProof/>
        <w:sz w:val="20"/>
        <w:szCs w:val="20"/>
      </w:rPr>
      <w:drawing>
        <wp:anchor distT="152400" distB="152400" distL="152400" distR="152400" simplePos="0" relativeHeight="251656704" behindDoc="1" locked="0" layoutInCell="1" allowOverlap="1" wp14:anchorId="54085D59" wp14:editId="5FF2103F">
          <wp:simplePos x="0" y="0"/>
          <wp:positionH relativeFrom="page">
            <wp:posOffset>6154039</wp:posOffset>
          </wp:positionH>
          <wp:positionV relativeFrom="page">
            <wp:posOffset>9537065</wp:posOffset>
          </wp:positionV>
          <wp:extent cx="813817" cy="237744"/>
          <wp:effectExtent l="0" t="0" r="0" b="0"/>
          <wp:wrapNone/>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stretch>
                    <a:fillRect/>
                  </a:stretch>
                </pic:blipFill>
                <pic:spPr>
                  <a:xfrm>
                    <a:off x="0" y="0"/>
                    <a:ext cx="813817" cy="237744"/>
                  </a:xfrm>
                  <a:prstGeom prst="rect">
                    <a:avLst/>
                  </a:prstGeom>
                  <a:ln w="12700" cap="flat">
                    <a:noFill/>
                    <a:miter lim="400000"/>
                  </a:ln>
                  <a:effectLst/>
                </pic:spPr>
              </pic:pic>
            </a:graphicData>
          </a:graphic>
        </wp:anchor>
      </w:drawing>
    </w:r>
    <w:r>
      <w:rPr>
        <w:b/>
        <w:bCs/>
        <w:sz w:val="20"/>
        <w:szCs w:val="20"/>
      </w:rPr>
      <w:t>RAD File / Dossier de la SAR : MC008954</w:t>
    </w:r>
  </w:p>
  <w:p w14:paraId="2C6CC4BF" w14:textId="77777777" w:rsidR="00A03E39" w:rsidRDefault="00A03E39">
    <w:pPr>
      <w:pStyle w:val="Body"/>
      <w:jc w:val="right"/>
      <w:rPr>
        <w:b/>
        <w:bCs/>
        <w:sz w:val="20"/>
        <w:szCs w:val="20"/>
      </w:rPr>
    </w:pPr>
  </w:p>
  <w:p w14:paraId="63C498C5" w14:textId="77777777" w:rsidR="00A03E39" w:rsidRDefault="00A03E39">
    <w:pPr>
      <w:pStyle w:val="Body"/>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59264" w14:textId="77777777" w:rsidR="00A03E39" w:rsidRDefault="000823B8">
    <w:pPr>
      <w:pStyle w:val="Body"/>
      <w:tabs>
        <w:tab w:val="clear" w:pos="576"/>
        <w:tab w:val="clear" w:pos="1008"/>
        <w:tab w:val="clear" w:pos="1440"/>
        <w:tab w:val="clear" w:pos="1872"/>
        <w:tab w:val="clear" w:pos="2304"/>
        <w:tab w:val="clear" w:pos="2736"/>
      </w:tabs>
      <w:spacing w:after="240"/>
      <w:ind w:left="540"/>
      <w:jc w:val="left"/>
      <w:rPr>
        <w:spacing w:val="-1"/>
        <w:sz w:val="20"/>
        <w:szCs w:val="20"/>
      </w:rPr>
    </w:pPr>
    <w:r>
      <w:rPr>
        <w:noProof/>
        <w:spacing w:val="-1"/>
        <w:sz w:val="20"/>
        <w:szCs w:val="20"/>
      </w:rPr>
      <w:drawing>
        <wp:anchor distT="152400" distB="152400" distL="152400" distR="152400" simplePos="0" relativeHeight="251657728" behindDoc="1" locked="0" layoutInCell="1" allowOverlap="1" wp14:anchorId="646636D2" wp14:editId="405212BF">
          <wp:simplePos x="0" y="0"/>
          <wp:positionH relativeFrom="page">
            <wp:posOffset>1676399</wp:posOffset>
          </wp:positionH>
          <wp:positionV relativeFrom="page">
            <wp:posOffset>0</wp:posOffset>
          </wp:positionV>
          <wp:extent cx="603505" cy="740664"/>
          <wp:effectExtent l="0" t="0" r="0" b="0"/>
          <wp:wrapNone/>
          <wp:docPr id="1073741826" name="officeArt object" descr="fip_300dpi_est_e"/>
          <wp:cNvGraphicFramePr/>
          <a:graphic xmlns:a="http://schemas.openxmlformats.org/drawingml/2006/main">
            <a:graphicData uri="http://schemas.openxmlformats.org/drawingml/2006/picture">
              <pic:pic xmlns:pic="http://schemas.openxmlformats.org/drawingml/2006/picture">
                <pic:nvPicPr>
                  <pic:cNvPr id="1073741826" name="fip_300dpi_est_e" descr="fip_300dpi_est_e"/>
                  <pic:cNvPicPr>
                    <a:picLocks noChangeAspect="1"/>
                  </pic:cNvPicPr>
                </pic:nvPicPr>
                <pic:blipFill>
                  <a:blip r:embed="rId1"/>
                  <a:srcRect r="87987"/>
                  <a:stretch>
                    <a:fillRect/>
                  </a:stretch>
                </pic:blipFill>
                <pic:spPr>
                  <a:xfrm>
                    <a:off x="0" y="0"/>
                    <a:ext cx="603505" cy="740664"/>
                  </a:xfrm>
                  <a:prstGeom prst="rect">
                    <a:avLst/>
                  </a:prstGeom>
                  <a:ln w="12700" cap="flat">
                    <a:noFill/>
                    <a:miter lim="400000"/>
                  </a:ln>
                  <a:effectLst/>
                </pic:spPr>
              </pic:pic>
            </a:graphicData>
          </a:graphic>
        </wp:anchor>
      </w:drawing>
    </w:r>
    <w:r>
      <w:rPr>
        <w:noProof/>
        <w:spacing w:val="-1"/>
        <w:sz w:val="20"/>
        <w:szCs w:val="20"/>
      </w:rPr>
      <w:drawing>
        <wp:anchor distT="152400" distB="152400" distL="152400" distR="152400" simplePos="0" relativeHeight="251658752" behindDoc="1" locked="0" layoutInCell="1" allowOverlap="1" wp14:anchorId="27A5F7EA" wp14:editId="25248D46">
          <wp:simplePos x="0" y="0"/>
          <wp:positionH relativeFrom="page">
            <wp:posOffset>6154039</wp:posOffset>
          </wp:positionH>
          <wp:positionV relativeFrom="page">
            <wp:posOffset>9537065</wp:posOffset>
          </wp:positionV>
          <wp:extent cx="813817" cy="237744"/>
          <wp:effectExtent l="0" t="0" r="0" b="0"/>
          <wp:wrapNone/>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2"/>
                  <a:stretch>
                    <a:fillRect/>
                  </a:stretch>
                </pic:blipFill>
                <pic:spPr>
                  <a:xfrm>
                    <a:off x="0" y="0"/>
                    <a:ext cx="813817" cy="237744"/>
                  </a:xfrm>
                  <a:prstGeom prst="rect">
                    <a:avLst/>
                  </a:prstGeom>
                  <a:ln w="12700" cap="flat">
                    <a:noFill/>
                    <a:miter lim="400000"/>
                  </a:ln>
                  <a:effectLst/>
                </pic:spPr>
              </pic:pic>
            </a:graphicData>
          </a:graphic>
        </wp:anchor>
      </w:drawing>
    </w:r>
    <w:r>
      <w:rPr>
        <w:spacing w:val="-1"/>
        <w:sz w:val="20"/>
        <w:szCs w:val="20"/>
        <w:lang w:val="en-US"/>
      </w:rPr>
      <w:t xml:space="preserve">Immigration </w:t>
    </w:r>
    <w:r>
      <w:rPr>
        <w:b/>
        <w:bCs/>
        <w:spacing w:val="-1"/>
        <w:sz w:val="20"/>
        <w:szCs w:val="20"/>
        <w:lang w:val="en-US"/>
      </w:rPr>
      <w:t>and</w:t>
    </w:r>
    <w:r>
      <w:rPr>
        <w:spacing w:val="-1"/>
        <w:sz w:val="20"/>
        <w:szCs w:val="20"/>
        <w:lang w:val="en-US"/>
      </w:rPr>
      <w:t xml:space="preserve"> Refugee</w:t>
    </w:r>
    <w:r>
      <w:rPr>
        <w:rFonts w:ascii="Arial Unicode MS" w:hAnsi="Arial Unicode MS"/>
        <w:spacing w:val="-1"/>
        <w:sz w:val="20"/>
        <w:szCs w:val="20"/>
        <w:lang w:val="en-US"/>
      </w:rPr>
      <w:br/>
    </w:r>
    <w:r>
      <w:rPr>
        <w:spacing w:val="-1"/>
        <w:sz w:val="20"/>
        <w:szCs w:val="20"/>
        <w:lang w:val="en-US"/>
      </w:rPr>
      <w:t>Board of Canada</w:t>
    </w:r>
  </w:p>
  <w:p w14:paraId="2CCDE87C" w14:textId="77777777" w:rsidR="00A03E39" w:rsidRDefault="00A03E39">
    <w:pPr>
      <w:pStyle w:val="Body"/>
      <w:spacing w:after="240"/>
      <w:ind w:left="540"/>
      <w:jc w:val="left"/>
      <w:rPr>
        <w:b/>
        <w:bCs/>
        <w:spacing w:val="-1"/>
        <w:sz w:val="20"/>
        <w:szCs w:val="20"/>
        <w:lang w:val="en-US"/>
      </w:rPr>
    </w:pPr>
  </w:p>
  <w:p w14:paraId="725CB516" w14:textId="77777777" w:rsidR="00A03E39" w:rsidRDefault="000823B8">
    <w:pPr>
      <w:pStyle w:val="Body"/>
      <w:spacing w:after="240"/>
      <w:ind w:left="540"/>
      <w:jc w:val="right"/>
      <w:rPr>
        <w:spacing w:val="-1"/>
        <w:sz w:val="20"/>
        <w:szCs w:val="20"/>
      </w:rPr>
    </w:pPr>
    <w:r>
      <w:rPr>
        <w:b/>
        <w:bCs/>
        <w:lang w:val="en-US"/>
      </w:rPr>
      <w:t>Refugee Appeal Division</w:t>
    </w:r>
    <w:r>
      <w:rPr>
        <w:b/>
        <w:bCs/>
        <w:lang w:val="en-US"/>
      </w:rPr>
      <w:tab/>
    </w:r>
    <w:r>
      <w:rPr>
        <w:b/>
        <w:bCs/>
        <w:lang w:val="en-US"/>
      </w:rPr>
      <w:tab/>
    </w:r>
    <w:r>
      <w:rPr>
        <w:spacing w:val="-1"/>
        <w:sz w:val="20"/>
        <w:szCs w:val="20"/>
      </w:rPr>
      <w:t>Commission de l’immigration</w:t>
    </w:r>
    <w:r>
      <w:rPr>
        <w:rFonts w:ascii="Arial Unicode MS" w:hAnsi="Arial Unicode MS"/>
        <w:spacing w:val="-1"/>
        <w:sz w:val="20"/>
        <w:szCs w:val="20"/>
      </w:rPr>
      <w:br/>
    </w:r>
    <w:r>
      <w:rPr>
        <w:spacing w:val="-1"/>
        <w:sz w:val="20"/>
        <w:szCs w:val="20"/>
      </w:rPr>
      <w:t>et du statut de réfugié du Canada</w:t>
    </w:r>
  </w:p>
  <w:p w14:paraId="699BF73D" w14:textId="77777777" w:rsidR="00A03E39" w:rsidRDefault="00A03E39">
    <w:pPr>
      <w:pStyle w:val="Body"/>
      <w:spacing w:after="240"/>
      <w:ind w:left="540"/>
      <w:jc w:val="right"/>
      <w:rPr>
        <w:b/>
        <w:bCs/>
        <w:spacing w:val="-1"/>
        <w:sz w:val="20"/>
        <w:szCs w:val="20"/>
      </w:rPr>
    </w:pPr>
  </w:p>
  <w:p w14:paraId="1F68CEE1" w14:textId="77777777" w:rsidR="00A03E39" w:rsidRDefault="000823B8">
    <w:pPr>
      <w:pStyle w:val="Body"/>
      <w:spacing w:after="240"/>
      <w:ind w:left="540"/>
      <w:jc w:val="right"/>
    </w:pPr>
    <w:r>
      <w:rPr>
        <w:b/>
        <w:bCs/>
        <w:spacing w:val="-1"/>
        <w:sz w:val="20"/>
        <w:szCs w:val="20"/>
      </w:rPr>
      <w:t>Section d’appel des réfugiés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E225B"/>
    <w:multiLevelType w:val="hybridMultilevel"/>
    <w:tmpl w:val="BB647D3E"/>
    <w:numStyleLink w:val="ImportedStyle1"/>
  </w:abstractNum>
  <w:abstractNum w:abstractNumId="1" w15:restartNumberingAfterBreak="0">
    <w:nsid w:val="63E16CE2"/>
    <w:multiLevelType w:val="hybridMultilevel"/>
    <w:tmpl w:val="BB647D3E"/>
    <w:styleLink w:val="ImportedStyle1"/>
    <w:lvl w:ilvl="0" w:tplc="284EAC42">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CAC2EDD6">
      <w:start w:val="1"/>
      <w:numFmt w:val="lowerLetter"/>
      <w:lvlText w:val="%2."/>
      <w:lvlJc w:val="left"/>
      <w:pPr>
        <w:tabs>
          <w:tab w:val="left" w:pos="720"/>
        </w:tabs>
        <w:ind w:left="578" w:hanging="502"/>
      </w:pPr>
      <w:rPr>
        <w:rFonts w:hAnsi="Arial Unicode MS"/>
        <w:caps w:val="0"/>
        <w:smallCaps w:val="0"/>
        <w:strike w:val="0"/>
        <w:dstrike w:val="0"/>
        <w:outline w:val="0"/>
        <w:emboss w:val="0"/>
        <w:imprint w:val="0"/>
        <w:spacing w:val="0"/>
        <w:w w:val="100"/>
        <w:kern w:val="0"/>
        <w:position w:val="0"/>
        <w:highlight w:val="none"/>
        <w:vertAlign w:val="baseline"/>
      </w:rPr>
    </w:lvl>
    <w:lvl w:ilvl="2" w:tplc="DAB05074">
      <w:start w:val="1"/>
      <w:numFmt w:val="lowerRoman"/>
      <w:lvlText w:val="%3."/>
      <w:lvlJc w:val="left"/>
      <w:pPr>
        <w:tabs>
          <w:tab w:val="left" w:pos="720"/>
        </w:tabs>
        <w:ind w:left="1298" w:hanging="442"/>
      </w:pPr>
      <w:rPr>
        <w:rFonts w:hAnsi="Arial Unicode MS"/>
        <w:caps w:val="0"/>
        <w:smallCaps w:val="0"/>
        <w:strike w:val="0"/>
        <w:dstrike w:val="0"/>
        <w:outline w:val="0"/>
        <w:emboss w:val="0"/>
        <w:imprint w:val="0"/>
        <w:spacing w:val="0"/>
        <w:w w:val="100"/>
        <w:kern w:val="0"/>
        <w:position w:val="0"/>
        <w:highlight w:val="none"/>
        <w:vertAlign w:val="baseline"/>
      </w:rPr>
    </w:lvl>
    <w:lvl w:ilvl="3" w:tplc="D22EDCE6">
      <w:start w:val="1"/>
      <w:numFmt w:val="decimal"/>
      <w:lvlText w:val="%4."/>
      <w:lvlJc w:val="left"/>
      <w:pPr>
        <w:tabs>
          <w:tab w:val="left" w:pos="720"/>
        </w:tabs>
        <w:ind w:left="2018" w:hanging="502"/>
      </w:pPr>
      <w:rPr>
        <w:rFonts w:hAnsi="Arial Unicode MS"/>
        <w:caps w:val="0"/>
        <w:smallCaps w:val="0"/>
        <w:strike w:val="0"/>
        <w:dstrike w:val="0"/>
        <w:outline w:val="0"/>
        <w:emboss w:val="0"/>
        <w:imprint w:val="0"/>
        <w:spacing w:val="0"/>
        <w:w w:val="100"/>
        <w:kern w:val="0"/>
        <w:position w:val="0"/>
        <w:highlight w:val="none"/>
        <w:vertAlign w:val="baseline"/>
      </w:rPr>
    </w:lvl>
    <w:lvl w:ilvl="4" w:tplc="21540F92">
      <w:start w:val="1"/>
      <w:numFmt w:val="lowerLetter"/>
      <w:lvlText w:val="%5."/>
      <w:lvlJc w:val="left"/>
      <w:pPr>
        <w:tabs>
          <w:tab w:val="left" w:pos="720"/>
        </w:tabs>
        <w:ind w:left="2738" w:hanging="502"/>
      </w:pPr>
      <w:rPr>
        <w:rFonts w:hAnsi="Arial Unicode MS"/>
        <w:caps w:val="0"/>
        <w:smallCaps w:val="0"/>
        <w:strike w:val="0"/>
        <w:dstrike w:val="0"/>
        <w:outline w:val="0"/>
        <w:emboss w:val="0"/>
        <w:imprint w:val="0"/>
        <w:spacing w:val="0"/>
        <w:w w:val="100"/>
        <w:kern w:val="0"/>
        <w:position w:val="0"/>
        <w:highlight w:val="none"/>
        <w:vertAlign w:val="baseline"/>
      </w:rPr>
    </w:lvl>
    <w:lvl w:ilvl="5" w:tplc="96049CD8">
      <w:start w:val="1"/>
      <w:numFmt w:val="lowerRoman"/>
      <w:lvlText w:val="%6."/>
      <w:lvlJc w:val="left"/>
      <w:pPr>
        <w:tabs>
          <w:tab w:val="left" w:pos="720"/>
        </w:tabs>
        <w:ind w:left="3458" w:hanging="442"/>
      </w:pPr>
      <w:rPr>
        <w:rFonts w:hAnsi="Arial Unicode MS"/>
        <w:caps w:val="0"/>
        <w:smallCaps w:val="0"/>
        <w:strike w:val="0"/>
        <w:dstrike w:val="0"/>
        <w:outline w:val="0"/>
        <w:emboss w:val="0"/>
        <w:imprint w:val="0"/>
        <w:spacing w:val="0"/>
        <w:w w:val="100"/>
        <w:kern w:val="0"/>
        <w:position w:val="0"/>
        <w:highlight w:val="none"/>
        <w:vertAlign w:val="baseline"/>
      </w:rPr>
    </w:lvl>
    <w:lvl w:ilvl="6" w:tplc="9BF4837E">
      <w:start w:val="1"/>
      <w:numFmt w:val="decimal"/>
      <w:lvlText w:val="%7."/>
      <w:lvlJc w:val="left"/>
      <w:pPr>
        <w:tabs>
          <w:tab w:val="left" w:pos="720"/>
        </w:tabs>
        <w:ind w:left="4178" w:hanging="502"/>
      </w:pPr>
      <w:rPr>
        <w:rFonts w:hAnsi="Arial Unicode MS"/>
        <w:caps w:val="0"/>
        <w:smallCaps w:val="0"/>
        <w:strike w:val="0"/>
        <w:dstrike w:val="0"/>
        <w:outline w:val="0"/>
        <w:emboss w:val="0"/>
        <w:imprint w:val="0"/>
        <w:spacing w:val="0"/>
        <w:w w:val="100"/>
        <w:kern w:val="0"/>
        <w:position w:val="0"/>
        <w:highlight w:val="none"/>
        <w:vertAlign w:val="baseline"/>
      </w:rPr>
    </w:lvl>
    <w:lvl w:ilvl="7" w:tplc="EC60B0D0">
      <w:start w:val="1"/>
      <w:numFmt w:val="lowerLetter"/>
      <w:lvlText w:val="%8."/>
      <w:lvlJc w:val="left"/>
      <w:pPr>
        <w:tabs>
          <w:tab w:val="left" w:pos="720"/>
        </w:tabs>
        <w:ind w:left="4898" w:hanging="502"/>
      </w:pPr>
      <w:rPr>
        <w:rFonts w:hAnsi="Arial Unicode MS"/>
        <w:caps w:val="0"/>
        <w:smallCaps w:val="0"/>
        <w:strike w:val="0"/>
        <w:dstrike w:val="0"/>
        <w:outline w:val="0"/>
        <w:emboss w:val="0"/>
        <w:imprint w:val="0"/>
        <w:spacing w:val="0"/>
        <w:w w:val="100"/>
        <w:kern w:val="0"/>
        <w:position w:val="0"/>
        <w:highlight w:val="none"/>
        <w:vertAlign w:val="baseline"/>
      </w:rPr>
    </w:lvl>
    <w:lvl w:ilvl="8" w:tplc="95B02AB8">
      <w:start w:val="1"/>
      <w:numFmt w:val="lowerRoman"/>
      <w:lvlText w:val="%9."/>
      <w:lvlJc w:val="left"/>
      <w:pPr>
        <w:tabs>
          <w:tab w:val="left" w:pos="720"/>
        </w:tabs>
        <w:ind w:left="5618" w:hanging="44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439518486">
    <w:abstractNumId w:val="1"/>
  </w:num>
  <w:num w:numId="2" w16cid:durableId="1857494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isplayBackgroundShape/>
  <w:proofState w:spelling="clean" w:grammar="clean"/>
  <w:defaultTabStop w:val="720"/>
  <w:characterSpacingControl w:val="doNotCompress"/>
  <w:footnotePr>
    <w:footnote w:id="-1"/>
    <w:footnote w:id="0"/>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E39"/>
    <w:rsid w:val="000823B8"/>
    <w:rsid w:val="0052040D"/>
    <w:rsid w:val="00A03E39"/>
    <w:rsid w:val="00BD49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DCBFD63"/>
  <w15:docId w15:val="{E370E9B5-E3DC-E64C-88D8-670DBEFD7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tabs>
        <w:tab w:val="left" w:pos="576"/>
        <w:tab w:val="left" w:pos="1008"/>
        <w:tab w:val="left" w:pos="1440"/>
        <w:tab w:val="left" w:pos="1872"/>
        <w:tab w:val="left" w:pos="2304"/>
        <w:tab w:val="left" w:pos="2736"/>
      </w:tabs>
      <w:jc w:val="both"/>
    </w:pPr>
    <w:rPr>
      <w:rFonts w:cs="Arial Unicode MS"/>
      <w:color w:val="000000"/>
      <w:spacing w:val="-2"/>
      <w:sz w:val="24"/>
      <w:szCs w:val="24"/>
      <w:u w:color="000000"/>
      <w:lang w:val="fr-FR"/>
      <w14:textOutline w14:w="0" w14:cap="flat" w14:cmpd="sng" w14:algn="ctr">
        <w14:noFill/>
        <w14:prstDash w14:val="solid"/>
        <w14:bevel/>
      </w14:textOutline>
    </w:rPr>
  </w:style>
  <w:style w:type="paragraph" w:customStyle="1" w:styleId="CGText">
    <w:name w:val="CG.Text"/>
    <w:next w:val="CGNormal"/>
    <w:pPr>
      <w:tabs>
        <w:tab w:val="left" w:pos="576"/>
        <w:tab w:val="left" w:pos="1008"/>
        <w:tab w:val="left" w:pos="1440"/>
        <w:tab w:val="left" w:pos="1872"/>
        <w:tab w:val="left" w:pos="2304"/>
        <w:tab w:val="left" w:pos="2736"/>
      </w:tabs>
      <w:spacing w:line="360" w:lineRule="auto"/>
      <w:jc w:val="both"/>
    </w:pPr>
    <w:rPr>
      <w:rFonts w:eastAsia="Times New Roman"/>
      <w:color w:val="000000"/>
      <w:spacing w:val="-2"/>
      <w:sz w:val="24"/>
      <w:szCs w:val="24"/>
      <w:u w:color="000000"/>
      <w:lang w:val="en-US"/>
    </w:rPr>
  </w:style>
  <w:style w:type="paragraph" w:customStyle="1" w:styleId="CGNormal">
    <w:name w:val="CG.Normal"/>
    <w:pPr>
      <w:tabs>
        <w:tab w:val="left" w:pos="576"/>
        <w:tab w:val="left" w:pos="1008"/>
        <w:tab w:val="left" w:pos="1440"/>
        <w:tab w:val="left" w:pos="1872"/>
        <w:tab w:val="left" w:pos="2304"/>
        <w:tab w:val="left" w:pos="2736"/>
      </w:tabs>
      <w:jc w:val="both"/>
    </w:pPr>
    <w:rPr>
      <w:rFonts w:eastAsia="Times New Roman"/>
      <w:color w:val="000000"/>
      <w:spacing w:val="-2"/>
      <w:sz w:val="24"/>
      <w:szCs w:val="24"/>
      <w:u w:color="000000"/>
      <w:lang w:val="en-US"/>
    </w:rPr>
  </w:style>
  <w:style w:type="character" w:customStyle="1" w:styleId="citationcar">
    <w:name w:val="citationcar"/>
  </w:style>
  <w:style w:type="paragraph" w:styleId="Header">
    <w:name w:val="header"/>
    <w:pPr>
      <w:tabs>
        <w:tab w:val="left" w:pos="576"/>
        <w:tab w:val="left" w:pos="1008"/>
        <w:tab w:val="left" w:pos="1440"/>
        <w:tab w:val="left" w:pos="1872"/>
        <w:tab w:val="left" w:pos="2304"/>
        <w:tab w:val="left" w:pos="2736"/>
        <w:tab w:val="center" w:pos="4320"/>
        <w:tab w:val="right" w:pos="8640"/>
      </w:tabs>
      <w:jc w:val="both"/>
    </w:pPr>
    <w:rPr>
      <w:rFonts w:ascii="Arial" w:hAnsi="Arial" w:cs="Arial Unicode MS"/>
      <w:color w:val="000000"/>
      <w:u w:color="000000"/>
      <w:lang w:val="en-US"/>
    </w:rPr>
  </w:style>
  <w:style w:type="paragraph" w:customStyle="1" w:styleId="CGTG">
    <w:name w:val="CGTG"/>
    <w:next w:val="Body"/>
    <w:pPr>
      <w:tabs>
        <w:tab w:val="left" w:pos="576"/>
        <w:tab w:val="left" w:pos="1008"/>
        <w:tab w:val="left" w:pos="1440"/>
        <w:tab w:val="left" w:pos="1872"/>
        <w:tab w:val="left" w:pos="2304"/>
        <w:tab w:val="left" w:pos="2736"/>
      </w:tabs>
      <w:spacing w:before="240" w:after="240" w:line="360" w:lineRule="auto"/>
      <w:jc w:val="center"/>
    </w:pPr>
    <w:rPr>
      <w:rFonts w:eastAsia="Times New Roman"/>
      <w:b/>
      <w:bCs/>
      <w:caps/>
      <w:color w:val="000000"/>
      <w:sz w:val="28"/>
      <w:szCs w:val="28"/>
      <w:u w:color="000000"/>
      <w:lang w:val="en-US"/>
    </w:rPr>
  </w:style>
  <w:style w:type="paragraph" w:customStyle="1" w:styleId="CG1H">
    <w:name w:val="CG.1H"/>
    <w:next w:val="CGPara"/>
    <w:pPr>
      <w:keepNext/>
      <w:tabs>
        <w:tab w:val="left" w:pos="576"/>
        <w:tab w:val="left" w:pos="1008"/>
        <w:tab w:val="left" w:pos="1440"/>
        <w:tab w:val="left" w:pos="1872"/>
        <w:tab w:val="left" w:pos="2304"/>
        <w:tab w:val="left" w:pos="2736"/>
        <w:tab w:val="left" w:pos="5040"/>
      </w:tabs>
      <w:spacing w:before="240" w:after="120" w:line="360" w:lineRule="auto"/>
      <w:jc w:val="both"/>
      <w:outlineLvl w:val="2"/>
    </w:pPr>
    <w:rPr>
      <w:rFonts w:eastAsia="Times New Roman"/>
      <w:b/>
      <w:bCs/>
      <w:caps/>
      <w:color w:val="000000"/>
      <w:spacing w:val="-2"/>
      <w:sz w:val="24"/>
      <w:szCs w:val="24"/>
      <w:u w:color="000000"/>
      <w:lang w:val="en-US"/>
    </w:rPr>
  </w:style>
  <w:style w:type="paragraph" w:customStyle="1" w:styleId="CGPara">
    <w:name w:val="CG.Para"/>
    <w:pPr>
      <w:tabs>
        <w:tab w:val="left" w:pos="576"/>
        <w:tab w:val="left" w:pos="720"/>
        <w:tab w:val="left" w:pos="862"/>
        <w:tab w:val="left" w:pos="1008"/>
        <w:tab w:val="left" w:pos="1440"/>
        <w:tab w:val="left" w:pos="1872"/>
        <w:tab w:val="left" w:pos="2304"/>
        <w:tab w:val="left" w:pos="2736"/>
      </w:tabs>
      <w:spacing w:before="240" w:after="120" w:line="360" w:lineRule="auto"/>
      <w:ind w:left="286" w:hanging="286"/>
      <w:jc w:val="both"/>
    </w:pPr>
    <w:rPr>
      <w:rFonts w:eastAsia="Times New Roman"/>
      <w:color w:val="000000"/>
      <w:sz w:val="24"/>
      <w:szCs w:val="24"/>
      <w:u w:color="000000"/>
      <w:lang w:val="en-US"/>
    </w:rPr>
  </w:style>
  <w:style w:type="numbering" w:customStyle="1" w:styleId="ImportedStyle1">
    <w:name w:val="Imported Style 1"/>
    <w:pPr>
      <w:numPr>
        <w:numId w:val="1"/>
      </w:numPr>
    </w:pPr>
  </w:style>
  <w:style w:type="character" w:styleId="EndnoteReference">
    <w:name w:val="endnote reference"/>
    <w:rPr>
      <w:vertAlign w:val="superscript"/>
    </w:rPr>
  </w:style>
  <w:style w:type="paragraph" w:styleId="EndnoteText">
    <w:name w:val="endnote text"/>
    <w:rPr>
      <w:rFonts w:eastAsia="Times New Roman"/>
      <w:color w:val="000000"/>
      <w:u w:color="000000"/>
    </w:rPr>
  </w:style>
  <w:style w:type="paragraph" w:styleId="Signature">
    <w:name w:val="Signature"/>
    <w:pPr>
      <w:ind w:left="58"/>
      <w:jc w:val="center"/>
    </w:pPr>
    <w:rPr>
      <w:rFonts w:cs="Arial Unicode MS"/>
      <w:b/>
      <w:bCs/>
      <w:color w:val="000000"/>
      <w:spacing w:val="-2"/>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3097</Words>
  <Characters>17656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Soliyana Yared</cp:lastModifiedBy>
  <cp:revision>2</cp:revision>
  <dcterms:created xsi:type="dcterms:W3CDTF">2022-06-20T15:02:00Z</dcterms:created>
  <dcterms:modified xsi:type="dcterms:W3CDTF">2022-06-20T15:48:00Z</dcterms:modified>
</cp:coreProperties>
</file>