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lear" w:pos="576"/>
          <w:tab w:val="clear" w:pos="1008"/>
          <w:tab w:val="clear" w:pos="1440"/>
          <w:tab w:val="clear" w:pos="1872"/>
          <w:tab w:val="clear" w:pos="2304"/>
          <w:tab w:val="clear" w:pos="2736"/>
        </w:tabs>
        <w:spacing w:before="0" w:after="0"/>
        <w:jc w:val="right"/>
        <w:rPr>
          <w:b w:val="1"/>
          <w:bCs w:val="1"/>
          <w:sz w:val="20"/>
          <w:szCs w:val="20"/>
        </w:rPr>
      </w:pP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 / Dossier de la SAR</w:t>
      </w:r>
      <w:r>
        <w:rPr>
          <w:b w:val="1"/>
          <w:bCs w:val="1"/>
          <w:sz w:val="22"/>
          <w:szCs w:val="22"/>
          <w:rtl w:val="0"/>
        </w:rPr>
        <w:t> </w:t>
      </w:r>
      <w:r>
        <w:rPr>
          <w:b w:val="1"/>
          <w:bCs w:val="1"/>
          <w:sz w:val="22"/>
          <w:szCs w:val="22"/>
          <w:rtl w:val="0"/>
        </w:rPr>
        <w:t>: MC011075</w:t>
      </w: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en-US"/>
        </w:rPr>
        <w:t>MC011076 / MC011077 / MC011078</w:t>
      </w:r>
    </w:p>
    <w:p>
      <w:pPr>
        <w:pStyle w:val="Body"/>
        <w:tabs>
          <w:tab w:val="clear" w:pos="576"/>
          <w:tab w:val="clear" w:pos="1008"/>
          <w:tab w:val="clear" w:pos="1440"/>
          <w:tab w:val="clear" w:pos="1872"/>
          <w:tab w:val="clear" w:pos="2304"/>
          <w:tab w:val="clear" w:pos="2736"/>
        </w:tabs>
        <w:spacing w:before="0" w:after="0"/>
        <w:jc w:val="right"/>
        <w:rPr>
          <w:rStyle w:val="solexhl"/>
          <w:sz w:val="20"/>
          <w:szCs w:val="20"/>
          <w:lang w:val="en-US"/>
        </w:rPr>
      </w:pPr>
    </w:p>
    <w:p>
      <w:pPr>
        <w:pStyle w:val="header"/>
        <w:tabs>
          <w:tab w:val="clear" w:pos="576"/>
          <w:tab w:val="clear" w:pos="1008"/>
          <w:tab w:val="clear" w:pos="1440"/>
          <w:tab w:val="clear" w:pos="1872"/>
          <w:tab w:val="clear" w:pos="2304"/>
          <w:tab w:val="clear" w:pos="2736"/>
          <w:tab w:val="clear" w:pos="4320"/>
          <w:tab w:val="clear" w:pos="8640"/>
        </w:tabs>
        <w:jc w:val="right"/>
        <w:rPr>
          <w:rFonts w:ascii="Times New Roman" w:cs="Times New Roman" w:hAnsi="Times New Roman" w:eastAsia="Times New Roman"/>
          <w:b w:val="1"/>
          <w:bCs w:val="1"/>
          <w:i w:val="1"/>
          <w:iCs w:val="1"/>
          <w:sz w:val="22"/>
          <w:szCs w:val="22"/>
        </w:rPr>
      </w:pPr>
      <w:r>
        <w:rPr>
          <w:rFonts w:ascii="Times New Roman" w:hAnsi="Times New Roman"/>
          <w:b w:val="1"/>
          <w:bCs w:val="1"/>
          <w:i w:val="1"/>
          <w:iCs w:val="1"/>
          <w:sz w:val="22"/>
          <w:szCs w:val="22"/>
          <w:rtl w:val="0"/>
          <w:lang w:val="en-US"/>
        </w:rPr>
        <w:t>Private Proceeding / Huis clos</w:t>
      </w:r>
    </w:p>
    <w:p>
      <w:pPr>
        <w:pStyle w:val="header"/>
        <w:tabs>
          <w:tab w:val="clear" w:pos="576"/>
          <w:tab w:val="clear" w:pos="1008"/>
          <w:tab w:val="clear" w:pos="1440"/>
          <w:tab w:val="clear" w:pos="1872"/>
          <w:tab w:val="clear" w:pos="2304"/>
          <w:tab w:val="clear" w:pos="2736"/>
          <w:tab w:val="clear" w:pos="4320"/>
          <w:tab w:val="clear" w:pos="8640"/>
        </w:tabs>
        <w:rPr>
          <w:rFonts w:ascii="Times New Roman" w:cs="Times New Roman" w:hAnsi="Times New Roman" w:eastAsia="Times New Roman"/>
          <w:sz w:val="22"/>
          <w:szCs w:val="22"/>
          <w:lang w:val="en-US"/>
        </w:rPr>
      </w:pPr>
    </w:p>
    <w:p>
      <w:pPr>
        <w:pStyle w:val="Body"/>
        <w:keepNext w:val="1"/>
        <w:spacing w:after="240"/>
        <w:jc w:val="center"/>
        <w:outlineLvl w:val="1"/>
        <w:rPr>
          <w:b w:val="1"/>
          <w:bCs w:val="1"/>
          <w:sz w:val="32"/>
          <w:szCs w:val="32"/>
        </w:rPr>
      </w:pPr>
      <w:r>
        <w:rPr>
          <w:b w:val="1"/>
          <w:bCs w:val="1"/>
          <w:sz w:val="32"/>
          <w:szCs w:val="32"/>
          <w:rtl w:val="0"/>
          <w:lang w:val="en-US"/>
        </w:rPr>
        <w:t xml:space="preserve">Reasons and decision </w:t>
      </w:r>
      <w:r>
        <w:rPr>
          <w:rFonts w:ascii="Symbol" w:hAnsi="Symbol" w:hint="default"/>
          <w:sz w:val="32"/>
          <w:szCs w:val="32"/>
          <w:rtl w:val="0"/>
          <w:lang w:val="fr-FR"/>
        </w:rPr>
        <w:t>-</w:t>
      </w:r>
      <w:r>
        <w:rPr>
          <w:b w:val="1"/>
          <w:bCs w:val="1"/>
          <w:sz w:val="32"/>
          <w:szCs w:val="32"/>
          <w:rtl w:val="0"/>
          <w:lang w:val="fr-FR"/>
        </w:rPr>
        <w:t xml:space="preserve"> Motifs et d</w:t>
      </w:r>
      <w:r>
        <w:rPr>
          <w:b w:val="1"/>
          <w:bCs w:val="1"/>
          <w:sz w:val="32"/>
          <w:szCs w:val="32"/>
          <w:rtl w:val="0"/>
          <w:lang w:val="fr-FR"/>
        </w:rPr>
        <w:t>é</w:t>
      </w:r>
      <w:r>
        <w:rPr>
          <w:b w:val="1"/>
          <w:bCs w:val="1"/>
          <w:sz w:val="32"/>
          <w:szCs w:val="32"/>
          <w:rtl w:val="0"/>
          <w:lang w:val="it-IT"/>
        </w:rPr>
        <w:t>cision</w:t>
      </w:r>
    </w:p>
    <w:p>
      <w:pPr>
        <w:pStyle w:val="header"/>
        <w:tabs>
          <w:tab w:val="clear" w:pos="576"/>
          <w:tab w:val="clear" w:pos="1008"/>
          <w:tab w:val="clear" w:pos="1440"/>
          <w:tab w:val="clear" w:pos="1872"/>
          <w:tab w:val="clear" w:pos="2304"/>
          <w:tab w:val="clear" w:pos="2736"/>
          <w:tab w:val="clear" w:pos="4320"/>
          <w:tab w:val="clear" w:pos="8640"/>
        </w:tabs>
        <w:rPr>
          <w:rFonts w:ascii="Times New Roman" w:cs="Times New Roman" w:hAnsi="Times New Roman" w:eastAsia="Times New Roman"/>
          <w:sz w:val="22"/>
          <w:szCs w:val="22"/>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10"/>
        <w:gridCol w:w="4961"/>
        <w:gridCol w:w="1989"/>
      </w:tblGrid>
      <w:tr>
        <w:tblPrEx>
          <w:shd w:val="clear" w:color="auto" w:fill="ced7e7"/>
        </w:tblPrEx>
        <w:trPr>
          <w:trHeight w:val="910"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Persons who are the subject of the appeal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b w:val="1"/>
                <w:bCs w:val="1"/>
                <w:shd w:val="nil" w:color="auto" w:fill="auto"/>
                <w:rtl w:val="0"/>
                <w:lang w:val="en-US"/>
              </w:rPr>
              <w:t>Manuel Rafael Vanegas Vel</w:t>
            </w:r>
            <w:r>
              <w:rPr>
                <w:b w:val="1"/>
                <w:bCs w:val="1"/>
                <w:shd w:val="nil" w:color="auto" w:fill="auto"/>
                <w:rtl w:val="0"/>
                <w:lang w:val="en-US"/>
              </w:rPr>
              <w:t>á</w:t>
            </w:r>
            <w:r>
              <w:rPr>
                <w:b w:val="1"/>
                <w:bCs w:val="1"/>
                <w:shd w:val="nil" w:color="auto" w:fill="auto"/>
                <w:rtl w:val="0"/>
                <w:lang w:val="en-US"/>
              </w:rPr>
              <w:t xml:space="preserve">squez </w:t>
            </w:r>
            <w:r>
              <w:rPr>
                <w:b w:val="1"/>
                <w:bCs w:val="1"/>
                <w:shd w:val="nil" w:color="auto" w:fill="auto"/>
                <w:rtl w:val="0"/>
                <w:lang w:val="en-US"/>
              </w:rPr>
              <w:t xml:space="preserve">and </w:t>
            </w:r>
            <w:r>
              <w:rPr>
                <w:b w:val="1"/>
                <w:bCs w:val="1"/>
                <w:shd w:val="nil" w:color="auto" w:fill="auto"/>
                <w:rtl w:val="0"/>
                <w:lang w:val="en-US"/>
              </w:rPr>
              <w:t xml:space="preserve">Tatiana Catalina Amaya Aguilar </w:t>
            </w:r>
            <w:r>
              <w:rPr>
                <w:b w:val="1"/>
                <w:bCs w:val="1"/>
                <w:shd w:val="nil" w:color="auto" w:fill="auto"/>
                <w:rtl w:val="0"/>
                <w:lang w:val="en-US"/>
              </w:rPr>
              <w:t xml:space="preserve">and </w:t>
            </w:r>
            <w:r>
              <w:rPr>
                <w:b w:val="1"/>
                <w:bCs w:val="1"/>
                <w:shd w:val="nil" w:color="auto" w:fill="auto"/>
                <w:rtl w:val="0"/>
                <w:lang w:val="en-US"/>
              </w:rPr>
              <w:t>Milena Aguilar Vel</w:t>
            </w:r>
            <w:r>
              <w:rPr>
                <w:b w:val="1"/>
                <w:bCs w:val="1"/>
                <w:shd w:val="nil" w:color="auto" w:fill="auto"/>
                <w:rtl w:val="0"/>
                <w:lang w:val="en-US"/>
              </w:rPr>
              <w:t>á</w:t>
            </w:r>
            <w:r>
              <w:rPr>
                <w:b w:val="1"/>
                <w:bCs w:val="1"/>
                <w:shd w:val="nil" w:color="auto" w:fill="auto"/>
                <w:rtl w:val="0"/>
                <w:lang w:val="en-US"/>
              </w:rPr>
              <w:t>squez</w:t>
            </w:r>
            <w:r>
              <w:rPr>
                <w:b w:val="1"/>
                <w:bCs w:val="1"/>
                <w:shd w:val="nil" w:color="auto" w:fill="auto"/>
                <w:rtl w:val="0"/>
                <w:lang w:val="en-US"/>
              </w:rPr>
              <w:t xml:space="preserve"> and </w:t>
            </w:r>
            <w:r>
              <w:rPr>
                <w:b w:val="1"/>
                <w:bCs w:val="1"/>
                <w:shd w:val="nil" w:color="auto" w:fill="auto"/>
                <w:rtl w:val="0"/>
                <w:lang w:val="en-US"/>
              </w:rPr>
              <w:t>Patricia Aguilar Vel</w:t>
            </w:r>
            <w:r>
              <w:rPr>
                <w:b w:val="1"/>
                <w:bCs w:val="1"/>
                <w:shd w:val="nil" w:color="auto" w:fill="auto"/>
                <w:rtl w:val="0"/>
                <w:lang w:val="en-US"/>
              </w:rPr>
              <w:t>á</w:t>
            </w:r>
            <w:r>
              <w:rPr>
                <w:b w:val="1"/>
                <w:bCs w:val="1"/>
                <w:shd w:val="nil" w:color="auto" w:fill="auto"/>
                <w:rtl w:val="0"/>
                <w:lang w:val="en-US"/>
              </w:rPr>
              <w:t>squez</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Personnes en cause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 xml:space="preserve">Appeal considered / heard at </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after="0"/>
              <w:jc w:val="center"/>
            </w:pPr>
            <w:r>
              <w:rPr>
                <w:rFonts w:ascii="Times New Roman" w:hAnsi="Times New Roman"/>
                <w:sz w:val="24"/>
                <w:szCs w:val="24"/>
                <w:shd w:val="nil" w:color="auto" w:fill="auto"/>
                <w:rtl w:val="0"/>
                <w:lang w:val="en-US"/>
              </w:rPr>
              <w:t>Ottawa, ON</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 xml:space="preserve">Appel instruit / entendu </w:t>
            </w:r>
            <w:r>
              <w:rPr>
                <w:b w:val="1"/>
                <w:bCs w:val="1"/>
                <w:spacing w:val="-1"/>
                <w:sz w:val="20"/>
                <w:szCs w:val="20"/>
                <w:shd w:val="nil" w:color="auto" w:fill="auto"/>
                <w:rtl w:val="0"/>
                <w:lang w:val="fr-FR"/>
              </w:rPr>
              <w:t>à</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212"/>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fr-FR"/>
              </w:rPr>
              <w:t xml:space="preserve">Date of decision </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fr-FR"/>
              </w:rPr>
              <w:t>March 3 2021</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Date de la d</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 xml:space="preserve">cision </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fr-FR"/>
              </w:rPr>
              <w:t>Panel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fr-FR"/>
              </w:rPr>
              <w:t>Pamela Arnott</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Tribunal</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persons who are the subject of the appeal</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 xml:space="preserve">Robin Dejardin </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after="0"/>
              <w:jc w:val="left"/>
            </w:pPr>
            <w:r>
              <w:rPr>
                <w:rFonts w:ascii="Times New Roman" w:hAnsi="Times New Roman"/>
                <w:b w:val="1"/>
                <w:bCs w:val="1"/>
                <w:shd w:val="nil" w:color="auto" w:fill="auto"/>
                <w:rtl w:val="0"/>
                <w:lang w:val="fr-FR"/>
              </w:rPr>
              <w:t>Conseil des personnes en cause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52"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Designated representative</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Luis</w:t>
            </w:r>
            <w:r>
              <w:rPr>
                <w:shd w:val="nil" w:color="auto" w:fill="auto"/>
                <w:rtl w:val="0"/>
                <w:lang w:val="en-US"/>
              </w:rPr>
              <w:t xml:space="preserve"> </w:t>
            </w:r>
            <w:r>
              <w:rPr>
                <w:shd w:val="nil" w:color="auto" w:fill="auto"/>
                <w:rtl w:val="0"/>
                <w:lang w:val="en-US"/>
              </w:rPr>
              <w:t>Fernando</w:t>
            </w:r>
            <w:r>
              <w:rPr>
                <w:shd w:val="nil" w:color="auto" w:fill="auto"/>
                <w:rtl w:val="0"/>
                <w:lang w:val="en-US"/>
              </w:rPr>
              <w:t xml:space="preserve"> </w:t>
            </w:r>
            <w:r>
              <w:rPr>
                <w:shd w:val="nil" w:color="auto" w:fill="auto"/>
                <w:rtl w:val="0"/>
                <w:lang w:val="en-US"/>
              </w:rPr>
              <w:t>L</w:t>
            </w:r>
            <w:r>
              <w:rPr>
                <w:shd w:val="nil" w:color="auto" w:fill="auto"/>
                <w:rtl w:val="0"/>
                <w:lang w:val="en-US"/>
              </w:rPr>
              <w:t>ó</w:t>
            </w:r>
            <w:r>
              <w:rPr>
                <w:shd w:val="nil" w:color="auto" w:fill="auto"/>
                <w:rtl w:val="0"/>
                <w:lang w:val="en-US"/>
              </w:rPr>
              <w:t>pez</w:t>
            </w:r>
            <w:r>
              <w:rPr>
                <w:shd w:val="nil" w:color="auto" w:fill="auto"/>
                <w:rtl w:val="0"/>
                <w:lang w:val="en-US"/>
              </w:rPr>
              <w:t xml:space="preserve"> </w:t>
            </w:r>
            <w:r>
              <w:rPr>
                <w:shd w:val="nil" w:color="auto" w:fill="auto"/>
                <w:rtl w:val="0"/>
                <w:lang w:val="en-US"/>
              </w:rPr>
              <w:t>Paredes</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Repr</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sentant(e) d</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sign</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fr-FR"/>
              </w:rPr>
              <w:t>Counsel for the Minister</w:t>
            </w:r>
          </w:p>
        </w:tc>
        <w:tc>
          <w:tcPr>
            <w:tcW w:type="dxa" w:w="4961"/>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1989"/>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Conseil du ministre</w:t>
            </w:r>
          </w:p>
        </w:tc>
      </w:tr>
      <w:tr>
        <w:tblPrEx>
          <w:shd w:val="clear" w:color="auto" w:fill="ced7e7"/>
        </w:tblPrEx>
        <w:trPr>
          <w:trHeight w:val="407" w:hRule="atLeast"/>
        </w:trPr>
        <w:tc>
          <w:tcPr>
            <w:tcW w:type="dxa" w:w="2410"/>
            <w:tcBorders>
              <w:top w:val="nil"/>
              <w:left w:val="nil"/>
              <w:bottom w:val="nil"/>
              <w:right w:val="nil"/>
            </w:tcBorders>
            <w:shd w:val="clear" w:color="auto" w:fill="auto"/>
            <w:tcMar>
              <w:top w:type="dxa" w:w="80"/>
              <w:left w:type="dxa" w:w="80"/>
              <w:bottom w:type="dxa" w:w="80"/>
              <w:right w:type="dxa" w:w="80"/>
            </w:tcMar>
            <w:vAlign w:val="top"/>
          </w:tcPr>
          <w:p/>
        </w:tc>
        <w:tc>
          <w:tcPr>
            <w:tcW w:type="dxa" w:w="4961"/>
            <w:tcBorders>
              <w:top w:val="nil"/>
              <w:left w:val="nil"/>
              <w:bottom w:val="nil"/>
              <w:right w:val="nil"/>
            </w:tcBorders>
            <w:shd w:val="clear" w:color="auto" w:fill="auto"/>
            <w:tcMar>
              <w:top w:type="dxa" w:w="80"/>
              <w:left w:type="dxa" w:w="80"/>
              <w:bottom w:type="dxa" w:w="80"/>
              <w:right w:type="dxa" w:w="80"/>
            </w:tcMar>
            <w:vAlign w:val="top"/>
          </w:tcPr>
          <w:p/>
        </w:tc>
        <w:tc>
          <w:tcPr>
            <w:tcW w:type="dxa" w:w="1989"/>
            <w:tcBorders>
              <w:top w:val="nil"/>
              <w:left w:val="nil"/>
              <w:bottom w:val="nil"/>
              <w:right w:val="nil"/>
            </w:tcBorders>
            <w:shd w:val="clear" w:color="auto" w:fill="auto"/>
            <w:tcMar>
              <w:top w:type="dxa" w:w="80"/>
              <w:left w:type="dxa" w:w="80"/>
              <w:bottom w:type="dxa" w:w="80"/>
              <w:right w:type="dxa" w:w="80"/>
            </w:tcMar>
            <w:vAlign w:val="top"/>
          </w:tcPr>
          <w:p/>
        </w:tc>
      </w:tr>
    </w:tbl>
    <w:p>
      <w:pPr>
        <w:pStyle w:val="header"/>
        <w:widowControl w:val="0"/>
        <w:tabs>
          <w:tab w:val="clear" w:pos="576"/>
          <w:tab w:val="clear" w:pos="1008"/>
          <w:tab w:val="clear" w:pos="1440"/>
          <w:tab w:val="clear" w:pos="1872"/>
          <w:tab w:val="clear" w:pos="2304"/>
          <w:tab w:val="clear" w:pos="2736"/>
          <w:tab w:val="clear" w:pos="4320"/>
          <w:tab w:val="clear" w:pos="8640"/>
        </w:tabs>
        <w:jc w:val="center"/>
        <w:rPr>
          <w:rFonts w:ascii="Times New Roman" w:cs="Times New Roman" w:hAnsi="Times New Roman" w:eastAsia="Times New Roman"/>
          <w:sz w:val="22"/>
          <w:szCs w:val="22"/>
        </w:rPr>
      </w:pPr>
    </w:p>
    <w:p>
      <w:pPr>
        <w:pStyle w:val="Body"/>
        <w:tabs>
          <w:tab w:val="clear" w:pos="576"/>
          <w:tab w:val="clear" w:pos="1008"/>
          <w:tab w:val="clear" w:pos="1440"/>
          <w:tab w:val="clear" w:pos="1872"/>
          <w:tab w:val="clear" w:pos="2304"/>
          <w:tab w:val="clear" w:pos="2736"/>
        </w:tabs>
        <w:spacing w:before="0" w:after="0"/>
        <w:jc w:val="left"/>
      </w:pPr>
      <w:r>
        <w:rPr>
          <w:rFonts w:ascii="Arial Unicode MS" w:cs="Arial Unicode MS" w:hAnsi="Arial Unicode MS" w:eastAsia="Arial Unicode MS"/>
          <w:b w:val="0"/>
          <w:bCs w:val="0"/>
          <w:i w:val="0"/>
          <w:iCs w:val="0"/>
          <w:sz w:val="28"/>
          <w:szCs w:val="28"/>
        </w:rPr>
        <w:br w:type="page"/>
      </w:r>
    </w:p>
    <w:p>
      <w:pPr>
        <w:pStyle w:val="Body"/>
        <w:rPr>
          <w:rStyle w:val="solexhl"/>
        </w:rPr>
      </w:pPr>
    </w:p>
    <w:p>
      <w:pPr>
        <w:pStyle w:val="Body"/>
        <w:tabs>
          <w:tab w:val="left" w:pos="5040"/>
        </w:tabs>
        <w:spacing w:before="240" w:after="240" w:line="360" w:lineRule="auto"/>
        <w:jc w:val="center"/>
        <w:outlineLvl w:val="2"/>
        <w:rPr>
          <w:b w:val="1"/>
          <w:bCs w:val="1"/>
          <w:sz w:val="28"/>
          <w:szCs w:val="28"/>
        </w:rPr>
      </w:pPr>
      <w:r>
        <w:rPr>
          <w:b w:val="1"/>
          <w:bCs w:val="1"/>
          <w:sz w:val="28"/>
          <w:szCs w:val="28"/>
          <w:rtl w:val="0"/>
          <w:lang w:val="de-DE"/>
        </w:rPr>
        <w:t>REASONS FOR DECISION</w:t>
      </w:r>
    </w:p>
    <w:p>
      <w:pPr>
        <w:pStyle w:val="Body"/>
        <w:tabs>
          <w:tab w:val="left" w:pos="5040"/>
        </w:tabs>
        <w:spacing w:before="240" w:line="360" w:lineRule="auto"/>
        <w:outlineLvl w:val="2"/>
        <w:rPr>
          <w:sz w:val="20"/>
          <w:szCs w:val="20"/>
        </w:rPr>
      </w:pPr>
      <w:r>
        <w:rPr>
          <w:b w:val="1"/>
          <w:bCs w:val="1"/>
          <w:rtl w:val="0"/>
          <w:lang w:val="en-US"/>
        </w:rPr>
        <w:t>OVERVIEW</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Manuel</w:t>
      </w:r>
      <w:r>
        <w:rPr>
          <w:rFonts w:ascii="Times New Roman" w:hAnsi="Times New Roman"/>
          <w:sz w:val="24"/>
          <w:szCs w:val="24"/>
          <w:rtl w:val="0"/>
          <w:lang w:val="en-US"/>
        </w:rPr>
        <w:t xml:space="preserve"> </w:t>
      </w:r>
      <w:r>
        <w:rPr>
          <w:rFonts w:ascii="Times New Roman" w:hAnsi="Times New Roman"/>
          <w:sz w:val="24"/>
          <w:szCs w:val="24"/>
          <w:rtl w:val="0"/>
          <w:lang w:val="en-US"/>
        </w:rPr>
        <w:t>Rafael</w:t>
      </w:r>
      <w:r>
        <w:rPr>
          <w:rFonts w:ascii="Times New Roman" w:hAnsi="Times New Roman"/>
          <w:sz w:val="24"/>
          <w:szCs w:val="24"/>
          <w:rtl w:val="0"/>
          <w:lang w:val="en-US"/>
        </w:rPr>
        <w:t xml:space="preserve">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(Principal Appellant) and </w:t>
      </w:r>
      <w:r>
        <w:rPr>
          <w:rFonts w:ascii="Times New Roman" w:hAnsi="Times New Roman"/>
          <w:sz w:val="24"/>
          <w:szCs w:val="24"/>
          <w:rtl w:val="0"/>
          <w:lang w:val="en-US"/>
        </w:rPr>
        <w:t>Tatiana</w:t>
      </w:r>
      <w:r>
        <w:rPr>
          <w:rFonts w:ascii="Times New Roman" w:hAnsi="Times New Roman"/>
          <w:sz w:val="24"/>
          <w:szCs w:val="24"/>
          <w:rtl w:val="0"/>
          <w:lang w:val="en-US"/>
        </w:rPr>
        <w:t xml:space="preserve"> </w:t>
      </w:r>
      <w:r>
        <w:rPr>
          <w:rFonts w:ascii="Times New Roman" w:hAnsi="Times New Roman"/>
          <w:sz w:val="24"/>
          <w:szCs w:val="24"/>
          <w:rtl w:val="0"/>
          <w:lang w:val="en-US"/>
        </w:rPr>
        <w:t>Catalina</w:t>
      </w:r>
      <w:r>
        <w:rPr>
          <w:rFonts w:ascii="Times New Roman" w:hAnsi="Times New Roman"/>
          <w:sz w:val="24"/>
          <w:szCs w:val="24"/>
          <w:rtl w:val="0"/>
          <w:lang w:val="en-US"/>
        </w:rPr>
        <w:t xml:space="preserve"> </w:t>
      </w:r>
      <w:r>
        <w:rPr>
          <w:rFonts w:ascii="Times New Roman" w:hAnsi="Times New Roman"/>
          <w:sz w:val="24"/>
          <w:szCs w:val="24"/>
          <w:rtl w:val="0"/>
          <w:lang w:val="en-US"/>
        </w:rPr>
        <w:t>Amaya</w:t>
      </w:r>
      <w:r>
        <w:rPr>
          <w:rFonts w:ascii="Times New Roman" w:hAnsi="Times New Roman"/>
          <w:sz w:val="24"/>
          <w:szCs w:val="24"/>
          <w:rtl w:val="0"/>
          <w:lang w:val="en-US"/>
        </w:rPr>
        <w:t xml:space="preserve"> </w:t>
      </w:r>
      <w:r>
        <w:rPr>
          <w:rFonts w:ascii="Times New Roman" w:hAnsi="Times New Roman"/>
          <w:sz w:val="24"/>
          <w:szCs w:val="24"/>
          <w:rtl w:val="0"/>
          <w:lang w:val="en-US"/>
        </w:rPr>
        <w:t>Aguilar</w:t>
      </w:r>
      <w:r>
        <w:rPr>
          <w:rFonts w:ascii="Times New Roman" w:hAnsi="Times New Roman"/>
          <w:sz w:val="24"/>
          <w:szCs w:val="24"/>
          <w:rtl w:val="0"/>
          <w:lang w:val="en-US"/>
        </w:rPr>
        <w:t xml:space="preserve">, </w:t>
      </w:r>
      <w:r>
        <w:rPr>
          <w:rFonts w:ascii="Times New Roman" w:hAnsi="Times New Roman"/>
          <w:sz w:val="24"/>
          <w:szCs w:val="24"/>
          <w:rtl w:val="0"/>
          <w:lang w:val="en-US"/>
        </w:rPr>
        <w:t>Milena</w:t>
      </w:r>
      <w:r>
        <w:rPr>
          <w:rFonts w:ascii="Times New Roman" w:hAnsi="Times New Roman"/>
          <w:sz w:val="24"/>
          <w:szCs w:val="24"/>
          <w:rtl w:val="0"/>
          <w:lang w:val="en-US"/>
        </w:rPr>
        <w:t xml:space="preserve"> </w:t>
      </w:r>
      <w:r>
        <w:rPr>
          <w:rFonts w:ascii="Times New Roman" w:hAnsi="Times New Roman"/>
          <w:sz w:val="24"/>
          <w:szCs w:val="24"/>
          <w:rtl w:val="0"/>
          <w:lang w:val="en-US"/>
        </w:rPr>
        <w:t>Aguilar</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w:t>
      </w:r>
      <w:r>
        <w:rPr>
          <w:rFonts w:ascii="Times New Roman" w:hAnsi="Times New Roman"/>
          <w:sz w:val="24"/>
          <w:szCs w:val="24"/>
          <w:rtl w:val="0"/>
          <w:lang w:val="en-US"/>
        </w:rPr>
        <w:t>Patricia</w:t>
      </w:r>
      <w:r>
        <w:rPr>
          <w:rFonts w:ascii="Times New Roman" w:hAnsi="Times New Roman"/>
          <w:sz w:val="24"/>
          <w:szCs w:val="24"/>
          <w:rtl w:val="0"/>
          <w:lang w:val="en-US"/>
        </w:rPr>
        <w:t xml:space="preserve"> </w:t>
      </w:r>
      <w:r>
        <w:rPr>
          <w:rFonts w:ascii="Times New Roman" w:hAnsi="Times New Roman"/>
          <w:sz w:val="24"/>
          <w:szCs w:val="24"/>
          <w:rtl w:val="0"/>
          <w:lang w:val="en-US"/>
        </w:rPr>
        <w:t>Aguilar</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(Associate Appellants) are citizens of Colombia. They fear a criminal group, the Black Eagles, due to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involvement in the 2014 and 2018 regional elections in </w:t>
      </w:r>
      <w:r>
        <w:rPr>
          <w:rFonts w:ascii="Times New Roman" w:hAnsi="Times New Roman"/>
          <w:sz w:val="24"/>
          <w:szCs w:val="24"/>
          <w:rtl w:val="0"/>
          <w:lang w:val="en-US"/>
        </w:rPr>
        <w:t>Santander</w:t>
      </w:r>
      <w:r>
        <w:rPr>
          <w:rFonts w:ascii="Times New Roman" w:hAnsi="Times New Roman"/>
          <w:sz w:val="24"/>
          <w:szCs w:val="24"/>
          <w:rtl w:val="0"/>
          <w:lang w:val="en-US"/>
        </w:rPr>
        <w:t>. Their claim was denied by the Refugee Protection Division (RPD) based on credibility findings. The Appellants allege that the COVID-19 measures imposed at the RPD hearing created an unfair hearing and led to adverse findings against them. They also argue that the RPD failed to understand their evidence and to apply the presumption of truth or the benefit of the doubt to their evidence.</w:t>
      </w:r>
    </w:p>
    <w:p>
      <w:pPr>
        <w:pStyle w:val="Body"/>
        <w:tabs>
          <w:tab w:val="left" w:pos="2415"/>
          <w:tab w:val="clear" w:pos="1440"/>
          <w:tab w:val="clear" w:pos="1872"/>
          <w:tab w:val="clear" w:pos="2304"/>
          <w:tab w:val="clear" w:pos="2736"/>
        </w:tabs>
        <w:spacing w:before="240" w:line="360" w:lineRule="auto"/>
        <w:outlineLvl w:val="2"/>
        <w:rPr>
          <w:b w:val="1"/>
          <w:bCs w:val="1"/>
        </w:rPr>
      </w:pPr>
      <w:r>
        <w:rPr>
          <w:b w:val="1"/>
          <w:bCs w:val="1"/>
          <w:rtl w:val="0"/>
          <w:lang w:val="es-ES_tradnl"/>
        </w:rPr>
        <w:t>DECISION</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dismiss the appeal. The RPD was correct in finding that the Appellants are neither Convention refugees nor persons in need of protection.</w:t>
      </w:r>
    </w:p>
    <w:p>
      <w:pPr>
        <w:pStyle w:val="List Paragraph"/>
        <w:tabs>
          <w:tab w:val="left" w:pos="709"/>
        </w:tabs>
        <w:spacing w:before="240" w:after="12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BACKGROUND</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Appellants fear a criminal group in Columbia, the Black Eagles, due to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involvement in the Colombian Conservative Party (PCC).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and Ms. </w:t>
      </w:r>
      <w:r>
        <w:rPr>
          <w:rFonts w:ascii="Times New Roman" w:hAnsi="Times New Roman"/>
          <w:sz w:val="24"/>
          <w:szCs w:val="24"/>
          <w:rtl w:val="0"/>
          <w:lang w:val="en-US"/>
        </w:rPr>
        <w:t>Amaya</w:t>
      </w:r>
      <w:r>
        <w:rPr>
          <w:rFonts w:ascii="Times New Roman" w:hAnsi="Times New Roman"/>
          <w:sz w:val="24"/>
          <w:szCs w:val="24"/>
          <w:rtl w:val="0"/>
          <w:lang w:val="en-US"/>
        </w:rPr>
        <w:t xml:space="preserve"> </w:t>
      </w:r>
      <w:r>
        <w:rPr>
          <w:rFonts w:ascii="Times New Roman" w:hAnsi="Times New Roman"/>
          <w:sz w:val="24"/>
          <w:szCs w:val="24"/>
          <w:rtl w:val="0"/>
          <w:lang w:val="en-US"/>
        </w:rPr>
        <w:t>Aguilar</w:t>
      </w:r>
      <w:r>
        <w:rPr>
          <w:rFonts w:ascii="Times New Roman" w:hAnsi="Times New Roman"/>
          <w:sz w:val="24"/>
          <w:szCs w:val="24"/>
          <w:rtl w:val="0"/>
          <w:lang w:val="en-US"/>
        </w:rPr>
        <w:t xml:space="preserve"> were members of the PCC from </w:t>
      </w:r>
      <w:r>
        <w:rPr>
          <w:rFonts w:ascii="Times New Roman" w:hAnsi="Times New Roman"/>
          <w:sz w:val="24"/>
          <w:szCs w:val="24"/>
          <w:rtl w:val="0"/>
          <w:lang w:val="en-US"/>
        </w:rPr>
        <w:t>October</w:t>
      </w:r>
      <w:r>
        <w:rPr>
          <w:rFonts w:ascii="Times New Roman" w:hAnsi="Times New Roman"/>
          <w:sz w:val="24"/>
          <w:szCs w:val="24"/>
          <w:rtl w:val="0"/>
          <w:lang w:val="en-US"/>
        </w:rPr>
        <w:t xml:space="preserve"> 2012 to </w:t>
      </w:r>
      <w:r>
        <w:rPr>
          <w:rFonts w:ascii="Times New Roman" w:hAnsi="Times New Roman"/>
          <w:sz w:val="24"/>
          <w:szCs w:val="24"/>
          <w:rtl w:val="0"/>
          <w:lang w:val="en-US"/>
        </w:rPr>
        <w:t>February</w:t>
      </w:r>
      <w:r>
        <w:rPr>
          <w:rFonts w:ascii="Times New Roman" w:hAnsi="Times New Roman"/>
          <w:sz w:val="24"/>
          <w:szCs w:val="24"/>
          <w:rtl w:val="0"/>
          <w:lang w:val="en-US"/>
        </w:rPr>
        <w:t xml:space="preserve"> 2018. The applicants allege that they were threatened by armed men in </w:t>
      </w:r>
      <w:r>
        <w:rPr>
          <w:rFonts w:ascii="Times New Roman" w:hAnsi="Times New Roman"/>
          <w:sz w:val="24"/>
          <w:szCs w:val="24"/>
          <w:rtl w:val="0"/>
          <w:lang w:val="en-US"/>
        </w:rPr>
        <w:t>September</w:t>
      </w:r>
      <w:r>
        <w:rPr>
          <w:rFonts w:ascii="Times New Roman" w:hAnsi="Times New Roman"/>
          <w:sz w:val="24"/>
          <w:szCs w:val="24"/>
          <w:rtl w:val="0"/>
          <w:lang w:val="en-US"/>
        </w:rPr>
        <w:t xml:space="preserve"> 2014 and in </w:t>
      </w:r>
      <w:r>
        <w:rPr>
          <w:rFonts w:ascii="Times New Roman" w:hAnsi="Times New Roman"/>
          <w:sz w:val="24"/>
          <w:szCs w:val="24"/>
          <w:rtl w:val="0"/>
          <w:lang w:val="en-US"/>
        </w:rPr>
        <w:t>May</w:t>
      </w:r>
      <w:r>
        <w:rPr>
          <w:rFonts w:ascii="Times New Roman" w:hAnsi="Times New Roman"/>
          <w:sz w:val="24"/>
          <w:szCs w:val="24"/>
          <w:rtl w:val="0"/>
          <w:lang w:val="en-US"/>
        </w:rPr>
        <w:t xml:space="preserve"> 2018 after the regional elections of those years. The Appellants left Colombia for the United States in </w:t>
      </w:r>
      <w:r>
        <w:rPr>
          <w:rFonts w:ascii="Times New Roman" w:hAnsi="Times New Roman"/>
          <w:sz w:val="24"/>
          <w:szCs w:val="24"/>
          <w:rtl w:val="0"/>
          <w:lang w:val="en-US"/>
        </w:rPr>
        <w:t>June</w:t>
      </w:r>
      <w:r>
        <w:rPr>
          <w:rFonts w:ascii="Times New Roman" w:hAnsi="Times New Roman"/>
          <w:sz w:val="24"/>
          <w:szCs w:val="24"/>
          <w:rtl w:val="0"/>
          <w:lang w:val="en-US"/>
        </w:rPr>
        <w:t xml:space="preserve"> 2018, entered Canada illegally on </w:t>
      </w:r>
      <w:r>
        <w:rPr>
          <w:rFonts w:ascii="Times New Roman" w:hAnsi="Times New Roman"/>
          <w:sz w:val="24"/>
          <w:szCs w:val="24"/>
          <w:rtl w:val="0"/>
          <w:lang w:val="en-US"/>
        </w:rPr>
        <w:t>June 24</w:t>
      </w:r>
      <w:r>
        <w:rPr>
          <w:rFonts w:ascii="Times New Roman" w:hAnsi="Times New Roman"/>
          <w:sz w:val="24"/>
          <w:szCs w:val="24"/>
          <w:rtl w:val="0"/>
          <w:lang w:val="en-US"/>
        </w:rPr>
        <w:t>, 2018, and claimed refugee status shortly thereafter.</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Appellants indicate that they are not presenting new evidence but have provided an affidavit from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w:t>
      </w:r>
      <w:r>
        <w:rPr>
          <w:rFonts w:ascii="Times New Roman" w:cs="Times New Roman" w:hAnsi="Times New Roman" w:eastAsia="Times New Roman"/>
          <w:sz w:val="24"/>
          <w:szCs w:val="24"/>
          <w:vertAlign w:val="superscript"/>
          <w:lang w:val="en-US"/>
        </w:rPr>
        <w:endnoteReference w:id="1"/>
      </w:r>
      <w:r>
        <w:rPr>
          <w:rFonts w:ascii="Times New Roman" w:hAnsi="Times New Roman"/>
          <w:sz w:val="24"/>
          <w:szCs w:val="24"/>
          <w:rtl w:val="0"/>
          <w:lang w:val="en-US"/>
        </w:rPr>
        <w:t xml:space="preserve"> This affidavit relates his views and feelings about the RPD decision but does not contain new facts or other evidence. I have considered this affidavit as part of 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memorandum of argument.</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are requesting an oral hearing.</w:t>
      </w:r>
      <w:r>
        <w:rPr>
          <w:rFonts w:ascii="Times New Roman" w:cs="Times New Roman" w:hAnsi="Times New Roman" w:eastAsia="Times New Roman"/>
          <w:sz w:val="24"/>
          <w:szCs w:val="24"/>
          <w:vertAlign w:val="superscript"/>
          <w:lang w:val="en-US"/>
        </w:rPr>
        <w:endnoteReference w:id="2"/>
      </w:r>
      <w:r>
        <w:rPr>
          <w:rFonts w:ascii="Times New Roman" w:hAnsi="Times New Roman"/>
          <w:sz w:val="24"/>
          <w:szCs w:val="24"/>
          <w:rtl w:val="0"/>
          <w:lang w:val="en-US"/>
        </w:rPr>
        <w:t xml:space="preserve"> As there is no new evidence, I do not have jurisdiction to convene an oral hearing.</w:t>
      </w:r>
      <w:r>
        <w:rPr>
          <w:rFonts w:ascii="Times New Roman" w:cs="Times New Roman" w:hAnsi="Times New Roman" w:eastAsia="Times New Roman"/>
          <w:sz w:val="24"/>
          <w:szCs w:val="24"/>
          <w:vertAlign w:val="superscript"/>
          <w:lang w:val="en-US"/>
        </w:rPr>
        <w:endnoteReference w:id="3"/>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At the outset of the hearing, the RPD confirmed that the claim of the Associate Appellants was based on the events surrounding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specifically that there were no independent bases of claim for the other Appellants. Having reviewed the oral and documentary evidence, I agree that there are no other grounds for the claims of the Associate Appellants.</w:t>
      </w:r>
    </w:p>
    <w:p>
      <w:pPr>
        <w:pStyle w:val="Normal_ParagNum"/>
        <w:tabs>
          <w:tab w:val="left" w:pos="709"/>
          <w:tab w:val="clear" w:pos="720"/>
        </w:tabs>
        <w:spacing w:before="240" w:after="120"/>
        <w:ind w:left="0" w:firstLine="0"/>
        <w:rPr>
          <w:b w:val="1"/>
          <w:bCs w:val="1"/>
          <w:lang w:val="en-US"/>
        </w:rPr>
      </w:pPr>
      <w:r>
        <w:rPr>
          <w:b w:val="1"/>
          <w:bCs w:val="1"/>
          <w:rtl w:val="0"/>
          <w:lang w:val="en-US"/>
        </w:rPr>
        <w:t>ANALYSIS</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My role is to look at all the evidence and decide if the RPD made the correct decision.</w:t>
      </w:r>
      <w:r>
        <w:rPr>
          <w:rFonts w:ascii="Times New Roman" w:cs="Times New Roman" w:hAnsi="Times New Roman" w:eastAsia="Times New Roman"/>
          <w:sz w:val="24"/>
          <w:szCs w:val="24"/>
          <w:vertAlign w:val="superscript"/>
          <w:lang w:val="en-US"/>
        </w:rPr>
        <w:endnoteReference w:id="4"/>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RPD found that the Appellants were not credible about the following key elements of their claim:</w:t>
      </w:r>
    </w:p>
    <w:p>
      <w:pPr>
        <w:pStyle w:val="List Paragraph"/>
        <w:numPr>
          <w:ilvl w:val="1"/>
          <w:numId w:val="2"/>
        </w:numPr>
        <w:bidi w:val="0"/>
        <w:spacing w:before="120" w:after="120"/>
        <w:ind w:right="850"/>
        <w:jc w:val="both"/>
        <w:rPr>
          <w:rFonts w:ascii="Times New Roman" w:hAnsi="Times New Roman"/>
          <w:sz w:val="24"/>
          <w:szCs w:val="24"/>
          <w:rtl w:val="0"/>
          <w:lang w:val="en-US"/>
        </w:rPr>
      </w:pPr>
      <w:r>
        <w:rPr>
          <w:rFonts w:ascii="Times New Roman" w:hAnsi="Times New Roman"/>
          <w:sz w:val="24"/>
          <w:szCs w:val="24"/>
          <w:rtl w:val="0"/>
          <w:lang w:val="en-US"/>
        </w:rPr>
        <w:t xml:space="preserve">The Appellants had little knowledge of the regional elections of the City of Otanche in which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participated.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was not able to give the name of the mayor of </w:t>
      </w:r>
      <w:r>
        <w:rPr>
          <w:rFonts w:ascii="Times New Roman" w:hAnsi="Times New Roman"/>
          <w:sz w:val="24"/>
          <w:szCs w:val="24"/>
          <w:rtl w:val="0"/>
          <w:lang w:val="en-US"/>
        </w:rPr>
        <w:t>Bucaramanga</w:t>
      </w:r>
      <w:r>
        <w:rPr>
          <w:rFonts w:ascii="Times New Roman" w:hAnsi="Times New Roman"/>
          <w:sz w:val="24"/>
          <w:szCs w:val="24"/>
          <w:rtl w:val="0"/>
          <w:lang w:val="en-US"/>
        </w:rPr>
        <w:t>, the number of people on the regional council or the name of any candidates. He incorrectly cited the years of the two elections in which he campaigned.</w:t>
      </w:r>
    </w:p>
    <w:p>
      <w:pPr>
        <w:pStyle w:val="List Paragraph"/>
        <w:numPr>
          <w:ilvl w:val="1"/>
          <w:numId w:val="2"/>
        </w:numPr>
        <w:bidi w:val="0"/>
        <w:spacing w:before="120" w:after="120"/>
        <w:ind w:right="850"/>
        <w:jc w:val="both"/>
        <w:rPr>
          <w:rFonts w:ascii="Times New Roman" w:hAnsi="Times New Roman"/>
          <w:sz w:val="24"/>
          <w:szCs w:val="24"/>
          <w:rtl w:val="0"/>
          <w:lang w:val="en-US"/>
        </w:rPr>
      </w:pPr>
      <w:r>
        <w:rPr>
          <w:rFonts w:ascii="Times New Roman" w:hAnsi="Times New Roman"/>
          <w:sz w:val="24"/>
          <w:szCs w:val="24"/>
          <w:rtl w:val="0"/>
          <w:lang w:val="en-US"/>
        </w:rPr>
        <w:t>His party membership card had no dates of issue nor of expiration. He was not able to name the person who was the president of the party when he joined it, even though that person</w:t>
      </w:r>
      <w:r>
        <w:rPr>
          <w:rFonts w:ascii="Times New Roman" w:hAnsi="Times New Roman" w:hint="default"/>
          <w:sz w:val="24"/>
          <w:szCs w:val="24"/>
          <w:rtl w:val="0"/>
          <w:lang w:val="en-US"/>
        </w:rPr>
        <w:t>’</w:t>
      </w:r>
      <w:r>
        <w:rPr>
          <w:rFonts w:ascii="Times New Roman" w:hAnsi="Times New Roman"/>
          <w:sz w:val="24"/>
          <w:szCs w:val="24"/>
          <w:rtl w:val="0"/>
          <w:lang w:val="en-US"/>
        </w:rPr>
        <w:t>s name was on the membership card.</w:t>
      </w:r>
    </w:p>
    <w:p>
      <w:pPr>
        <w:pStyle w:val="List Paragraph"/>
        <w:numPr>
          <w:ilvl w:val="1"/>
          <w:numId w:val="2"/>
        </w:numPr>
        <w:bidi w:val="0"/>
        <w:spacing w:before="120" w:after="120"/>
        <w:ind w:right="850"/>
        <w:jc w:val="both"/>
        <w:rPr>
          <w:rFonts w:ascii="Times New Roman" w:hAnsi="Times New Roman"/>
          <w:sz w:val="24"/>
          <w:szCs w:val="24"/>
          <w:rtl w:val="0"/>
          <w:lang w:val="en-US"/>
        </w:rPr>
      </w:pPr>
      <w:r>
        <w:rPr>
          <w:rFonts w:ascii="Times New Roman" w:hAnsi="Times New Roman"/>
          <w:sz w:val="24"/>
          <w:szCs w:val="24"/>
          <w:rtl w:val="0"/>
          <w:lang w:val="en-US"/>
        </w:rPr>
        <w:t xml:space="preserve">The Appellants appear to have no knowledge of the Black Eagles group. The Appellants testified that the Black Eagles could be found everywhere in Columbia while the objective evidence indicates that they are found in a select few areas.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was unable to name the candidates supported by the Black Eagles in any of the elections.</w:t>
      </w:r>
    </w:p>
    <w:p>
      <w:pPr>
        <w:pStyle w:val="List Paragraph"/>
        <w:numPr>
          <w:ilvl w:val="1"/>
          <w:numId w:val="2"/>
        </w:numPr>
        <w:bidi w:val="0"/>
        <w:spacing w:before="120" w:after="120"/>
        <w:ind w:right="850"/>
        <w:jc w:val="both"/>
        <w:rPr>
          <w:rFonts w:ascii="Times New Roman" w:hAnsi="Times New Roman"/>
          <w:sz w:val="24"/>
          <w:szCs w:val="24"/>
          <w:rtl w:val="0"/>
          <w:lang w:val="en-US"/>
        </w:rPr>
      </w:pPr>
      <w:r>
        <w:rPr>
          <w:rFonts w:ascii="Times New Roman" w:hAnsi="Times New Roman"/>
          <w:sz w:val="24"/>
          <w:szCs w:val="24"/>
          <w:rtl w:val="0"/>
          <w:lang w:val="en-US"/>
        </w:rPr>
        <w:t xml:space="preserve">In his denunciation to the police in 2014,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 xml:space="preserve">squez </w:t>
      </w:r>
      <w:r>
        <w:rPr>
          <w:rFonts w:ascii="Times New Roman" w:hAnsi="Times New Roman"/>
          <w:sz w:val="24"/>
          <w:szCs w:val="24"/>
          <w:rtl w:val="0"/>
          <w:lang w:val="en-US"/>
        </w:rPr>
        <w:t xml:space="preserve">does not attribute the death threats to the Black Eagles. Similarly,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indicated that the men did not identify themselves as Black Eagles in any of the 2014 or 2018 events.</w:t>
      </w:r>
    </w:p>
    <w:p>
      <w:pPr>
        <w:pStyle w:val="List Paragraph"/>
        <w:numPr>
          <w:ilvl w:val="1"/>
          <w:numId w:val="2"/>
        </w:numPr>
        <w:bidi w:val="0"/>
        <w:spacing w:before="120" w:after="120"/>
        <w:ind w:right="850"/>
        <w:jc w:val="both"/>
        <w:rPr>
          <w:rFonts w:ascii="Times New Roman" w:hAnsi="Times New Roman"/>
          <w:sz w:val="24"/>
          <w:szCs w:val="24"/>
          <w:rtl w:val="0"/>
          <w:lang w:val="en-US"/>
        </w:rPr>
      </w:pPr>
      <w:r>
        <w:rPr>
          <w:rFonts w:ascii="Times New Roman" w:hAnsi="Times New Roman"/>
          <w:sz w:val="24"/>
          <w:szCs w:val="24"/>
          <w:rtl w:val="0"/>
          <w:lang w:val="en-US"/>
        </w:rPr>
        <w:t xml:space="preserve">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believed the assailants to have been members of the Black Eagles based on information from his father-in-law. The father-in-law had not seen or heard the assailants but spoke to community contacts. The RPD found that this third-hand information was speculative about the identity of the assailants.</w:t>
      </w:r>
    </w:p>
    <w:p>
      <w:pPr>
        <w:pStyle w:val="List Paragraph"/>
        <w:numPr>
          <w:ilvl w:val="1"/>
          <w:numId w:val="2"/>
        </w:numPr>
        <w:bidi w:val="0"/>
        <w:spacing w:before="120" w:after="120"/>
        <w:ind w:right="850"/>
        <w:jc w:val="both"/>
        <w:rPr>
          <w:rFonts w:ascii="Times New Roman" w:hAnsi="Times New Roman"/>
          <w:sz w:val="24"/>
          <w:szCs w:val="24"/>
          <w:rtl w:val="0"/>
          <w:lang w:val="en-US"/>
        </w:rPr>
      </w:pPr>
      <w:r>
        <w:rPr>
          <w:rFonts w:ascii="Times New Roman" w:hAnsi="Times New Roman"/>
          <w:sz w:val="24"/>
          <w:szCs w:val="24"/>
          <w:rtl w:val="0"/>
          <w:lang w:val="en-US"/>
        </w:rPr>
        <w:t xml:space="preserve">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xml:space="preserve"> had not inquired into the status of the police investigations into his complaints and did not know why they had been classified as </w:t>
      </w:r>
      <w:r>
        <w:rPr>
          <w:rFonts w:ascii="Times New Roman" w:hAnsi="Times New Roman" w:hint="default"/>
          <w:sz w:val="24"/>
          <w:szCs w:val="24"/>
          <w:rtl w:val="0"/>
          <w:lang w:val="en-US"/>
        </w:rPr>
        <w:t>“</w:t>
      </w:r>
      <w:r>
        <w:rPr>
          <w:rFonts w:ascii="Times New Roman" w:hAnsi="Times New Roman"/>
          <w:sz w:val="24"/>
          <w:szCs w:val="24"/>
          <w:rtl w:val="0"/>
          <w:lang w:val="en-US"/>
        </w:rPr>
        <w:t>inactive</w:t>
      </w:r>
      <w:r>
        <w:rPr>
          <w:rFonts w:ascii="Times New Roman" w:hAnsi="Times New Roman" w:hint="default"/>
          <w:sz w:val="24"/>
          <w:szCs w:val="24"/>
          <w:rtl w:val="0"/>
          <w:lang w:val="en-US"/>
        </w:rPr>
        <w:t xml:space="preserve">” </w:t>
      </w:r>
      <w:r>
        <w:rPr>
          <w:rFonts w:ascii="Times New Roman" w:hAnsi="Times New Roman"/>
          <w:sz w:val="24"/>
          <w:szCs w:val="24"/>
          <w:rtl w:val="0"/>
          <w:lang w:val="en-US"/>
        </w:rPr>
        <w:t>by the police. He indicated that it is typical for Columbian police to ignore or to downplay complaints unless a person is dead.</w:t>
      </w:r>
    </w:p>
    <w:p>
      <w:pPr>
        <w:pStyle w:val="List Paragraph"/>
        <w:numPr>
          <w:ilvl w:val="1"/>
          <w:numId w:val="2"/>
        </w:numPr>
        <w:bidi w:val="0"/>
        <w:spacing w:before="120" w:after="360"/>
        <w:ind w:right="850"/>
        <w:jc w:val="both"/>
        <w:rPr>
          <w:rFonts w:ascii="Times New Roman" w:hAnsi="Times New Roman"/>
          <w:sz w:val="24"/>
          <w:szCs w:val="24"/>
          <w:rtl w:val="0"/>
          <w:lang w:val="en-US"/>
        </w:rPr>
      </w:pPr>
      <w:r>
        <w:rPr>
          <w:rFonts w:ascii="Times New Roman" w:hAnsi="Times New Roman"/>
          <w:sz w:val="24"/>
          <w:szCs w:val="24"/>
          <w:rtl w:val="0"/>
          <w:lang w:val="en-US"/>
        </w:rPr>
        <w:t xml:space="preserve">The RPD found that the anonymous calls were received by Ms. </w:t>
      </w:r>
      <w:r>
        <w:rPr>
          <w:rFonts w:ascii="Times New Roman" w:hAnsi="Times New Roman"/>
          <w:sz w:val="24"/>
          <w:szCs w:val="24"/>
          <w:rtl w:val="0"/>
          <w:lang w:val="en-US"/>
        </w:rPr>
        <w:t>Amaya</w:t>
      </w:r>
      <w:r>
        <w:rPr>
          <w:rFonts w:ascii="Times New Roman" w:hAnsi="Times New Roman"/>
          <w:sz w:val="24"/>
          <w:szCs w:val="24"/>
          <w:rtl w:val="0"/>
          <w:lang w:val="en-US"/>
        </w:rPr>
        <w:t xml:space="preserve"> </w:t>
      </w:r>
      <w:r>
        <w:rPr>
          <w:rFonts w:ascii="Times New Roman" w:hAnsi="Times New Roman"/>
          <w:sz w:val="24"/>
          <w:szCs w:val="24"/>
          <w:rtl w:val="0"/>
          <w:lang w:val="en-US"/>
        </w:rPr>
        <w:t>Aguilar</w:t>
      </w:r>
      <w:r>
        <w:rPr>
          <w:rFonts w:ascii="Times New Roman" w:hAnsi="Times New Roman"/>
          <w:sz w:val="24"/>
          <w:szCs w:val="24"/>
          <w:rtl w:val="0"/>
          <w:lang w:val="en-US"/>
        </w:rPr>
        <w:t xml:space="preserve"> (and not by Mr. </w:t>
      </w:r>
      <w:r>
        <w:rPr>
          <w:rFonts w:ascii="Times New Roman" w:hAnsi="Times New Roman"/>
          <w:sz w:val="24"/>
          <w:szCs w:val="24"/>
          <w:rtl w:val="0"/>
          <w:lang w:val="en-US"/>
        </w:rPr>
        <w:t>Vanegas</w:t>
      </w:r>
      <w:r>
        <w:rPr>
          <w:rFonts w:ascii="Times New Roman" w:hAnsi="Times New Roman"/>
          <w:sz w:val="24"/>
          <w:szCs w:val="24"/>
          <w:rtl w:val="0"/>
          <w:lang w:val="en-US"/>
        </w:rPr>
        <w:t xml:space="preserve"> </w:t>
      </w:r>
      <w:r>
        <w:rPr>
          <w:rFonts w:ascii="Times New Roman" w:hAnsi="Times New Roman"/>
          <w:sz w:val="24"/>
          <w:szCs w:val="24"/>
          <w:rtl w:val="0"/>
          <w:lang w:val="en-US"/>
        </w:rPr>
        <w:t>Vel</w:t>
      </w:r>
      <w:r>
        <w:rPr>
          <w:rFonts w:ascii="Times New Roman" w:hAnsi="Times New Roman" w:hint="default"/>
          <w:sz w:val="24"/>
          <w:szCs w:val="24"/>
          <w:rtl w:val="0"/>
          <w:lang w:val="en-US"/>
        </w:rPr>
        <w:t>á</w:t>
      </w:r>
      <w:r>
        <w:rPr>
          <w:rFonts w:ascii="Times New Roman" w:hAnsi="Times New Roman"/>
          <w:sz w:val="24"/>
          <w:szCs w:val="24"/>
          <w:rtl w:val="0"/>
          <w:lang w:val="en-US"/>
        </w:rPr>
        <w:t>squez</w:t>
      </w:r>
      <w:r>
        <w:rPr>
          <w:rFonts w:ascii="Times New Roman" w:hAnsi="Times New Roman"/>
          <w:sz w:val="24"/>
          <w:szCs w:val="24"/>
          <w:rtl w:val="0"/>
          <w:lang w:val="en-US"/>
        </w:rPr>
        <w:t>) and that some of these calls could not be attributed to the Black Eagles. I also note that one of the police reports indicates that these calls may have come from a company selling cellular packages.</w:t>
      </w:r>
      <w:r>
        <w:rPr>
          <w:rFonts w:ascii="Times New Roman" w:cs="Times New Roman" w:hAnsi="Times New Roman" w:eastAsia="Times New Roman"/>
          <w:sz w:val="24"/>
          <w:szCs w:val="24"/>
          <w:vertAlign w:val="superscript"/>
          <w:lang w:val="en-US"/>
        </w:rPr>
        <w:endnoteReference w:id="5"/>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RPD also found that the documentary evidence showed that the Black Eagles name was often used by multiple unrelated and unstructured groups (including street gangs). The RPD found that the Black Eagles were not a unified and cohesive criminal group.</w:t>
      </w:r>
    </w:p>
    <w:p>
      <w:pPr>
        <w:pStyle w:val="List Paragraph"/>
        <w:tabs>
          <w:tab w:val="left" w:pos="709"/>
        </w:tabs>
        <w:spacing w:before="240" w:after="120" w:line="360" w:lineRule="auto"/>
        <w:ind w:left="0" w:firstLine="0"/>
        <w:jc w:val="both"/>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COVID-19 Measures</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argue that the safety measures established by the IRB in light of the COVID-19 pandemic prevented them from presenting their evidence, from being well understood and from having a fair hearing. In light of the exceptional nature of the global pandemic, I find that there was no breach of natural justice during the RPD hearing.</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safety measures at the RPD hearing included mandatory masks for all persons in the room; plexiglass sheets between the RPD member, the translator and the Appellants; maintaining a distance of more than two metres between the parties; and mandatory use of hand sanitizer when entering and exiting the room. These measures were installed by direction of the Chairperson, established in accordance with federal legislation,and pursuant to directions and recommendations from the Public Health Agency of Canada.</w:t>
      </w:r>
      <w:r>
        <w:rPr>
          <w:rFonts w:ascii="Times New Roman" w:cs="Times New Roman" w:hAnsi="Times New Roman" w:eastAsia="Times New Roman"/>
          <w:sz w:val="24"/>
          <w:szCs w:val="24"/>
          <w:vertAlign w:val="superscript"/>
          <w:lang w:val="en-US"/>
        </w:rPr>
        <w:endnoteReference w:id="6"/>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During the RPD hearing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counsel requested that the Appellants be able to remove their masks in order to facilitate their testimony. The RPD allowed this request in accordance with the IRB</w:t>
      </w:r>
      <w:r>
        <w:rPr>
          <w:rFonts w:ascii="Times New Roman" w:hAnsi="Times New Roman" w:hint="default"/>
          <w:sz w:val="24"/>
          <w:szCs w:val="24"/>
          <w:rtl w:val="0"/>
          <w:lang w:val="en-US"/>
        </w:rPr>
        <w:t>’</w:t>
      </w:r>
      <w:r>
        <w:rPr>
          <w:rFonts w:ascii="Times New Roman" w:hAnsi="Times New Roman"/>
          <w:sz w:val="24"/>
          <w:szCs w:val="24"/>
          <w:rtl w:val="0"/>
          <w:lang w:val="en-US"/>
        </w:rPr>
        <w:t>s COVID-19 health and safety measures.</w:t>
      </w:r>
      <w:r>
        <w:rPr>
          <w:rFonts w:ascii="Times New Roman" w:cs="Times New Roman" w:hAnsi="Times New Roman" w:eastAsia="Times New Roman"/>
          <w:sz w:val="24"/>
          <w:szCs w:val="24"/>
          <w:vertAlign w:val="superscript"/>
          <w:lang w:val="en-US"/>
        </w:rPr>
        <w:endnoteReference w:id="7"/>
      </w:r>
      <w:r>
        <w:rPr>
          <w:rFonts w:ascii="Times New Roman" w:hAnsi="Times New Roman"/>
          <w:sz w:val="24"/>
          <w:szCs w:val="24"/>
          <w:rtl w:val="0"/>
          <w:lang w:val="en-US"/>
        </w:rPr>
        <w:t xml:space="preserve"> The RPD member and interpreter remained masked and behind plexiglass throughout 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testimony.</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argue that the wearing of a mask was not required by the Quebec provincial order. I note the hearing was held in a federal hearing room by a federal department. I find that there was no error in the RPD following the mandatory directives imposed by the Chairperson in relation to the COVID-19 pandemic.</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 argues that wearing a mask affected the Appellant</w:t>
      </w:r>
      <w:r>
        <w:rPr>
          <w:rFonts w:ascii="Times New Roman" w:hAnsi="Times New Roman" w:hint="default"/>
          <w:sz w:val="24"/>
          <w:szCs w:val="24"/>
          <w:rtl w:val="0"/>
          <w:lang w:val="en-US"/>
        </w:rPr>
        <w:t>’</w:t>
      </w:r>
      <w:r>
        <w:rPr>
          <w:rFonts w:ascii="Times New Roman" w:hAnsi="Times New Roman"/>
          <w:sz w:val="24"/>
          <w:szCs w:val="24"/>
          <w:rtl w:val="0"/>
          <w:lang w:val="en-US"/>
        </w:rPr>
        <w:t>s ability to communicate. The directive imposed by the Chairperson allowed the RPD member, in his discretion, to allow the Appellant to remove his mask to testify.</w:t>
      </w:r>
      <w:r>
        <w:rPr>
          <w:rFonts w:ascii="Times New Roman" w:cs="Times New Roman" w:hAnsi="Times New Roman" w:eastAsia="Times New Roman"/>
          <w:sz w:val="24"/>
          <w:szCs w:val="24"/>
          <w:vertAlign w:val="superscript"/>
          <w:lang w:val="en-US"/>
        </w:rPr>
        <w:endnoteReference w:id="8"/>
      </w:r>
      <w:r>
        <w:rPr>
          <w:rFonts w:ascii="Times New Roman" w:hAnsi="Times New Roman"/>
          <w:sz w:val="24"/>
          <w:szCs w:val="24"/>
          <w:rtl w:val="0"/>
          <w:lang w:val="en-US"/>
        </w:rPr>
        <w:t xml:space="preserve"> It appears that the RPD allowed the Appellants to remove their masks for the entirety of their testimony.</w:t>
      </w:r>
      <w:r>
        <w:rPr>
          <w:rFonts w:ascii="Times New Roman" w:cs="Times New Roman" w:hAnsi="Times New Roman" w:eastAsia="Times New Roman"/>
          <w:sz w:val="24"/>
          <w:szCs w:val="24"/>
          <w:vertAlign w:val="superscript"/>
          <w:lang w:val="en-US"/>
        </w:rPr>
        <w:endnoteReference w:id="9"/>
      </w:r>
      <w:r>
        <w:rPr>
          <w:rFonts w:ascii="Times New Roman" w:hAnsi="Times New Roman"/>
          <w:sz w:val="24"/>
          <w:szCs w:val="24"/>
          <w:rtl w:val="0"/>
          <w:lang w:val="en-US"/>
        </w:rPr>
        <w:t xml:space="preserve"> In reviewing the audio recording and the decision, I find that the RPD or the interpreter did not have difficulties hearing the Appellant. The interpreter did not indicate to the RPD that she was having difficulties hearing or performing her task due to wearing a mask. The RPD found that the Appellant could not express himself clearly for reasons unrelated to the mask.</w:t>
      </w:r>
      <w:r>
        <w:rPr>
          <w:rFonts w:ascii="Times New Roman" w:cs="Times New Roman" w:hAnsi="Times New Roman" w:eastAsia="Times New Roman"/>
          <w:sz w:val="24"/>
          <w:szCs w:val="24"/>
          <w:vertAlign w:val="superscript"/>
          <w:lang w:val="en-US"/>
        </w:rPr>
        <w:endnoteReference w:id="10"/>
      </w:r>
      <w:r>
        <w:rPr>
          <w:rFonts w:ascii="Times New Roman" w:hAnsi="Times New Roman"/>
          <w:sz w:val="24"/>
          <w:szCs w:val="24"/>
          <w:rtl w:val="0"/>
          <w:lang w:val="en-US"/>
        </w:rPr>
        <w:t xml:space="preserve"> For example, the Appellant did not answer the questions directly or give contradictory or unclear answers. These difficulties in his testimony were not caused by the wearing of a mask and could have happened without a mask.</w:t>
      </w:r>
    </w:p>
    <w:p>
      <w:pPr>
        <w:pStyle w:val="List Paragraph"/>
        <w:numPr>
          <w:ilvl w:val="0"/>
          <w:numId w:val="2"/>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 argues that wearing a mask affected the Appellants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ability to know how their testimony was being received. The Appellant has provided no caselaw on the right for an applicant or accused person or a witness to be able to see the face of the decision-maker. I have also not found any authorities for this proposition. I note, first of all, the hearing was held following the mandatory directives imposed by the Chairperson in relation to the COVID-19 pandemic. Being in a hearing room, for multiple hours, with at least four other people, requires the simple measures of social distancing and wearing a mask, especially in the face of the evolving knowledge about the propagation of the virus by aerosol. In these difficult times, the Appellant</w:t>
      </w:r>
      <w:r>
        <w:rPr>
          <w:rFonts w:ascii="Times New Roman" w:hAnsi="Times New Roman" w:hint="default"/>
          <w:sz w:val="24"/>
          <w:szCs w:val="24"/>
          <w:rtl w:val="0"/>
          <w:lang w:val="en-US"/>
        </w:rPr>
        <w:t>’</w:t>
      </w:r>
      <w:r>
        <w:rPr>
          <w:rFonts w:ascii="Times New Roman" w:hAnsi="Times New Roman"/>
          <w:sz w:val="24"/>
          <w:szCs w:val="24"/>
          <w:rtl w:val="0"/>
          <w:lang w:val="en-US"/>
        </w:rPr>
        <w:t>s natural justice rights must be balanced against the competing and broader societal interest in public health in a worldwide pandemic.</w:t>
      </w:r>
    </w:p>
    <w:p>
      <w:pPr>
        <w:pStyle w:val="List Paragraph"/>
        <w:numPr>
          <w:ilvl w:val="0"/>
          <w:numId w:val="2"/>
        </w:numPr>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argue that wearing a mask during a hearing was a breach of natural justice. In the exceptional circumstances of a global pandemic, I find that this argument is without merit. The Appellants had a hearing with all the parties present. The Appellants were able to remove their masks to facilitate their testimony. In reviewing the audio recording, I note that the RPD rephrased or restated his questions as necessary. The RPD confronted the Appellant with the inconsistencies or omissions in his testimony and gave him an opportunity to respond.</w:t>
      </w:r>
      <w:r>
        <w:rPr>
          <w:rFonts w:ascii="Times New Roman" w:cs="Times New Roman" w:hAnsi="Times New Roman" w:eastAsia="Times New Roman"/>
          <w:sz w:val="24"/>
          <w:szCs w:val="24"/>
          <w:vertAlign w:val="superscript"/>
          <w:lang w:val="en-US"/>
        </w:rPr>
        <w:endnoteReference w:id="11"/>
      </w:r>
      <w:r>
        <w:rPr>
          <w:rFonts w:ascii="Times New Roman" w:hAnsi="Times New Roman"/>
          <w:sz w:val="24"/>
          <w:szCs w:val="24"/>
          <w:rtl w:val="0"/>
          <w:lang w:val="en-US"/>
        </w:rPr>
        <w:t xml:space="preserve"> The interpreter clarified the Appellant</w:t>
      </w:r>
      <w:r>
        <w:rPr>
          <w:rFonts w:ascii="Times New Roman" w:hAnsi="Times New Roman" w:hint="default"/>
          <w:sz w:val="24"/>
          <w:szCs w:val="24"/>
          <w:rtl w:val="0"/>
          <w:lang w:val="en-US"/>
        </w:rPr>
        <w:t>’</w:t>
      </w:r>
      <w:r>
        <w:rPr>
          <w:rFonts w:ascii="Times New Roman" w:hAnsi="Times New Roman"/>
          <w:sz w:val="24"/>
          <w:szCs w:val="24"/>
          <w:rtl w:val="0"/>
          <w:lang w:val="en-US"/>
        </w:rPr>
        <w:t>s responses on multiple occasions.</w:t>
      </w:r>
      <w:r>
        <w:rPr>
          <w:rFonts w:ascii="Times New Roman" w:cs="Times New Roman" w:hAnsi="Times New Roman" w:eastAsia="Times New Roman"/>
          <w:sz w:val="24"/>
          <w:szCs w:val="24"/>
          <w:vertAlign w:val="superscript"/>
          <w:lang w:val="en-US"/>
        </w:rPr>
        <w:endnoteReference w:id="12"/>
      </w:r>
      <w:r>
        <w:rPr>
          <w:rFonts w:ascii="Times New Roman" w:hAnsi="Times New Roman"/>
          <w:sz w:val="24"/>
          <w:szCs w:val="24"/>
          <w:rtl w:val="0"/>
          <w:lang w:val="en-US"/>
        </w:rPr>
        <w:t xml:space="preserve"> While I acknowledge that the hearing conditions were not ideal, I also find that the ability of the Appellant to know the facial reactions of the RPD member or of the interpreter is not relevant to the determination of credibility. It is not the member or the interpreter who have the onus of establishing their claim. I am mindful of the Supreme Court of Canada caselaw on demeanour evidence in the context of witness</w:t>
      </w:r>
      <w:r>
        <w:rPr>
          <w:rFonts w:ascii="Times New Roman" w:hAnsi="Times New Roman" w:hint="default"/>
          <w:sz w:val="24"/>
          <w:szCs w:val="24"/>
          <w:rtl w:val="0"/>
          <w:lang w:val="en-US"/>
        </w:rPr>
        <w:t xml:space="preserve">’ </w:t>
      </w:r>
      <w:r>
        <w:rPr>
          <w:rFonts w:ascii="Times New Roman" w:hAnsi="Times New Roman"/>
          <w:sz w:val="24"/>
          <w:szCs w:val="24"/>
          <w:rtl w:val="0"/>
          <w:lang w:val="en-US"/>
        </w:rPr>
        <w:t>testimony.</w:t>
      </w:r>
    </w:p>
    <w:p>
      <w:pPr>
        <w:pStyle w:val="List Paragraph"/>
        <w:tabs>
          <w:tab w:val="left" w:pos="709"/>
        </w:tabs>
        <w:spacing w:before="120" w:after="360"/>
        <w:ind w:left="1138" w:right="850" w:firstLine="0"/>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Wearing</w:t>
      </w:r>
      <w:r>
        <w:rPr>
          <w:rFonts w:ascii="Times New Roman" w:hAnsi="Times New Roman" w:hint="default"/>
          <w:sz w:val="24"/>
          <w:szCs w:val="24"/>
          <w:rtl w:val="0"/>
          <w:lang w:val="en-US"/>
        </w:rPr>
        <w:t> </w:t>
      </w:r>
      <w:r>
        <w:rPr>
          <w:rFonts w:ascii="Times New Roman" w:hAnsi="Times New Roman"/>
          <w:sz w:val="24"/>
          <w:szCs w:val="24"/>
          <w:rtl w:val="0"/>
          <w:lang w:val="en-US"/>
        </w:rPr>
        <w:t>a</w:t>
      </w:r>
      <w:r>
        <w:rPr>
          <w:rFonts w:ascii="Times New Roman" w:hAnsi="Times New Roman" w:hint="default"/>
          <w:sz w:val="24"/>
          <w:szCs w:val="24"/>
          <w:rtl w:val="0"/>
          <w:lang w:val="en-US"/>
        </w:rPr>
        <w:t> </w:t>
      </w:r>
      <w:r>
        <w:rPr>
          <w:rFonts w:ascii="Times New Roman" w:hAnsi="Times New Roman"/>
          <w:sz w:val="24"/>
          <w:szCs w:val="24"/>
          <w:rtl w:val="0"/>
          <w:lang w:val="en-US"/>
        </w:rPr>
        <w:t>niqab</w:t>
      </w:r>
      <w:r>
        <w:rPr>
          <w:rFonts w:ascii="Times New Roman" w:hAnsi="Times New Roman" w:hint="default"/>
          <w:sz w:val="24"/>
          <w:szCs w:val="24"/>
          <w:rtl w:val="0"/>
          <w:lang w:val="en-US"/>
        </w:rPr>
        <w:t> </w:t>
      </w:r>
      <w:r>
        <w:rPr>
          <w:rFonts w:ascii="Times New Roman" w:hAnsi="Times New Roman"/>
          <w:sz w:val="24"/>
          <w:szCs w:val="24"/>
          <w:rtl w:val="0"/>
          <w:lang w:val="en-US"/>
        </w:rPr>
        <w:t>presents</w:t>
      </w:r>
      <w:r>
        <w:rPr>
          <w:rFonts w:ascii="Times New Roman" w:hAnsi="Times New Roman" w:hint="default"/>
          <w:sz w:val="24"/>
          <w:szCs w:val="24"/>
          <w:rtl w:val="0"/>
          <w:lang w:val="en-US"/>
        </w:rPr>
        <w:t> </w:t>
      </w:r>
      <w:r>
        <w:rPr>
          <w:rFonts w:ascii="Times New Roman" w:hAnsi="Times New Roman"/>
          <w:sz w:val="24"/>
          <w:szCs w:val="24"/>
          <w:rtl w:val="0"/>
          <w:lang w:val="en-US"/>
        </w:rPr>
        <w:t>only</w:t>
      </w:r>
      <w:r>
        <w:rPr>
          <w:rFonts w:ascii="Times New Roman" w:hAnsi="Times New Roman" w:hint="default"/>
          <w:sz w:val="24"/>
          <w:szCs w:val="24"/>
          <w:rtl w:val="0"/>
          <w:lang w:val="en-US"/>
        </w:rPr>
        <w:t> </w:t>
      </w:r>
      <w:r>
        <w:rPr>
          <w:rFonts w:ascii="Times New Roman" w:hAnsi="Times New Roman"/>
          <w:sz w:val="24"/>
          <w:szCs w:val="24"/>
          <w:rtl w:val="0"/>
          <w:lang w:val="en-US"/>
        </w:rPr>
        <w:t>a</w:t>
      </w:r>
      <w:r>
        <w:rPr>
          <w:rFonts w:ascii="Times New Roman" w:hAnsi="Times New Roman" w:hint="default"/>
          <w:sz w:val="24"/>
          <w:szCs w:val="24"/>
          <w:rtl w:val="0"/>
          <w:lang w:val="en-US"/>
        </w:rPr>
        <w:t> </w:t>
      </w:r>
      <w:r>
        <w:rPr>
          <w:rFonts w:ascii="Times New Roman" w:hAnsi="Times New Roman"/>
          <w:sz w:val="24"/>
          <w:szCs w:val="24"/>
          <w:rtl w:val="0"/>
          <w:lang w:val="en-US"/>
        </w:rPr>
        <w:t>partial</w:t>
      </w:r>
      <w:r>
        <w:rPr>
          <w:rFonts w:ascii="Times New Roman" w:hAnsi="Times New Roman" w:hint="default"/>
          <w:sz w:val="24"/>
          <w:szCs w:val="24"/>
          <w:rtl w:val="0"/>
          <w:lang w:val="en-US"/>
        </w:rPr>
        <w:t> </w:t>
      </w:r>
      <w:r>
        <w:rPr>
          <w:rFonts w:ascii="Times New Roman" w:hAnsi="Times New Roman"/>
          <w:sz w:val="24"/>
          <w:szCs w:val="24"/>
          <w:rtl w:val="0"/>
          <w:lang w:val="en-US"/>
        </w:rPr>
        <w:t>obstacle</w:t>
      </w:r>
      <w:r>
        <w:rPr>
          <w:rFonts w:ascii="Times New Roman" w:hAnsi="Times New Roman" w:hint="default"/>
          <w:sz w:val="24"/>
          <w:szCs w:val="24"/>
          <w:rtl w:val="0"/>
          <w:lang w:val="en-US"/>
        </w:rPr>
        <w:t> </w:t>
      </w:r>
      <w:r>
        <w:rPr>
          <w:rFonts w:ascii="Times New Roman" w:hAnsi="Times New Roman"/>
          <w:sz w:val="24"/>
          <w:szCs w:val="24"/>
          <w:rtl w:val="0"/>
          <w:lang w:val="en-US"/>
        </w:rPr>
        <w:t>to</w:t>
      </w:r>
      <w:r>
        <w:rPr>
          <w:rFonts w:ascii="Times New Roman" w:hAnsi="Times New Roman" w:hint="default"/>
          <w:sz w:val="24"/>
          <w:szCs w:val="24"/>
          <w:rtl w:val="0"/>
          <w:lang w:val="en-US"/>
        </w:rPr>
        <w:t> </w:t>
      </w:r>
      <w:r>
        <w:rPr>
          <w:rFonts w:ascii="Times New Roman" w:hAnsi="Times New Roman"/>
          <w:sz w:val="24"/>
          <w:szCs w:val="24"/>
          <w:rtl w:val="0"/>
          <w:lang w:val="en-US"/>
        </w:rPr>
        <w:t>the</w:t>
      </w:r>
      <w:r>
        <w:rPr>
          <w:rFonts w:ascii="Times New Roman" w:hAnsi="Times New Roman" w:hint="default"/>
          <w:sz w:val="24"/>
          <w:szCs w:val="24"/>
          <w:rtl w:val="0"/>
          <w:lang w:val="en-US"/>
        </w:rPr>
        <w:t> </w:t>
      </w:r>
      <w:r>
        <w:rPr>
          <w:rFonts w:ascii="Times New Roman" w:hAnsi="Times New Roman"/>
          <w:sz w:val="24"/>
          <w:szCs w:val="24"/>
          <w:rtl w:val="0"/>
          <w:lang w:val="en-US"/>
        </w:rPr>
        <w:t>assessment</w:t>
      </w:r>
      <w:r>
        <w:rPr>
          <w:rFonts w:ascii="Times New Roman" w:hAnsi="Times New Roman" w:hint="default"/>
          <w:sz w:val="24"/>
          <w:szCs w:val="24"/>
          <w:rtl w:val="0"/>
          <w:lang w:val="en-US"/>
        </w:rPr>
        <w:t> </w:t>
      </w:r>
      <w:r>
        <w:rPr>
          <w:rFonts w:ascii="Times New Roman" w:hAnsi="Times New Roman"/>
          <w:sz w:val="24"/>
          <w:szCs w:val="24"/>
          <w:rtl w:val="0"/>
          <w:lang w:val="en-US"/>
        </w:rPr>
        <w:t>of demeanour. A witness wearing a niqab may still express herself through her eyes, body language, and gestures. Moreover, the niqab has no effect on the witness</w:t>
      </w:r>
      <w:r>
        <w:rPr>
          <w:rFonts w:ascii="Times New Roman" w:hAnsi="Times New Roman" w:hint="default"/>
          <w:sz w:val="24"/>
          <w:szCs w:val="24"/>
          <w:rtl w:val="0"/>
          <w:lang w:val="en-US"/>
        </w:rPr>
        <w:t xml:space="preserve">’ </w:t>
      </w:r>
      <w:r>
        <w:rPr>
          <w:rFonts w:ascii="Times New Roman" w:hAnsi="Times New Roman"/>
          <w:sz w:val="24"/>
          <w:szCs w:val="24"/>
          <w:rtl w:val="0"/>
          <w:lang w:val="en-US"/>
        </w:rPr>
        <w:t>verbal testimony, including the tone</w:t>
      </w:r>
      <w:r>
        <w:rPr>
          <w:rFonts w:ascii="Times New Roman" w:hAnsi="Times New Roman" w:hint="default"/>
          <w:sz w:val="24"/>
          <w:szCs w:val="24"/>
          <w:rtl w:val="0"/>
          <w:lang w:val="en-US"/>
        </w:rPr>
        <w:t> </w:t>
      </w:r>
      <w:r>
        <w:rPr>
          <w:rFonts w:ascii="Times New Roman" w:hAnsi="Times New Roman"/>
          <w:sz w:val="24"/>
          <w:szCs w:val="24"/>
          <w:rtl w:val="0"/>
          <w:lang w:val="en-US"/>
        </w:rPr>
        <w:t>and inflection of her voice, the cadence of her speech, or, most significantly, the substance of the answers she gives.</w:t>
      </w:r>
      <w:r>
        <w:rPr>
          <w:rFonts w:ascii="Times New Roman" w:cs="Times New Roman" w:hAnsi="Times New Roman" w:eastAsia="Times New Roman"/>
          <w:sz w:val="24"/>
          <w:szCs w:val="24"/>
          <w:vertAlign w:val="superscript"/>
          <w:lang w:val="en-US"/>
        </w:rPr>
        <w:endnoteReference w:id="13"/>
      </w:r>
    </w:p>
    <w:p>
      <w:pPr>
        <w:pStyle w:val="CG Body"/>
        <w:numPr>
          <w:ilvl w:val="0"/>
          <w:numId w:val="5"/>
        </w:numPr>
        <w:rPr>
          <w:lang w:val="en-US"/>
        </w:rPr>
      </w:pPr>
      <w:r>
        <w:rPr>
          <w:rStyle w:val="solexhl"/>
          <w:rtl w:val="0"/>
          <w:lang w:val="en-US"/>
        </w:rPr>
        <w:t>I also note that adjudicators are often trained to show no reaction and not to take cultural cues, such as facial reactions, into account in their decisions. Having reviewed the audio hearing, I find that there were numerous sources of information available to the Appellant and their counsel about the RPD</w:t>
      </w:r>
      <w:r>
        <w:rPr>
          <w:rStyle w:val="solexhl"/>
          <w:rtl w:val="0"/>
          <w:lang w:val="en-US"/>
        </w:rPr>
        <w:t>’</w:t>
      </w:r>
      <w:r>
        <w:rPr>
          <w:rStyle w:val="solexhl"/>
          <w:rtl w:val="0"/>
          <w:lang w:val="en-US"/>
        </w:rPr>
        <w:t>s concerns about their evidence: the RPD</w:t>
      </w:r>
      <w:r>
        <w:rPr>
          <w:rStyle w:val="solexhl"/>
          <w:rtl w:val="0"/>
          <w:lang w:val="en-US"/>
        </w:rPr>
        <w:t>’</w:t>
      </w:r>
      <w:r>
        <w:rPr>
          <w:rStyle w:val="solexhl"/>
          <w:rtl w:val="0"/>
          <w:lang w:val="en-US"/>
        </w:rPr>
        <w:t>s tone inflection and cadence, the requests to repeat answers, the rephrasing of questions, not to mention his statements when he did not understand the Appellants. I find that there was no breach of natural justice in having the RPD member and the interpreter wear a mask and sit behind plexiglass for the hearing.</w:t>
      </w:r>
    </w:p>
    <w:p>
      <w:pPr>
        <w:pStyle w:val="List Paragraph"/>
        <w:tabs>
          <w:tab w:val="left" w:pos="709"/>
        </w:tabs>
        <w:spacing w:before="240" w:after="120" w:line="360" w:lineRule="auto"/>
        <w:ind w:left="0" w:firstLine="0"/>
        <w:jc w:val="both"/>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Interpretation</w:t>
      </w:r>
    </w:p>
    <w:p>
      <w:pPr>
        <w:pStyle w:val="List Paragraph"/>
        <w:numPr>
          <w:ilvl w:val="0"/>
          <w:numId w:val="8"/>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argue that the interpretation was not adequate. I have already addressed the part of this argument that deals with the impact of the COVID-19 measures on the interpretation. The Federal Court of Appeal in</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Mohammadian</w:t>
      </w:r>
      <w:r>
        <w:rPr>
          <w:rFonts w:ascii="Times New Roman" w:hAnsi="Times New Roman" w:hint="default"/>
          <w:sz w:val="24"/>
          <w:szCs w:val="24"/>
          <w:rtl w:val="0"/>
          <w:lang w:val="en-US"/>
        </w:rPr>
        <w:t> </w:t>
      </w:r>
      <w:r>
        <w:rPr>
          <w:rFonts w:ascii="Times New Roman" w:hAnsi="Times New Roman"/>
          <w:sz w:val="24"/>
          <w:szCs w:val="24"/>
          <w:rtl w:val="0"/>
          <w:lang w:val="en-US"/>
        </w:rPr>
        <w:t>establishes that a claimant waives his rights if he fails to object to the quality of the</w:t>
      </w:r>
      <w:r>
        <w:rPr>
          <w:rFonts w:ascii="Times New Roman" w:hAnsi="Times New Roman" w:hint="default"/>
          <w:sz w:val="24"/>
          <w:szCs w:val="24"/>
          <w:rtl w:val="0"/>
          <w:lang w:val="en-US"/>
        </w:rPr>
        <w:t> </w:t>
      </w:r>
      <w:r>
        <w:rPr>
          <w:rFonts w:ascii="Times New Roman" w:hAnsi="Times New Roman"/>
          <w:sz w:val="24"/>
          <w:szCs w:val="24"/>
          <w:rtl w:val="0"/>
          <w:lang w:val="en-US"/>
        </w:rPr>
        <w:t>language</w:t>
      </w:r>
      <w:r>
        <w:rPr>
          <w:rFonts w:ascii="Times New Roman" w:hAnsi="Times New Roman" w:hint="default"/>
          <w:sz w:val="24"/>
          <w:szCs w:val="24"/>
          <w:rtl w:val="0"/>
          <w:lang w:val="en-US"/>
        </w:rPr>
        <w:t> </w:t>
      </w:r>
      <w:r>
        <w:rPr>
          <w:rFonts w:ascii="Times New Roman" w:hAnsi="Times New Roman"/>
          <w:sz w:val="24"/>
          <w:szCs w:val="24"/>
          <w:rtl w:val="0"/>
          <w:lang w:val="en-US"/>
        </w:rPr>
        <w:t>interpretation</w:t>
      </w:r>
      <w:r>
        <w:rPr>
          <w:rFonts w:ascii="Times New Roman" w:hAnsi="Times New Roman" w:hint="default"/>
          <w:sz w:val="24"/>
          <w:szCs w:val="24"/>
          <w:rtl w:val="0"/>
          <w:lang w:val="en-US"/>
        </w:rPr>
        <w:t> </w:t>
      </w:r>
      <w:r>
        <w:rPr>
          <w:rFonts w:ascii="Times New Roman" w:hAnsi="Times New Roman"/>
          <w:sz w:val="24"/>
          <w:szCs w:val="24"/>
          <w:rtl w:val="0"/>
          <w:lang w:val="en-US"/>
        </w:rPr>
        <w:t>during the hearing before the RPD.</w:t>
      </w:r>
      <w:bookmarkStart w:name="_ednref5" w:id="0"/>
      <w:r>
        <w:rPr>
          <w:rFonts w:ascii="Times New Roman" w:cs="Times New Roman" w:hAnsi="Times New Roman" w:eastAsia="Times New Roman"/>
          <w:sz w:val="24"/>
          <w:szCs w:val="24"/>
          <w:vertAlign w:val="superscript"/>
          <w:lang w:val="en-US"/>
        </w:rPr>
        <w:endnoteReference w:id="14"/>
      </w:r>
      <w:bookmarkEnd w:id="0"/>
      <w:r>
        <w:rPr>
          <w:rFonts w:ascii="Times New Roman" w:hAnsi="Times New Roman"/>
          <w:sz w:val="24"/>
          <w:szCs w:val="24"/>
          <w:rtl w:val="0"/>
          <w:lang w:val="en-US"/>
        </w:rPr>
        <w:t xml:space="preserve"> There was no such objection during the RPD hearing.</w:t>
      </w:r>
    </w:p>
    <w:p>
      <w:pPr>
        <w:pStyle w:val="List Paragraph"/>
        <w:numPr>
          <w:ilvl w:val="0"/>
          <w:numId w:val="9"/>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As was pointed out by the Supreme Court, "the underlying principle behind all of the interests protected by the right to interpreter assistance </w:t>
      </w: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hint="default"/>
          <w:sz w:val="24"/>
          <w:szCs w:val="24"/>
          <w:rtl w:val="0"/>
          <w:lang w:val="en-US"/>
        </w:rPr>
        <w:t> </w:t>
      </w:r>
      <w:r>
        <w:rPr>
          <w:rFonts w:ascii="Times New Roman" w:hAnsi="Times New Roman"/>
          <w:sz w:val="24"/>
          <w:szCs w:val="24"/>
          <w:rtl w:val="0"/>
          <w:lang w:val="en-US"/>
        </w:rPr>
        <w:t>is that of linguistic</w:t>
      </w:r>
      <w:r>
        <w:rPr>
          <w:rFonts w:ascii="Times New Roman" w:hAnsi="Times New Roman" w:hint="default"/>
          <w:sz w:val="24"/>
          <w:szCs w:val="24"/>
          <w:rtl w:val="0"/>
          <w:lang w:val="en-US"/>
        </w:rPr>
        <w:t> </w:t>
      </w:r>
      <w:r>
        <w:rPr>
          <w:rFonts w:ascii="Times New Roman" w:hAnsi="Times New Roman"/>
          <w:sz w:val="24"/>
          <w:szCs w:val="24"/>
          <w:rtl w:val="0"/>
          <w:lang w:val="en-US"/>
        </w:rPr>
        <w:t>understanding".</w:t>
      </w:r>
      <w:r>
        <w:rPr>
          <w:rFonts w:ascii="Times New Roman" w:cs="Times New Roman" w:hAnsi="Times New Roman" w:eastAsia="Times New Roman"/>
          <w:sz w:val="24"/>
          <w:szCs w:val="24"/>
          <w:vertAlign w:val="superscript"/>
          <w:lang w:val="en-US"/>
        </w:rPr>
        <w:endnoteReference w:id="15"/>
      </w:r>
      <w:r>
        <w:rPr>
          <w:rStyle w:val="None"/>
          <w:rFonts w:ascii="Times New Roman" w:hAnsi="Times New Roman"/>
          <w:sz w:val="24"/>
          <w:szCs w:val="24"/>
          <w:vertAlign w:val="superscript"/>
          <w:rtl w:val="0"/>
          <w:lang w:val="en-US"/>
        </w:rPr>
        <w:t xml:space="preserve"> </w:t>
      </w:r>
      <w:r>
        <w:rPr>
          <w:rStyle w:val="None"/>
          <w:rFonts w:ascii="Times New Roman" w:hAnsi="Times New Roman"/>
          <w:sz w:val="24"/>
          <w:szCs w:val="24"/>
          <w:rtl w:val="0"/>
          <w:lang w:val="en-US"/>
        </w:rPr>
        <w:t>The principles surrounding interpretation have been summarized by the Federal Court</w:t>
      </w:r>
    </w:p>
    <w:p>
      <w:pPr>
        <w:pStyle w:val="List Paragraph"/>
        <w:numPr>
          <w:ilvl w:val="0"/>
          <w:numId w:val="11"/>
        </w:numPr>
        <w:bidi w:val="0"/>
        <w:spacing w:before="240" w:after="240"/>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 interpretation must be precise, continuous, competent, impartial and contemporaneous.</w:t>
      </w:r>
    </w:p>
    <w:p>
      <w:pPr>
        <w:pStyle w:val="List Paragraph"/>
        <w:numPr>
          <w:ilvl w:val="0"/>
          <w:numId w:val="11"/>
        </w:numPr>
        <w:bidi w:val="0"/>
        <w:spacing w:before="240" w:after="240"/>
        <w:ind w:right="0"/>
        <w:jc w:val="left"/>
        <w:rPr>
          <w:rFonts w:ascii="Times New Roman" w:hAnsi="Times New Roman"/>
          <w:sz w:val="24"/>
          <w:szCs w:val="24"/>
          <w:rtl w:val="0"/>
          <w:lang w:val="en-US"/>
        </w:rPr>
      </w:pPr>
      <w:r>
        <w:rPr>
          <w:rStyle w:val="None"/>
          <w:rFonts w:ascii="Times New Roman" w:hAnsi="Times New Roman"/>
          <w:sz w:val="24"/>
          <w:szCs w:val="24"/>
          <w:rtl w:val="0"/>
          <w:lang w:val="en-US"/>
        </w:rPr>
        <w:t>No proof of actual prejudice is required as a condition of obtaining relief.</w:t>
      </w:r>
    </w:p>
    <w:p>
      <w:pPr>
        <w:pStyle w:val="List Paragraph"/>
        <w:numPr>
          <w:ilvl w:val="0"/>
          <w:numId w:val="11"/>
        </w:numPr>
        <w:bidi w:val="0"/>
        <w:spacing w:before="240" w:after="240"/>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 right is to adequate translation not perfect translation. The fundamental value is linguistic understanding.</w:t>
      </w:r>
    </w:p>
    <w:p>
      <w:pPr>
        <w:pStyle w:val="List Paragraph"/>
        <w:numPr>
          <w:ilvl w:val="0"/>
          <w:numId w:val="11"/>
        </w:numPr>
        <w:bidi w:val="0"/>
        <w:spacing w:before="240" w:after="240"/>
        <w:ind w:right="0"/>
        <w:jc w:val="left"/>
        <w:rPr>
          <w:rFonts w:ascii="Times New Roman" w:hAnsi="Times New Roman"/>
          <w:sz w:val="24"/>
          <w:szCs w:val="24"/>
          <w:rtl w:val="0"/>
          <w:lang w:val="en-US"/>
        </w:rPr>
      </w:pPr>
      <w:r>
        <w:rPr>
          <w:rStyle w:val="None"/>
          <w:rFonts w:ascii="Times New Roman" w:hAnsi="Times New Roman"/>
          <w:sz w:val="24"/>
          <w:szCs w:val="24"/>
          <w:rtl w:val="0"/>
          <w:lang w:val="en-US"/>
        </w:rPr>
        <w:t>Waiver of the right results if an objection to the quality of the translation is not raised by a claimant at the first opportunity in those cases where it is reasonable to expect that a complaint be made.</w:t>
      </w:r>
    </w:p>
    <w:p>
      <w:pPr>
        <w:pStyle w:val="List Paragraph"/>
        <w:numPr>
          <w:ilvl w:val="0"/>
          <w:numId w:val="11"/>
        </w:numPr>
        <w:bidi w:val="0"/>
        <w:spacing w:before="240" w:after="240"/>
        <w:ind w:right="0"/>
        <w:jc w:val="left"/>
        <w:rPr>
          <w:rFonts w:ascii="Times New Roman" w:hAnsi="Times New Roman"/>
          <w:sz w:val="24"/>
          <w:szCs w:val="24"/>
          <w:rtl w:val="0"/>
          <w:lang w:val="en-US"/>
        </w:rPr>
      </w:pPr>
      <w:r>
        <w:rPr>
          <w:rStyle w:val="None"/>
          <w:rFonts w:ascii="Times New Roman" w:hAnsi="Times New Roman"/>
          <w:sz w:val="24"/>
          <w:szCs w:val="24"/>
          <w:rtl w:val="0"/>
          <w:lang w:val="en-US"/>
        </w:rPr>
        <w:t>It is a question of fact in each case whether it is reasonable to expect that a complaint be made about the inadequacy of interpretation.</w:t>
      </w:r>
    </w:p>
    <w:p>
      <w:pPr>
        <w:pStyle w:val="List Paragraph"/>
        <w:numPr>
          <w:ilvl w:val="0"/>
          <w:numId w:val="11"/>
        </w:numPr>
        <w:bidi w:val="0"/>
        <w:spacing w:before="240" w:after="240"/>
        <w:ind w:right="0"/>
        <w:jc w:val="left"/>
        <w:rPr>
          <w:rFonts w:ascii="Times New Roman" w:hAnsi="Times New Roman"/>
          <w:sz w:val="24"/>
          <w:szCs w:val="24"/>
          <w:rtl w:val="0"/>
          <w:lang w:val="en-US"/>
        </w:rPr>
      </w:pPr>
      <w:r>
        <w:rPr>
          <w:rStyle w:val="None"/>
          <w:rFonts w:ascii="Times New Roman" w:hAnsi="Times New Roman"/>
          <w:sz w:val="24"/>
          <w:szCs w:val="24"/>
          <w:rtl w:val="0"/>
          <w:lang w:val="en-US"/>
        </w:rPr>
        <w:t>If the interpreter is having difficulty speaking an applicant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language and being understood by him it is a matter which should be raised at the earliest opportunity.</w:t>
      </w:r>
      <w:r>
        <w:rPr>
          <w:rStyle w:val="None"/>
          <w:rFonts w:ascii="Times New Roman" w:cs="Times New Roman" w:hAnsi="Times New Roman" w:eastAsia="Times New Roman"/>
          <w:sz w:val="24"/>
          <w:szCs w:val="24"/>
          <w:vertAlign w:val="superscript"/>
          <w:lang w:val="en-US"/>
        </w:rPr>
        <w:endnoteReference w:id="16"/>
      </w:r>
    </w:p>
    <w:p>
      <w:pPr>
        <w:pStyle w:val="List Paragraph"/>
        <w:numPr>
          <w:ilvl w:val="0"/>
          <w:numId w:val="12"/>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I have reviewed the audio hearing. I have found one instance where the RPD questioned whether the Appellant was understanding the translation and one instance where the interpreter expressed her opinion that the Appellant did not speak Spanish very well. I agree that the interpretation was not, at all times, a word-for-word translation as the translator would ask clarifying questions or listen to a large block of testimony before translating it. The translator commented that the Appellant did not express himself well in Spanish</w:t>
      </w:r>
      <w:r>
        <w:rPr>
          <w:rStyle w:val="None"/>
          <w:rFonts w:ascii="Times New Roman" w:cs="Times New Roman" w:hAnsi="Times New Roman" w:eastAsia="Times New Roman"/>
          <w:sz w:val="24"/>
          <w:szCs w:val="24"/>
          <w:vertAlign w:val="superscript"/>
          <w:lang w:val="en-US"/>
        </w:rPr>
        <w:endnoteReference w:id="17"/>
      </w:r>
      <w:r>
        <w:rPr>
          <w:rStyle w:val="None"/>
          <w:rFonts w:ascii="Times New Roman" w:hAnsi="Times New Roman"/>
          <w:sz w:val="24"/>
          <w:szCs w:val="24"/>
          <w:rtl w:val="0"/>
          <w:lang w:val="en-US"/>
        </w:rPr>
        <w:t xml:space="preserve"> and the RPD member indicated that he would take this into consideration in his decision. The Appellant responded that he was stressed as this was his first experience in a court.</w:t>
      </w:r>
      <w:r>
        <w:rPr>
          <w:rStyle w:val="None"/>
          <w:rFonts w:ascii="Times New Roman" w:cs="Times New Roman" w:hAnsi="Times New Roman" w:eastAsia="Times New Roman"/>
          <w:sz w:val="24"/>
          <w:szCs w:val="24"/>
          <w:vertAlign w:val="superscript"/>
          <w:lang w:val="en-US"/>
        </w:rPr>
        <w:endnoteReference w:id="18"/>
      </w:r>
      <w:r>
        <w:rPr>
          <w:rStyle w:val="None"/>
          <w:rFonts w:ascii="Times New Roman" w:hAnsi="Times New Roman"/>
          <w:sz w:val="24"/>
          <w:szCs w:val="24"/>
          <w:rtl w:val="0"/>
          <w:lang w:val="en-US"/>
        </w:rPr>
        <w:t xml:space="preserve"> I also find that the translator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insistence that she be allowed to take a break after the RPD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questions were entirely reasonable. At that point, she had been translating detailed testimony for more than 1.5 hours.</w:t>
      </w:r>
    </w:p>
    <w:p>
      <w:pPr>
        <w:pStyle w:val="List Paragraph"/>
        <w:numPr>
          <w:ilvl w:val="0"/>
          <w:numId w:val="9"/>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I find that the difficulties expressed by the Appellant in his affidavit cannot be attributed to problems with the interpreter.</w:t>
      </w:r>
      <w:r>
        <w:rPr>
          <w:rStyle w:val="None"/>
          <w:rFonts w:ascii="Calibri" w:cs="Calibri" w:hAnsi="Calibri" w:eastAsia="Calibri"/>
          <w:sz w:val="22"/>
          <w:szCs w:val="22"/>
          <w:vertAlign w:val="superscript"/>
          <w:lang w:val="en-US"/>
        </w:rPr>
        <w:endnoteReference w:id="19"/>
      </w:r>
      <w:r>
        <w:rPr>
          <w:rStyle w:val="None"/>
          <w:rFonts w:ascii="Times New Roman" w:hAnsi="Times New Roman"/>
          <w:sz w:val="24"/>
          <w:szCs w:val="24"/>
          <w:vertAlign w:val="superscript"/>
          <w:rtl w:val="0"/>
          <w:lang w:val="en-US"/>
        </w:rPr>
        <w:t xml:space="preserve"> </w:t>
      </w:r>
      <w:r>
        <w:rPr>
          <w:rStyle w:val="None"/>
          <w:rFonts w:ascii="Times New Roman" w:hAnsi="Times New Roman"/>
          <w:sz w:val="24"/>
          <w:szCs w:val="24"/>
          <w:rtl w:val="0"/>
          <w:lang w:val="en-US"/>
        </w:rPr>
        <w:t xml:space="preserve">The Appellant had difficulty answering precise questions. There were three instances during the hearing where the translator was unable to provide a clear translation: there is only one of these that could be attributed to a translation problem. These instances are: Mr. </w:t>
      </w:r>
      <w:r>
        <w:rPr>
          <w:rStyle w:val="None"/>
          <w:rFonts w:ascii="Times New Roman" w:hAnsi="Times New Roman"/>
          <w:sz w:val="24"/>
          <w:szCs w:val="24"/>
          <w:rtl w:val="0"/>
          <w:lang w:val="en-US"/>
        </w:rPr>
        <w:t>Vanegas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Vel</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squez</w:t>
      </w:r>
      <w:r>
        <w:rPr>
          <w:rStyle w:val="None"/>
          <w:rFonts w:ascii="Times New Roman" w:hAnsi="Times New Roman"/>
          <w:sz w:val="24"/>
          <w:szCs w:val="24"/>
          <w:rtl w:val="0"/>
          <w:lang w:val="en-US"/>
        </w:rPr>
        <w:t xml:space="preserve"> was asked what candidate was supported by the Black Eagles in the election and instead explained that the Black Eagles controlled the village and he was campaigning to take back the village</w:t>
      </w:r>
      <w:r>
        <w:rPr>
          <w:rStyle w:val="None"/>
          <w:rFonts w:ascii="Calibri" w:cs="Calibri" w:hAnsi="Calibri" w:eastAsia="Calibri"/>
          <w:sz w:val="22"/>
          <w:szCs w:val="22"/>
          <w:vertAlign w:val="superscript"/>
          <w:lang w:val="en-US"/>
        </w:rPr>
        <w:endnoteReference w:id="20"/>
      </w:r>
      <w:r>
        <w:rPr>
          <w:rStyle w:val="None"/>
          <w:rFonts w:ascii="Times New Roman" w:hAnsi="Times New Roman"/>
          <w:sz w:val="24"/>
          <w:szCs w:val="24"/>
          <w:rtl w:val="0"/>
          <w:lang w:val="en-US"/>
        </w:rPr>
        <w:t>; he was asked what event was the most critical or important for him and instead summarized all the events</w:t>
      </w:r>
      <w:r>
        <w:rPr>
          <w:rStyle w:val="None"/>
          <w:rFonts w:ascii="Calibri" w:cs="Calibri" w:hAnsi="Calibri" w:eastAsia="Calibri"/>
          <w:sz w:val="22"/>
          <w:szCs w:val="22"/>
          <w:vertAlign w:val="superscript"/>
          <w:lang w:val="en-US"/>
        </w:rPr>
        <w:endnoteReference w:id="21"/>
      </w:r>
      <w:r>
        <w:rPr>
          <w:rStyle w:val="None"/>
          <w:rFonts w:ascii="Times New Roman" w:hAnsi="Times New Roman"/>
          <w:sz w:val="24"/>
          <w:szCs w:val="24"/>
          <w:rtl w:val="0"/>
          <w:lang w:val="en-US"/>
        </w:rPr>
        <w:t>; he was asked to explain a contradiction in his evidence, being that he had testified to moving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w:t>
      </w:r>
      <w:r>
        <w:rPr>
          <w:rStyle w:val="None"/>
          <w:rFonts w:ascii="Times New Roman" w:hAnsi="Times New Roman" w:hint="default"/>
          <w:sz w:val="24"/>
          <w:szCs w:val="24"/>
          <w:rtl w:val="0"/>
          <w:lang w:val="en-US"/>
        </w:rPr>
        <w:t>é</w:t>
      </w:r>
      <w:r>
        <w:rPr>
          <w:rStyle w:val="None"/>
          <w:rFonts w:ascii="Times New Roman" w:hAnsi="Times New Roman"/>
          <w:sz w:val="24"/>
          <w:szCs w:val="24"/>
          <w:rtl w:val="0"/>
          <w:lang w:val="en-US"/>
        </w:rPr>
        <w:t>menagement</w:t>
      </w:r>
      <w:r>
        <w:rPr>
          <w:rStyle w:val="None"/>
          <w:rFonts w:ascii="Times New Roman" w:hAnsi="Times New Roman" w:hint="default"/>
          <w:sz w:val="24"/>
          <w:szCs w:val="24"/>
          <w:rtl w:val="0"/>
          <w:lang w:val="en-US"/>
        </w:rPr>
        <w:t>”</w:t>
      </w:r>
      <w:r>
        <w:rPr>
          <w:rStyle w:val="None"/>
          <w:rFonts w:ascii="Calibri" w:cs="Calibri" w:hAnsi="Calibri" w:eastAsia="Calibri"/>
          <w:sz w:val="22"/>
          <w:szCs w:val="22"/>
          <w:vertAlign w:val="superscript"/>
          <w:lang w:val="en-US"/>
        </w:rPr>
        <w:endnoteReference w:id="22"/>
      </w:r>
      <w:r>
        <w:rPr>
          <w:rStyle w:val="None"/>
          <w:rFonts w:ascii="Times New Roman" w:hAnsi="Times New Roman"/>
          <w:sz w:val="24"/>
          <w:szCs w:val="24"/>
          <w:rtl w:val="0"/>
          <w:lang w:val="en-US"/>
        </w:rPr>
        <w:t xml:space="preserve">) to Bogota after the assault in 2014 while his written evidence showed that he already lived in Bogota at the time of the 2014 assaults. Instead of answering the question, Mr. </w:t>
      </w:r>
      <w:r>
        <w:rPr>
          <w:rStyle w:val="None"/>
          <w:rFonts w:ascii="Times New Roman" w:hAnsi="Times New Roman"/>
          <w:sz w:val="24"/>
          <w:szCs w:val="24"/>
          <w:rtl w:val="0"/>
          <w:lang w:val="en-US"/>
        </w:rPr>
        <w:t>Vanegas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Vel</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squez</w:t>
      </w:r>
      <w:r>
        <w:rPr>
          <w:rStyle w:val="None"/>
          <w:rFonts w:ascii="Times New Roman" w:hAnsi="Times New Roman"/>
          <w:sz w:val="24"/>
          <w:szCs w:val="24"/>
          <w:rtl w:val="0"/>
          <w:lang w:val="en-US"/>
        </w:rPr>
        <w:t xml:space="preserve"> explained why he had a US visa, when he visited his family, what threats had been made to his wife, etc. Even for this last issue, I have difficulty in agreeing that the translation may have affected the testimony. Mr. </w:t>
      </w:r>
      <w:r>
        <w:rPr>
          <w:rStyle w:val="None"/>
          <w:rFonts w:ascii="Times New Roman" w:hAnsi="Times New Roman"/>
          <w:sz w:val="24"/>
          <w:szCs w:val="24"/>
          <w:rtl w:val="0"/>
          <w:lang w:val="en-US"/>
        </w:rPr>
        <w:t>Vanegas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Vel</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squez</w:t>
      </w:r>
      <w:r>
        <w:rPr>
          <w:rStyle w:val="None"/>
          <w:rFonts w:ascii="Times New Roman" w:hAnsi="Times New Roman"/>
          <w:sz w:val="24"/>
          <w:szCs w:val="24"/>
          <w:rtl w:val="0"/>
          <w:lang w:val="en-US"/>
        </w:rPr>
        <w:t xml:space="preserve"> did not answer the question despite being given several opportunities to do so. Having reviewed the oral and written evidence, I am satisfied that the interpretation services provided to the Appellant did not result in any linguistic misunderstanding between the Appellant and the RPD panel. The Appellant has failed to demonstrate how the conclusions drawn by the RPD, particularly regarding his crediblity were due to alleged interpretation errors rather than shortcomings in his testimony. I am satisfied that the interpretation services did not result in linguistic misunderstanding so as to breach the Appellant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right to procedural fairness.</w:t>
      </w:r>
    </w:p>
    <w:p>
      <w:pPr>
        <w:pStyle w:val="List Paragraph"/>
        <w:tabs>
          <w:tab w:val="left" w:pos="709"/>
        </w:tabs>
        <w:spacing w:before="240" w:after="120" w:line="360" w:lineRule="auto"/>
        <w:ind w:left="0" w:firstLine="0"/>
        <w:jc w:val="both"/>
        <w:rPr>
          <w:rStyle w:val="None"/>
          <w:b w:val="1"/>
          <w:bCs w:val="1"/>
          <w:lang w:val="en-US"/>
        </w:rPr>
      </w:pPr>
      <w:r>
        <w:rPr>
          <w:rStyle w:val="None"/>
          <w:rFonts w:ascii="Times New Roman" w:hAnsi="Times New Roman"/>
          <w:b w:val="1"/>
          <w:bCs w:val="1"/>
          <w:sz w:val="24"/>
          <w:szCs w:val="24"/>
          <w:rtl w:val="0"/>
          <w:lang w:val="en-US"/>
        </w:rPr>
        <w:t>Presumption of Truth and Credibility Findings</w:t>
      </w:r>
    </w:p>
    <w:p>
      <w:pPr>
        <w:pStyle w:val="List Paragraph"/>
        <w:numPr>
          <w:ilvl w:val="0"/>
          <w:numId w:val="9"/>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 Appellants argue that the RPD erred in its findings that the Appellants were not credible. They argue that they were held to a higher standard of proof and the RPD erroneously impugned their credibility for their lack of knowledge of the Black Eagles group, a group of which they were not a part and concerning which they had little immediate knowledge. The RPD also erred in its assessment of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evidence, rejecting documents for what they did not say rather than for what they did say. The Appellants argue that the RPD did not sufficiently rebut the presumption of truthfulness and relied on peripheral inconsistencies and omissions in order to do so. Further, the Appellants argue that the RPD refused to accept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reasonable explanations for these alleged omissions and inconsistencies.</w:t>
      </w:r>
    </w:p>
    <w:p>
      <w:pPr>
        <w:pStyle w:val="List Paragraph"/>
        <w:numPr>
          <w:ilvl w:val="0"/>
          <w:numId w:val="9"/>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 RPD found that there were numerous omissions, inconsistencies and gaps in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testimony as set out above.</w:t>
      </w:r>
      <w:r>
        <w:rPr>
          <w:rStyle w:val="None"/>
          <w:rFonts w:ascii="Times New Roman" w:cs="Times New Roman" w:hAnsi="Times New Roman" w:eastAsia="Times New Roman"/>
          <w:sz w:val="24"/>
          <w:szCs w:val="24"/>
          <w:vertAlign w:val="superscript"/>
          <w:lang w:val="en-US"/>
        </w:rPr>
        <w:endnoteReference w:id="23"/>
      </w:r>
      <w:r>
        <w:rPr>
          <w:rStyle w:val="None"/>
          <w:rFonts w:ascii="Times New Roman" w:hAnsi="Times New Roman"/>
          <w:sz w:val="24"/>
          <w:szCs w:val="24"/>
          <w:rtl w:val="0"/>
          <w:lang w:val="en-US"/>
        </w:rPr>
        <w:t xml:space="preserve"> In </w:t>
      </w:r>
      <w:r>
        <w:rPr>
          <w:rStyle w:val="None"/>
          <w:rFonts w:ascii="Times New Roman" w:hAnsi="Times New Roman"/>
          <w:i w:val="1"/>
          <w:iCs w:val="1"/>
          <w:sz w:val="24"/>
          <w:szCs w:val="24"/>
          <w:rtl w:val="0"/>
          <w:lang w:val="en-US"/>
        </w:rPr>
        <w:t>Maldonado</w:t>
      </w:r>
      <w:r>
        <w:rPr>
          <w:rStyle w:val="None"/>
          <w:rFonts w:ascii="Times New Roman" w:hAnsi="Times New Roman"/>
          <w:sz w:val="24"/>
          <w:szCs w:val="24"/>
          <w:rtl w:val="0"/>
          <w:lang w:val="en-US"/>
        </w:rPr>
        <w:t>, the Federal Court of Appeal held that when an applicant swears to the truth of certain allegations, a presumption is created that those allegations are true unless there is reason to doubt their truthfulness.</w:t>
      </w:r>
      <w:r>
        <w:rPr>
          <w:rStyle w:val="None"/>
          <w:rFonts w:ascii="Times New Roman" w:cs="Times New Roman" w:hAnsi="Times New Roman" w:eastAsia="Times New Roman"/>
          <w:sz w:val="24"/>
          <w:szCs w:val="24"/>
          <w:vertAlign w:val="superscript"/>
          <w:lang w:val="en-US"/>
        </w:rPr>
        <w:endnoteReference w:id="24"/>
      </w:r>
      <w:r>
        <w:rPr>
          <w:rStyle w:val="None"/>
          <w:rFonts w:ascii="Times New Roman" w:hAnsi="Times New Roman"/>
          <w:sz w:val="24"/>
          <w:szCs w:val="24"/>
          <w:rtl w:val="0"/>
          <w:lang w:val="en-US"/>
        </w:rPr>
        <w:t xml:space="preserve"> This presumption applies to the totality of the evidence. However, as the Federal Court has noted,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The presumption is rebuttable where the evidence on the record is inconsistent with a claimant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sworn testimony.</w:t>
      </w:r>
      <w:r>
        <w:rPr>
          <w:rStyle w:val="None"/>
          <w:rFonts w:ascii="Times New Roman" w:hAnsi="Times New Roman" w:hint="default"/>
          <w:sz w:val="24"/>
          <w:szCs w:val="24"/>
          <w:rtl w:val="0"/>
          <w:lang w:val="en-US"/>
        </w:rPr>
        <w:t>”</w:t>
      </w:r>
      <w:r>
        <w:rPr>
          <w:rStyle w:val="None"/>
          <w:rFonts w:ascii="Times New Roman" w:cs="Times New Roman" w:hAnsi="Times New Roman" w:eastAsia="Times New Roman"/>
          <w:sz w:val="24"/>
          <w:szCs w:val="24"/>
          <w:vertAlign w:val="superscript"/>
          <w:lang w:val="en-US"/>
        </w:rPr>
        <w:endnoteReference w:id="25"/>
      </w:r>
      <w:r>
        <w:rPr>
          <w:rStyle w:val="None"/>
          <w:rFonts w:ascii="Times New Roman" w:hAnsi="Times New Roman"/>
          <w:sz w:val="24"/>
          <w:szCs w:val="24"/>
          <w:rtl w:val="0"/>
          <w:lang w:val="en-US"/>
        </w:rPr>
        <w:t xml:space="preserve"> As I will explain, I find that the presumption has been rebutted because of the multiple contradictions, ambiguities and omissions in his testimony.</w:t>
      </w:r>
    </w:p>
    <w:p>
      <w:pPr>
        <w:pStyle w:val="List Paragraph"/>
        <w:numPr>
          <w:ilvl w:val="0"/>
          <w:numId w:val="13"/>
        </w:numPr>
        <w:bidi w:val="0"/>
        <w:spacing w:before="240" w:after="240" w:line="360" w:lineRule="auto"/>
        <w:ind w:right="0"/>
        <w:jc w:val="left"/>
        <w:rPr>
          <w:sz w:val="24"/>
          <w:szCs w:val="24"/>
          <w:rtl w:val="0"/>
          <w:lang w:val="en-US"/>
        </w:rPr>
      </w:pPr>
      <w:r>
        <w:rPr>
          <w:rStyle w:val="None"/>
          <w:rFonts w:ascii="Times New Roman" w:hAnsi="Times New Roman"/>
          <w:sz w:val="24"/>
          <w:szCs w:val="24"/>
          <w:rtl w:val="0"/>
          <w:lang w:val="en-US"/>
        </w:rPr>
        <w:t>As a matter of law, it is open to the Refugee Appeal Division (RAD) and the RPD to draw negative inferences from a material omission or a contradiction in testimony.</w:t>
      </w:r>
      <w:r>
        <w:rPr>
          <w:rStyle w:val="None"/>
          <w:rFonts w:ascii="Times New Roman" w:cs="Times New Roman" w:hAnsi="Times New Roman" w:eastAsia="Times New Roman"/>
          <w:sz w:val="24"/>
          <w:szCs w:val="24"/>
          <w:vertAlign w:val="superscript"/>
          <w:lang w:val="en-US"/>
        </w:rPr>
        <w:endnoteReference w:id="26"/>
      </w:r>
      <w:r>
        <w:rPr>
          <w:rStyle w:val="None"/>
          <w:rFonts w:ascii="Times New Roman" w:hAnsi="Times New Roman"/>
          <w:sz w:val="24"/>
          <w:szCs w:val="24"/>
          <w:vertAlign w:val="superscript"/>
          <w:rtl w:val="0"/>
          <w:lang w:val="en-US"/>
        </w:rPr>
        <w:t xml:space="preserve"> </w:t>
      </w:r>
      <w:r>
        <w:rPr>
          <w:rStyle w:val="None"/>
          <w:rFonts w:ascii="Times New Roman" w:hAnsi="Times New Roman"/>
          <w:sz w:val="24"/>
          <w:szCs w:val="24"/>
          <w:rtl w:val="0"/>
          <w:lang w:val="en-US"/>
        </w:rPr>
        <w:t>A material omission is an element that is central to the claim,</w:t>
      </w:r>
      <w:r>
        <w:rPr>
          <w:rStyle w:val="None"/>
          <w:rFonts w:ascii="Times New Roman" w:cs="Times New Roman" w:hAnsi="Times New Roman" w:eastAsia="Times New Roman"/>
          <w:sz w:val="24"/>
          <w:szCs w:val="24"/>
          <w:vertAlign w:val="superscript"/>
          <w:lang w:val="en-US"/>
        </w:rPr>
        <w:endnoteReference w:id="27"/>
      </w:r>
      <w:r>
        <w:rPr>
          <w:rStyle w:val="None"/>
          <w:rFonts w:ascii="Times New Roman" w:hAnsi="Times New Roman"/>
          <w:sz w:val="24"/>
          <w:szCs w:val="24"/>
          <w:rtl w:val="0"/>
          <w:lang w:val="en-US"/>
        </w:rPr>
        <w:t xml:space="preserve"> including the risks allegedly faced in the country of origin.</w:t>
      </w:r>
      <w:r>
        <w:rPr>
          <w:rStyle w:val="None"/>
          <w:rFonts w:ascii="Times New Roman" w:cs="Times New Roman" w:hAnsi="Times New Roman" w:eastAsia="Times New Roman"/>
          <w:sz w:val="24"/>
          <w:szCs w:val="24"/>
          <w:vertAlign w:val="superscript"/>
          <w:lang w:val="en-US"/>
        </w:rPr>
        <w:endnoteReference w:id="28"/>
      </w:r>
      <w:r>
        <w:rPr>
          <w:rStyle w:val="None"/>
          <w:rFonts w:ascii="Times New Roman" w:hAnsi="Times New Roman"/>
          <w:sz w:val="24"/>
          <w:szCs w:val="24"/>
          <w:rtl w:val="0"/>
          <w:lang w:val="en-US"/>
        </w:rPr>
        <w:t xml:space="preserve"> In this case, I find that there are several unexplained omissions and contradictions which affect the credibility of this claim. While I agree with the Appellants that each individual one of these omissions or contradictions is not determinative, I find that, taken as a group, these omissions and contradictions negatively affect the credibility of these claims.</w:t>
      </w:r>
    </w:p>
    <w:p>
      <w:pPr>
        <w:pStyle w:val="List Paragraph"/>
        <w:numPr>
          <w:ilvl w:val="1"/>
          <w:numId w:val="13"/>
        </w:numPr>
        <w:bidi w:val="0"/>
        <w:spacing w:before="240" w:after="120" w:line="360" w:lineRule="auto"/>
        <w:ind w:right="0"/>
        <w:jc w:val="both"/>
        <w:rPr>
          <w:rFonts w:ascii="Times New Roman" w:hAnsi="Times New Roman"/>
          <w:sz w:val="24"/>
          <w:szCs w:val="24"/>
          <w:rtl w:val="0"/>
          <w:lang w:val="en-US"/>
        </w:rPr>
      </w:pPr>
      <w:r>
        <w:rPr>
          <w:rStyle w:val="solexhl"/>
          <w:rFonts w:ascii="Times New Roman" w:hAnsi="Times New Roman"/>
          <w:sz w:val="24"/>
          <w:szCs w:val="24"/>
          <w:rtl w:val="0"/>
          <w:lang w:val="en-US"/>
        </w:rPr>
        <w:t>Political knowledge and electoral information</w:t>
      </w:r>
    </w:p>
    <w:p>
      <w:pPr>
        <w:pStyle w:val="List Paragraph"/>
        <w:numPr>
          <w:ilvl w:val="0"/>
          <w:numId w:val="9"/>
        </w:numPr>
        <w:shd w:val="clear" w:color="auto" w:fill="ffffff"/>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 Appellant testified that the elections were held at the beginning of 2018 but could not recall the month of the regional elections.</w:t>
      </w:r>
      <w:r>
        <w:rPr>
          <w:rStyle w:val="None"/>
          <w:rFonts w:ascii="Times New Roman" w:cs="Times New Roman" w:hAnsi="Times New Roman" w:eastAsia="Times New Roman"/>
          <w:sz w:val="24"/>
          <w:szCs w:val="24"/>
          <w:vertAlign w:val="superscript"/>
          <w:lang w:val="en-US"/>
        </w:rPr>
        <w:endnoteReference w:id="29"/>
      </w:r>
      <w:r>
        <w:rPr>
          <w:rStyle w:val="None"/>
          <w:rFonts w:ascii="Times New Roman" w:hAnsi="Times New Roman"/>
          <w:sz w:val="24"/>
          <w:szCs w:val="24"/>
          <w:rtl w:val="0"/>
          <w:lang w:val="en-US"/>
        </w:rPr>
        <w:t xml:space="preserve"> He later testified that the elections happened around the middle of the year but he was not a candidate for the election himself. This is a key issue as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claim is based on their political involvement. It is an important inconsistency that Mr. </w:t>
      </w:r>
      <w:r>
        <w:rPr>
          <w:rStyle w:val="None"/>
          <w:rFonts w:ascii="Times New Roman" w:hAnsi="Times New Roman"/>
          <w:sz w:val="24"/>
          <w:szCs w:val="24"/>
          <w:rtl w:val="0"/>
          <w:lang w:val="en-US"/>
        </w:rPr>
        <w:t>Vanegas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Vel</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squez</w:t>
      </w:r>
      <w:r>
        <w:rPr>
          <w:rStyle w:val="None"/>
          <w:rFonts w:ascii="Times New Roman" w:hAnsi="Times New Roman"/>
          <w:sz w:val="24"/>
          <w:szCs w:val="24"/>
          <w:rtl w:val="0"/>
          <w:lang w:val="en-US"/>
        </w:rPr>
        <w:t xml:space="preserve"> was not able to provide information about the electoral campaigns for which he collected information and distributed publicity materials. The RPD returned to this topic twice and the Appellant was not able to provide a month or year of the elections. He was not able to provide the names of any other candidates, the name of the mayor of the region in 2014 or how many people were on the council.</w:t>
      </w:r>
      <w:r>
        <w:rPr>
          <w:rStyle w:val="None"/>
          <w:rFonts w:ascii="Times New Roman" w:cs="Times New Roman" w:hAnsi="Times New Roman" w:eastAsia="Times New Roman"/>
          <w:sz w:val="24"/>
          <w:szCs w:val="24"/>
          <w:vertAlign w:val="superscript"/>
          <w:lang w:val="en-US"/>
        </w:rPr>
        <w:endnoteReference w:id="30"/>
      </w:r>
      <w:r>
        <w:rPr>
          <w:rStyle w:val="None"/>
          <w:rFonts w:ascii="Times New Roman" w:hAnsi="Times New Roman"/>
          <w:sz w:val="24"/>
          <w:szCs w:val="24"/>
          <w:rtl w:val="0"/>
          <w:lang w:val="en-US"/>
        </w:rPr>
        <w:t xml:space="preserve"> I also find that it is reasonable that a political operative would know the names of the opposing candidates and the incumbent politicians. The Appellant did not have a response when the RPD member confronted him with information that municipal elections were held in 2015 and 2019, and not in 2014 and 2018 as testified by the Appellant.</w:t>
      </w:r>
      <w:r>
        <w:rPr>
          <w:rStyle w:val="None"/>
          <w:rFonts w:ascii="Times New Roman" w:cs="Times New Roman" w:hAnsi="Times New Roman" w:eastAsia="Times New Roman"/>
          <w:sz w:val="24"/>
          <w:szCs w:val="24"/>
          <w:vertAlign w:val="superscript"/>
          <w:lang w:val="en-US"/>
        </w:rPr>
        <w:endnoteReference w:id="31"/>
      </w:r>
      <w:r>
        <w:rPr>
          <w:rStyle w:val="None"/>
          <w:rFonts w:ascii="Times New Roman" w:hAnsi="Times New Roman"/>
          <w:sz w:val="24"/>
          <w:szCs w:val="24"/>
          <w:rtl w:val="0"/>
          <w:lang w:val="en-US"/>
        </w:rPr>
        <w:t xml:space="preserve"> He could not provide the name of the head of the Conservative party when he joined the party in 2012, although the card indicated a name with the title of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president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on the card. These facts are important as the Appellants allege that the assaults and threats from the Black Eagles were a result of their political involvement. If the assaults and threats preceded the period of campaigning for the elections, the link between the threat to the Appellant and their political involvement becomes tenuous.</w:t>
      </w:r>
    </w:p>
    <w:p>
      <w:pPr>
        <w:pStyle w:val="List Paragraph"/>
        <w:numPr>
          <w:ilvl w:val="0"/>
          <w:numId w:val="16"/>
        </w:numPr>
        <w:shd w:val="clear" w:color="auto" w:fill="ffffff"/>
        <w:bidi w:val="0"/>
        <w:spacing w:before="240" w:after="120" w:line="36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Police investigations</w:t>
      </w:r>
    </w:p>
    <w:p>
      <w:pPr>
        <w:pStyle w:val="List Paragraph"/>
        <w:numPr>
          <w:ilvl w:val="0"/>
          <w:numId w:val="17"/>
        </w:numPr>
        <w:shd w:val="clear" w:color="auto" w:fill="ffffff"/>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 Appellants argue that their credibility was impugned based on the police decision to stop the investigation.</w:t>
      </w:r>
      <w:r>
        <w:rPr>
          <w:rStyle w:val="None"/>
          <w:rFonts w:ascii="Times New Roman" w:cs="Times New Roman" w:hAnsi="Times New Roman" w:eastAsia="Times New Roman"/>
          <w:sz w:val="24"/>
          <w:szCs w:val="24"/>
          <w:vertAlign w:val="superscript"/>
          <w:lang w:val="en-US"/>
        </w:rPr>
        <w:endnoteReference w:id="32"/>
      </w:r>
      <w:r>
        <w:rPr>
          <w:rStyle w:val="None"/>
          <w:rFonts w:ascii="Times New Roman" w:hAnsi="Times New Roman"/>
          <w:sz w:val="24"/>
          <w:szCs w:val="24"/>
          <w:rtl w:val="0"/>
          <w:lang w:val="en-US"/>
        </w:rPr>
        <w:t xml:space="preserve"> Having reviewed the decision and the audio recording of the hearing, I find that the RPD did not impugn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credibility based on the actions of the police. Rather, the RPD questioned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failure to follow up on their complaints made in 2014 or in 2018. I agree that this failure undermines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allegation of fear from the Black Eagles.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credibility on this point is further undermined by Mr. </w:t>
      </w:r>
      <w:r>
        <w:rPr>
          <w:rStyle w:val="None"/>
          <w:rFonts w:ascii="Times New Roman" w:hAnsi="Times New Roman"/>
          <w:sz w:val="24"/>
          <w:szCs w:val="24"/>
          <w:rtl w:val="0"/>
          <w:lang w:val="en-US"/>
        </w:rPr>
        <w:t>Vanegas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Vel</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squez</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w:t>
      </w:r>
      <w:r>
        <w:rPr>
          <w:rStyle w:val="None"/>
          <w:rFonts w:ascii="Times New Roman" w:hAnsi="Times New Roman"/>
          <w:sz w:val="24"/>
          <w:szCs w:val="24"/>
          <w:rtl w:val="0"/>
          <w:lang w:val="en-US"/>
        </w:rPr>
        <w:t xml:space="preserve"> testimony that he did not flee with his valid US visa after 2014 as he was waiting for or relying on the investigation of the 2014 assault.</w:t>
      </w:r>
    </w:p>
    <w:p>
      <w:pPr>
        <w:pStyle w:val="List Paragraph"/>
        <w:numPr>
          <w:ilvl w:val="0"/>
          <w:numId w:val="18"/>
        </w:numPr>
        <w:shd w:val="clear" w:color="auto" w:fill="ffffff"/>
        <w:bidi w:val="0"/>
        <w:spacing w:before="240" w:after="120" w:line="360" w:lineRule="auto"/>
        <w:ind w:right="0"/>
        <w:jc w:val="both"/>
        <w:rPr>
          <w:rFonts w:ascii="Times New Roman" w:hAnsi="Times New Roman"/>
          <w:sz w:val="24"/>
          <w:szCs w:val="24"/>
          <w:rtl w:val="0"/>
          <w:lang w:val="en-US"/>
        </w:rPr>
      </w:pPr>
      <w:r>
        <w:rPr>
          <w:rStyle w:val="None"/>
          <w:rFonts w:ascii="Times New Roman" w:hAnsi="Times New Roman"/>
          <w:sz w:val="24"/>
          <w:szCs w:val="24"/>
          <w:rtl w:val="0"/>
          <w:lang w:val="en-US"/>
        </w:rPr>
        <w:t>Black Eagles</w:t>
      </w:r>
    </w:p>
    <w:p>
      <w:pPr>
        <w:pStyle w:val="List Paragraph"/>
        <w:numPr>
          <w:ilvl w:val="0"/>
          <w:numId w:val="19"/>
        </w:numPr>
        <w:shd w:val="clear" w:color="auto" w:fill="ffffff"/>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 Appellants argue that their credibility was impugned based on their knowledge of the Black Eagles.</w:t>
      </w:r>
      <w:r>
        <w:rPr>
          <w:rStyle w:val="None"/>
          <w:rFonts w:ascii="Times New Roman" w:cs="Times New Roman" w:hAnsi="Times New Roman" w:eastAsia="Times New Roman"/>
          <w:sz w:val="24"/>
          <w:szCs w:val="24"/>
          <w:vertAlign w:val="superscript"/>
          <w:lang w:val="en-US"/>
        </w:rPr>
        <w:endnoteReference w:id="33"/>
      </w:r>
      <w:r>
        <w:rPr>
          <w:rStyle w:val="None"/>
          <w:rFonts w:ascii="Times New Roman" w:hAnsi="Times New Roman"/>
          <w:sz w:val="24"/>
          <w:szCs w:val="24"/>
          <w:rtl w:val="0"/>
          <w:lang w:val="en-US"/>
        </w:rPr>
        <w:t xml:space="preserve"> I agree that it is possible that the police did not include the name of the Black Eagles in their report for reasons unrelated to the Appellants. However, in reviewing the audio recording, I note that the Appellant testified that the assailants in 2014 did not identify themselves as Black Eagles</w:t>
      </w:r>
      <w:r>
        <w:rPr>
          <w:rStyle w:val="None"/>
          <w:rFonts w:ascii="Times New Roman" w:cs="Times New Roman" w:hAnsi="Times New Roman" w:eastAsia="Times New Roman"/>
          <w:sz w:val="24"/>
          <w:szCs w:val="24"/>
          <w:vertAlign w:val="superscript"/>
          <w:lang w:val="en-US"/>
        </w:rPr>
        <w:endnoteReference w:id="34"/>
      </w:r>
      <w:r>
        <w:rPr>
          <w:rStyle w:val="None"/>
          <w:rFonts w:ascii="Times New Roman" w:hAnsi="Times New Roman"/>
          <w:sz w:val="24"/>
          <w:szCs w:val="24"/>
          <w:rtl w:val="0"/>
          <w:lang w:val="en-US"/>
        </w:rPr>
        <w:t>. The RPD did not err in their finding that the police report did not support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allegation that they were assaulted by the Black Eagles in 2014. I also find that the RPD was correct in its findings about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knowledge of the Black Eagles. The Appellants were asked questions relative to their risk in Columbia as it relates to the Black Eagles. For example, the Appellants testified that the Black Eagles were everywhere in Columbia and that they would be at risk across Columbia. When confronted with the NDP evidence that the Black Eagles had limited geographic reach and were not an organized group nor a single group, the Appellants did not answer the question.</w:t>
      </w:r>
      <w:r>
        <w:rPr>
          <w:rStyle w:val="None"/>
          <w:rFonts w:ascii="Times New Roman" w:cs="Times New Roman" w:hAnsi="Times New Roman" w:eastAsia="Times New Roman"/>
          <w:sz w:val="24"/>
          <w:szCs w:val="24"/>
          <w:vertAlign w:val="superscript"/>
          <w:lang w:val="en-US"/>
        </w:rPr>
        <w:endnoteReference w:id="35"/>
      </w:r>
      <w:r>
        <w:rPr>
          <w:rStyle w:val="None"/>
          <w:rFonts w:ascii="Times New Roman" w:hAnsi="Times New Roman"/>
          <w:sz w:val="24"/>
          <w:szCs w:val="24"/>
          <w:rtl w:val="0"/>
          <w:lang w:val="en-US"/>
        </w:rPr>
        <w:t xml:space="preserve"> I find that these questions were relevant and related to their belief about their risk in Columbia. I also note that there were multiple areas which led the RPD to a negative finding of credibility: even if I were to agree that the Appellants could not have known much information about the Black Eagles, I find that there were other sufficient areas, as discussed above, which support the negative findings on credibility.</w:t>
      </w:r>
    </w:p>
    <w:p>
      <w:pPr>
        <w:pStyle w:val="List Paragraph"/>
        <w:numPr>
          <w:ilvl w:val="0"/>
          <w:numId w:val="9"/>
        </w:numPr>
        <w:shd w:val="clear" w:color="auto" w:fill="ffffff"/>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I find that the RPD made no errors in its assessments in regards to the Appellants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political knowledge or opinions, police investigations and knowledge of the Black Eagles.</w:t>
      </w:r>
    </w:p>
    <w:p>
      <w:pPr>
        <w:pStyle w:val="List Paragraph"/>
        <w:shd w:val="clear" w:color="auto" w:fill="ffffff"/>
        <w:tabs>
          <w:tab w:val="left" w:pos="709"/>
        </w:tabs>
        <w:spacing w:before="240" w:after="240" w:line="360" w:lineRule="auto"/>
        <w:ind w:left="0" w:firstLine="0"/>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4"/>
          <w:szCs w:val="24"/>
          <w:rtl w:val="0"/>
          <w:lang w:val="en-US"/>
        </w:rPr>
        <w:t>Standard of Proof</w:t>
      </w:r>
    </w:p>
    <w:p>
      <w:pPr>
        <w:pStyle w:val="List Paragraph"/>
        <w:numPr>
          <w:ilvl w:val="0"/>
          <w:numId w:val="9"/>
        </w:numPr>
        <w:shd w:val="clear" w:color="auto" w:fill="ffffff"/>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 Appellants argue that the RPD applied a higher standard of proof to their claim than set out in the law. They do not provide specifics about where this error occurred. Rule 3(3)(g) of the RAD Rules requires that claimants indicate the errors that are the grounds of the appeal and where those errors are located in the RPD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decision or recording of the hearing. I have reviewed the oral and written evidence and have not found where the RPD applied an unfair or improper standard of proof.</w:t>
      </w:r>
    </w:p>
    <w:p>
      <w:pPr>
        <w:pStyle w:val="List Paragraph"/>
        <w:numPr>
          <w:ilvl w:val="0"/>
          <w:numId w:val="9"/>
        </w:numPr>
        <w:shd w:val="clear" w:color="auto" w:fill="ffffff"/>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To be clear, I have noted paragraphs 20 and 41 of the RPD decision where the RPD stated its conclusions about the risk of the Appellants based on their political opinions. The conclusions at para 41 are stated correctly using the correct legal tests and standard of proof and I find that there is no error.</w:t>
      </w:r>
    </w:p>
    <w:p>
      <w:pPr>
        <w:pStyle w:val="List Paragraph"/>
        <w:numPr>
          <w:ilvl w:val="0"/>
          <w:numId w:val="9"/>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In addition, the Appellant submits that he should be given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benefit of the doubt.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Respectfully, I find that the Appellant has not demonstrated the merits of this argument. The Supreme Court of Canada has cited with approval the following from the UNHCR Handbook:</w:t>
      </w:r>
    </w:p>
    <w:p>
      <w:pPr>
        <w:pStyle w:val="List Paragraph"/>
        <w:tabs>
          <w:tab w:val="left" w:pos="709"/>
        </w:tabs>
        <w:spacing w:before="240" w:after="360"/>
        <w:ind w:left="1138" w:right="850" w:firstLine="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benefit of the doubt</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should, however, </w:t>
      </w:r>
      <w:r>
        <w:rPr>
          <w:rStyle w:val="None"/>
          <w:rFonts w:ascii="Times New Roman" w:hAnsi="Times New Roman"/>
          <w:sz w:val="24"/>
          <w:szCs w:val="24"/>
          <w:u w:val="single"/>
          <w:rtl w:val="0"/>
          <w:lang w:val="en-US"/>
        </w:rPr>
        <w:t>only be given when all available evidence has been obtained and checked</w:t>
      </w:r>
      <w:r>
        <w:rPr>
          <w:rStyle w:val="None"/>
          <w:rFonts w:ascii="Times New Roman" w:hAnsi="Times New Roman"/>
          <w:sz w:val="24"/>
          <w:szCs w:val="24"/>
          <w:rtl w:val="0"/>
          <w:lang w:val="en-US"/>
        </w:rPr>
        <w:t xml:space="preserve"> and when the examiner is satisfied as to the applicant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general credibility. The applicant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statements must be coherent and plausible, and </w:t>
      </w:r>
      <w:r>
        <w:rPr>
          <w:rStyle w:val="None"/>
          <w:rFonts w:ascii="Times New Roman" w:hAnsi="Times New Roman"/>
          <w:sz w:val="24"/>
          <w:szCs w:val="24"/>
          <w:u w:val="single"/>
          <w:rtl w:val="0"/>
          <w:lang w:val="en-US"/>
        </w:rPr>
        <w:t>must not run counter to generally known facts</w:t>
      </w:r>
      <w:r>
        <w:rPr>
          <w:rStyle w:val="None"/>
          <w:rFonts w:ascii="Times New Roman" w:hAnsi="Times New Roman"/>
          <w:sz w:val="24"/>
          <w:szCs w:val="24"/>
          <w:rtl w:val="0"/>
          <w:lang w:val="en-US"/>
        </w:rPr>
        <w:t>.</w:t>
      </w:r>
      <w:r>
        <w:rPr>
          <w:rStyle w:val="None"/>
          <w:rFonts w:ascii="Times New Roman" w:cs="Times New Roman" w:hAnsi="Times New Roman" w:eastAsia="Times New Roman"/>
          <w:sz w:val="24"/>
          <w:szCs w:val="24"/>
          <w:vertAlign w:val="superscript"/>
          <w:lang w:val="en-US"/>
        </w:rPr>
        <w:endnoteReference w:id="36"/>
      </w:r>
    </w:p>
    <w:p>
      <w:pPr>
        <w:pStyle w:val="CG Body"/>
        <w:numPr>
          <w:ilvl w:val="0"/>
          <w:numId w:val="20"/>
        </w:numPr>
        <w:bidi w:val="0"/>
        <w:ind w:right="0"/>
        <w:jc w:val="left"/>
        <w:rPr>
          <w:b w:val="1"/>
          <w:bCs w:val="1"/>
          <w:rtl w:val="0"/>
          <w:lang w:val="en-US"/>
        </w:rPr>
      </w:pPr>
      <w:r>
        <w:rPr>
          <w:rStyle w:val="None"/>
          <w:b w:val="0"/>
          <w:bCs w:val="0"/>
          <w:rtl w:val="0"/>
          <w:lang w:val="en-US"/>
        </w:rPr>
        <w:t>I find that the Appellants have not established their general credibility such that they should be afforded the benefit of this general principle.</w:t>
      </w:r>
    </w:p>
    <w:p>
      <w:pPr>
        <w:pStyle w:val="List Paragraph"/>
        <w:numPr>
          <w:ilvl w:val="0"/>
          <w:numId w:val="21"/>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Finally, the Appellants have provided submissions about the possibility of an internal flight alternative (IFA). As the RPD had found, and as I have found, the Appellants have not established the fundamentals of their claim: their political activity, the assaults and threats against them and their political profile. I find that I do not need to consider their argument about the viability of an IFA.</w:t>
      </w:r>
    </w:p>
    <w:p>
      <w:pPr>
        <w:pStyle w:val="List Paragraph"/>
        <w:tabs>
          <w:tab w:val="left" w:pos="709"/>
        </w:tabs>
        <w:spacing w:before="240" w:after="120" w:line="360" w:lineRule="auto"/>
        <w:ind w:left="0" w:firstLine="0"/>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CONCLUSION</w:t>
      </w:r>
    </w:p>
    <w:p>
      <w:pPr>
        <w:pStyle w:val="List Paragraph"/>
        <w:numPr>
          <w:ilvl w:val="0"/>
          <w:numId w:val="24"/>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After conducting an independent analysis of the record, I find that the overall credibility assessment by the RPD was correct. I find that the Appellants have not demonstrated that they face a serious possibility of persecution on a Convention ground. I further find that they have not demonstrated, on a balance of probabilities, that they face a risk of torture, a risk to life or a risk of cruel and unusual treatment or punishment.</w:t>
      </w:r>
    </w:p>
    <w:p>
      <w:pPr>
        <w:pStyle w:val="List Paragraph"/>
        <w:numPr>
          <w:ilvl w:val="0"/>
          <w:numId w:val="23"/>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I dismiss the appeal and confirm the decision of the RPD that the Appellants are neither Convention refugees nor persons in need of protection, pursuant to paragraph 111(1)(a) of the </w:t>
      </w:r>
      <w:r>
        <w:rPr>
          <w:rStyle w:val="None"/>
          <w:rFonts w:ascii="Times New Roman" w:hAnsi="Times New Roman"/>
          <w:i w:val="1"/>
          <w:iCs w:val="1"/>
          <w:sz w:val="24"/>
          <w:szCs w:val="24"/>
          <w:rtl w:val="0"/>
          <w:lang w:val="en-US"/>
        </w:rPr>
        <w:t>Immigration and Refugee Protection Act</w:t>
      </w:r>
      <w:r>
        <w:rPr>
          <w:rStyle w:val="None"/>
          <w:rFonts w:ascii="Times New Roman" w:hAnsi="Times New Roman"/>
          <w:sz w:val="24"/>
          <w:szCs w:val="24"/>
          <w:rtl w:val="0"/>
          <w:lang w:val="en-US"/>
        </w:rPr>
        <w:t>.</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7"/>
        <w:gridCol w:w="4733"/>
      </w:tblGrid>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pPr>
              <w:pStyle w:val="Body"/>
              <w:spacing w:after="0"/>
              <w:jc w:val="right"/>
            </w:pPr>
            <w:r>
              <w:rPr>
                <w:rStyle w:val="None"/>
                <w:shd w:val="nil" w:color="auto" w:fill="auto"/>
                <w:rtl w:val="0"/>
                <w:lang w:val="en-US"/>
              </w:rPr>
              <w:t>(</w:t>
            </w:r>
            <w:r>
              <w:rPr>
                <w:rStyle w:val="None"/>
                <w:i w:val="1"/>
                <w:iCs w:val="1"/>
                <w:shd w:val="nil" w:color="auto" w:fill="auto"/>
                <w:rtl w:val="0"/>
                <w:lang w:val="en-US"/>
              </w:rPr>
              <w:t>signed</w:t>
            </w:r>
            <w:r>
              <w:rPr>
                <w:rStyle w:val="None"/>
                <w:shd w:val="nil" w:color="auto" w:fill="auto"/>
                <w:rtl w:val="0"/>
                <w:lang w:val="en-US"/>
              </w:rPr>
              <w:t>)</w:t>
            </w: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spacing w:before="0" w:after="0"/>
              <w:jc w:val="center"/>
            </w:pPr>
            <w:r>
              <w:rPr>
                <w:rStyle w:val="None"/>
                <w:rFonts w:ascii="Freestyle Script" w:cs="Freestyle Script" w:hAnsi="Freestyle Script" w:eastAsia="Freestyle Script"/>
                <w:spacing w:val="-2"/>
                <w:sz w:val="36"/>
                <w:szCs w:val="36"/>
                <w:shd w:val="nil" w:color="auto" w:fill="auto"/>
                <w:rtl w:val="0"/>
                <w:lang w:val="en-US"/>
              </w:rPr>
              <w:t>Pamela Arnott</w:t>
            </w:r>
          </w:p>
        </w:tc>
      </w:tr>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before="0" w:after="240"/>
              <w:jc w:val="center"/>
            </w:pPr>
            <w:r>
              <w:rPr>
                <w:rStyle w:val="None"/>
                <w:b w:val="1"/>
                <w:bCs w:val="1"/>
                <w:shd w:val="nil" w:color="auto" w:fill="auto"/>
                <w:rtl w:val="0"/>
                <w:lang w:val="en-US"/>
              </w:rPr>
              <w:t>Pamela Arnott</w:t>
            </w:r>
          </w:p>
        </w:tc>
      </w:tr>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jc w:val="center"/>
            </w:pPr>
            <w:r>
              <w:rPr>
                <w:rStyle w:val="None"/>
                <w:b w:val="1"/>
                <w:bCs w:val="1"/>
                <w:shd w:val="nil" w:color="auto" w:fill="auto"/>
                <w:rtl w:val="0"/>
                <w:lang w:val="en-US"/>
              </w:rPr>
              <w:t>March 3 2021</w:t>
            </w:r>
          </w:p>
        </w:tc>
      </w:tr>
      <w:tr>
        <w:tblPrEx>
          <w:shd w:val="clear" w:color="auto" w:fill="ced7e7"/>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spacing w:before="0" w:after="0"/>
              <w:jc w:val="center"/>
            </w:pPr>
            <w:r>
              <w:rPr>
                <w:rStyle w:val="None"/>
                <w:b w:val="1"/>
                <w:bCs w:val="1"/>
                <w:shd w:val="nil" w:color="auto" w:fill="auto"/>
                <w:rtl w:val="0"/>
                <w:lang w:val="en-US"/>
              </w:rPr>
              <w:t>Date</w:t>
            </w:r>
          </w:p>
        </w:tc>
      </w:tr>
    </w:tbl>
    <w:p>
      <w:pPr>
        <w:pStyle w:val="List Paragraph"/>
        <w:widowControl w:val="0"/>
        <w:numPr>
          <w:ilvl w:val="0"/>
          <w:numId w:val="25"/>
        </w:numPr>
        <w:spacing w:before="240" w:after="240"/>
        <w:jc w:val="center"/>
        <w:rPr>
          <w:lang w:val="en-US"/>
        </w:rPr>
      </w:pPr>
      <w:r>
        <w:rPr>
          <w:rStyle w:val="None"/>
          <w:lang w:val="en-US"/>
        </w:rPr>
      </w:r>
    </w:p>
    <w:sectPr>
      <w:headerReference w:type="default" r:id="rId4"/>
      <w:headerReference w:type="first" r:id="rId5"/>
      <w:footerReference w:type="default" r:id="rId6"/>
      <w:footerReference w:type="first" r:id="rId7"/>
      <w:pgSz w:w="12240" w:h="15840" w:orient="portrait"/>
      <w:pgMar w:top="1099" w:right="1440" w:bottom="1440" w:left="1440" w:header="720" w:footer="454"/>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sz w:val="24"/>
          <w:szCs w:val="24"/>
          <w:vertAlign w:val="superscript"/>
          <w:lang w:val="en-US"/>
        </w:rPr>
        <w:endnoteRef/>
      </w:r>
      <w:r>
        <w:rPr>
          <w:rFonts w:cs="Arial Unicode MS" w:eastAsia="Arial Unicode MS"/>
          <w:rtl w:val="0"/>
          <w:lang w:val="en-US"/>
        </w:rPr>
        <w:t xml:space="preserve"> P-2, Appellant</w:t>
      </w:r>
      <w:r>
        <w:rPr>
          <w:rFonts w:cs="Arial Unicode MS" w:eastAsia="Arial Unicode MS" w:hint="default"/>
          <w:rtl w:val="0"/>
          <w:lang w:val="en-US"/>
        </w:rPr>
        <w:t>’</w:t>
      </w:r>
      <w:r>
        <w:rPr>
          <w:rFonts w:cs="Arial Unicode MS" w:eastAsia="Arial Unicode MS"/>
          <w:rtl w:val="0"/>
          <w:lang w:val="en-US"/>
        </w:rPr>
        <w:t xml:space="preserve">s Record, Affidavit of Mr. </w:t>
      </w:r>
      <w:r>
        <w:rPr>
          <w:rFonts w:cs="Arial Unicode MS" w:eastAsia="Arial Unicode MS"/>
          <w:rtl w:val="0"/>
          <w:lang w:val="en-US"/>
        </w:rPr>
        <w:t>Vel</w:t>
      </w:r>
      <w:r>
        <w:rPr>
          <w:rFonts w:cs="Arial Unicode MS" w:eastAsia="Arial Unicode MS" w:hint="default"/>
          <w:rtl w:val="0"/>
          <w:lang w:val="en-US"/>
        </w:rPr>
        <w:t>á</w:t>
      </w:r>
      <w:r>
        <w:rPr>
          <w:rFonts w:cs="Arial Unicode MS" w:eastAsia="Arial Unicode MS"/>
          <w:rtl w:val="0"/>
          <w:lang w:val="en-US"/>
        </w:rPr>
        <w:t>squez</w:t>
      </w:r>
      <w:r>
        <w:rPr>
          <w:rFonts w:cs="Arial Unicode MS" w:eastAsia="Arial Unicode MS"/>
          <w:rtl w:val="0"/>
          <w:lang w:val="en-US"/>
        </w:rPr>
        <w:t>, p. 2 at para. 2.</w:t>
      </w:r>
    </w:p>
  </w:endnote>
  <w:endnote w:id="2">
    <w:p>
      <w:pPr>
        <w:pStyle w:val="endnote text"/>
      </w:pPr>
      <w:r>
        <w:rPr>
          <w:sz w:val="24"/>
          <w:szCs w:val="24"/>
          <w:vertAlign w:val="superscript"/>
          <w:lang w:val="en-US"/>
        </w:rPr>
        <w:endnoteRef/>
      </w:r>
      <w:r>
        <w:rPr>
          <w:rFonts w:cs="Arial Unicode MS" w:eastAsia="Arial Unicode MS"/>
          <w:rtl w:val="0"/>
          <w:lang w:val="en-US"/>
        </w:rPr>
        <w:t xml:space="preserve"> P-2, Appellant</w:t>
      </w:r>
      <w:r>
        <w:rPr>
          <w:rFonts w:cs="Arial Unicode MS" w:eastAsia="Arial Unicode MS" w:hint="default"/>
          <w:rtl w:val="0"/>
          <w:lang w:val="en-US"/>
        </w:rPr>
        <w:t>’</w:t>
      </w:r>
      <w:r>
        <w:rPr>
          <w:rFonts w:cs="Arial Unicode MS" w:eastAsia="Arial Unicode MS"/>
          <w:rtl w:val="0"/>
          <w:lang w:val="en-US"/>
        </w:rPr>
        <w:t xml:space="preserve">s Record, Affidavit of Mr. </w:t>
      </w:r>
      <w:r>
        <w:rPr>
          <w:rFonts w:cs="Arial Unicode MS" w:eastAsia="Arial Unicode MS"/>
          <w:rtl w:val="0"/>
          <w:lang w:val="en-US"/>
        </w:rPr>
        <w:t>Vel</w:t>
      </w:r>
      <w:r>
        <w:rPr>
          <w:rFonts w:cs="Arial Unicode MS" w:eastAsia="Arial Unicode MS" w:hint="default"/>
          <w:rtl w:val="0"/>
          <w:lang w:val="en-US"/>
        </w:rPr>
        <w:t>á</w:t>
      </w:r>
      <w:r>
        <w:rPr>
          <w:rFonts w:cs="Arial Unicode MS" w:eastAsia="Arial Unicode MS"/>
          <w:rtl w:val="0"/>
          <w:lang w:val="en-US"/>
        </w:rPr>
        <w:t>squez</w:t>
      </w:r>
      <w:r>
        <w:rPr>
          <w:rFonts w:cs="Arial Unicode MS" w:eastAsia="Arial Unicode MS"/>
          <w:rtl w:val="0"/>
          <w:lang w:val="en-US"/>
        </w:rPr>
        <w:t>, p.7 at para. 53.</w:t>
      </w:r>
    </w:p>
  </w:endnote>
  <w:endnote w:id="3">
    <w:p>
      <w:pPr>
        <w:pStyle w:val="endnote text"/>
      </w:pPr>
      <w:r>
        <w:rPr>
          <w:sz w:val="24"/>
          <w:szCs w:val="24"/>
          <w:vertAlign w:val="superscript"/>
          <w:lang w:val="en-US"/>
        </w:rPr>
        <w:endnoteRef/>
      </w:r>
      <w:r>
        <w:rPr>
          <w:rFonts w:cs="Arial Unicode MS" w:eastAsia="Arial Unicode MS"/>
          <w:rtl w:val="0"/>
          <w:lang w:val="en-US"/>
        </w:rPr>
        <w:t xml:space="preserve"> IRPA, section 110(6).</w:t>
      </w:r>
    </w:p>
  </w:endnote>
  <w:endnote w:id="4">
    <w:p>
      <w:pPr>
        <w:pStyle w:val="endnote text"/>
      </w:pPr>
      <w:r>
        <w:rPr>
          <w:sz w:val="24"/>
          <w:szCs w:val="24"/>
          <w:vertAlign w:val="superscript"/>
        </w:rPr>
        <w:endnoteRef/>
      </w:r>
      <w:r>
        <w:rPr>
          <w:rFonts w:cs="Arial Unicode MS" w:eastAsia="Arial Unicode MS"/>
          <w:i w:val="1"/>
          <w:iCs w:val="1"/>
          <w:rtl w:val="0"/>
          <w:lang w:val="en-US"/>
        </w:rPr>
        <w:t>Canada (Citizenship and Immigration) v. Huruglica</w:t>
      </w:r>
      <w:r>
        <w:rPr>
          <w:rFonts w:cs="Arial Unicode MS" w:eastAsia="Arial Unicode MS"/>
          <w:rtl w:val="0"/>
          <w:lang w:val="en-US"/>
        </w:rPr>
        <w:t xml:space="preserve">, 2016 FCA 93; </w:t>
      </w:r>
      <w:r>
        <w:rPr>
          <w:rFonts w:cs="Arial Unicode MS" w:eastAsia="Arial Unicode MS"/>
          <w:i w:val="1"/>
          <w:iCs w:val="1"/>
          <w:rtl w:val="0"/>
          <w:lang w:val="en-US"/>
        </w:rPr>
        <w:t>Rozas del Solar v. Canada (Citizenship and Immigration),</w:t>
      </w:r>
      <w:r>
        <w:rPr>
          <w:rFonts w:cs="Arial Unicode MS" w:eastAsia="Arial Unicode MS"/>
          <w:rtl w:val="0"/>
          <w:lang w:val="en-US"/>
        </w:rPr>
        <w:t xml:space="preserve"> 2018 FC 1145.</w:t>
      </w:r>
    </w:p>
  </w:endnote>
  <w:endnote w:id="5">
    <w:p>
      <w:pPr>
        <w:pStyle w:val="endnote text"/>
      </w:pPr>
      <w:r>
        <w:rPr>
          <w:sz w:val="24"/>
          <w:szCs w:val="24"/>
          <w:vertAlign w:val="superscript"/>
          <w:lang w:val="en-US"/>
        </w:rPr>
        <w:endnoteRef/>
      </w:r>
      <w:r>
        <w:rPr>
          <w:rFonts w:cs="Arial Unicode MS" w:eastAsia="Arial Unicode MS"/>
          <w:rtl w:val="0"/>
          <w:lang w:val="en-US"/>
        </w:rPr>
        <w:t xml:space="preserve"> RPD-1, RPD Record, Exhibit C-1, </w:t>
      </w:r>
      <w:r>
        <w:rPr>
          <w:rFonts w:cs="Arial Unicode MS" w:eastAsia="Arial Unicode MS" w:hint="default"/>
          <w:rtl w:val="0"/>
          <w:lang w:val="en-US"/>
        </w:rPr>
        <w:t>“</w:t>
      </w:r>
      <w:r>
        <w:rPr>
          <w:rFonts w:cs="Arial Unicode MS" w:eastAsia="Arial Unicode MS"/>
          <w:rtl w:val="0"/>
          <w:lang w:val="en-US"/>
        </w:rPr>
        <w:t>Police report of July 2018</w:t>
      </w:r>
      <w:r>
        <w:rPr>
          <w:rFonts w:cs="Arial Unicode MS" w:eastAsia="Arial Unicode MS" w:hint="default"/>
          <w:rtl w:val="0"/>
          <w:lang w:val="en-US"/>
        </w:rPr>
        <w:t xml:space="preserve">” </w:t>
      </w:r>
      <w:r>
        <w:rPr>
          <w:rFonts w:cs="Arial Unicode MS" w:eastAsia="Arial Unicode MS"/>
          <w:rtl w:val="0"/>
          <w:lang w:val="en-US"/>
        </w:rPr>
        <w:t>at p. 201</w:t>
      </w:r>
      <w:r>
        <w:rPr>
          <w:rFonts w:cs="Arial Unicode MS" w:eastAsia="Arial Unicode MS" w:hint="default"/>
          <w:rtl w:val="0"/>
          <w:lang w:val="en-US"/>
        </w:rPr>
        <w:t>–</w:t>
      </w:r>
      <w:r>
        <w:rPr>
          <w:rFonts w:cs="Arial Unicode MS" w:eastAsia="Arial Unicode MS"/>
          <w:rtl w:val="0"/>
          <w:lang w:val="en-US"/>
        </w:rPr>
        <w:t>204.</w:t>
      </w:r>
    </w:p>
  </w:endnote>
  <w:endnote w:id="6">
    <w:p>
      <w:pPr>
        <w:pStyle w:val="endnote text"/>
      </w:pPr>
      <w:r>
        <w:rPr>
          <w:sz w:val="24"/>
          <w:szCs w:val="24"/>
          <w:vertAlign w:val="superscript"/>
          <w:lang w:val="en-US"/>
        </w:rPr>
        <w:endnoteRef/>
      </w:r>
      <w:r>
        <w:rPr>
          <w:rFonts w:cs="Arial Unicode MS" w:eastAsia="Arial Unicode MS"/>
          <w:rtl w:val="0"/>
          <w:lang w:val="en-US"/>
        </w:rPr>
        <w:t xml:space="preserve"> IRB COVID-19 Health and Safety Measures (https://irb-cisr.gc.ca/en/stay-connected/Pages/covid-health-safety-measures.aspx).</w:t>
      </w:r>
    </w:p>
  </w:endnote>
  <w:endnote w:id="7">
    <w:p>
      <w:pPr>
        <w:pStyle w:val="endnote text"/>
      </w:pPr>
      <w:r>
        <w:rPr>
          <w:sz w:val="24"/>
          <w:szCs w:val="24"/>
          <w:vertAlign w:val="superscript"/>
          <w:lang w:val="en-US"/>
        </w:rPr>
        <w:endnoteRef/>
      </w:r>
      <w:r>
        <w:rPr>
          <w:rFonts w:cs="Arial Unicode MS" w:eastAsia="Arial Unicode MS"/>
          <w:rtl w:val="0"/>
          <w:lang w:val="en-US"/>
        </w:rPr>
        <w:t xml:space="preserve"> </w:t>
      </w:r>
      <w:r>
        <w:rPr>
          <w:rFonts w:cs="Arial Unicode MS" w:eastAsia="Arial Unicode MS"/>
          <w:i w:val="1"/>
          <w:iCs w:val="1"/>
          <w:rtl w:val="0"/>
          <w:lang w:val="en-US"/>
        </w:rPr>
        <w:t>Ibid.</w:t>
      </w:r>
    </w:p>
  </w:endnote>
  <w:endnote w:id="8">
    <w:p>
      <w:pPr>
        <w:pStyle w:val="endnote text"/>
      </w:pPr>
      <w:r>
        <w:rPr>
          <w:sz w:val="24"/>
          <w:szCs w:val="24"/>
          <w:vertAlign w:val="superscript"/>
          <w:lang w:val="en-US"/>
        </w:rPr>
        <w:endnoteRef/>
      </w:r>
      <w:r>
        <w:rPr>
          <w:rFonts w:cs="Arial Unicode MS" w:eastAsia="Arial Unicode MS"/>
          <w:rtl w:val="0"/>
          <w:lang w:val="en-US"/>
        </w:rPr>
        <w:t xml:space="preserve"> </w:t>
      </w:r>
      <w:r>
        <w:rPr>
          <w:rFonts w:cs="Arial Unicode MS" w:eastAsia="Arial Unicode MS"/>
          <w:i w:val="1"/>
          <w:iCs w:val="1"/>
          <w:rtl w:val="0"/>
          <w:lang w:val="en-US"/>
        </w:rPr>
        <w:t xml:space="preserve">Ibid. </w:t>
      </w:r>
    </w:p>
  </w:endnote>
  <w:endnote w:id="9">
    <w:p>
      <w:pPr>
        <w:pStyle w:val="endnote text"/>
      </w:pPr>
      <w:r>
        <w:rPr>
          <w:sz w:val="24"/>
          <w:szCs w:val="24"/>
          <w:vertAlign w:val="superscript"/>
          <w:lang w:val="en-US"/>
        </w:rPr>
        <w:endnoteRef/>
      </w:r>
      <w:r>
        <w:rPr>
          <w:rFonts w:cs="Arial Unicode MS" w:eastAsia="Arial Unicode MS"/>
          <w:rtl w:val="0"/>
          <w:lang w:val="en-US"/>
        </w:rPr>
        <w:t xml:space="preserve"> See RPD-1, RPD Record, Hearing of November 16, 2020, Audio hearing at 0:21:30</w:t>
      </w:r>
      <w:r>
        <w:rPr>
          <w:rFonts w:cs="Arial Unicode MS" w:eastAsia="Arial Unicode MS" w:hint="default"/>
          <w:rtl w:val="0"/>
          <w:lang w:val="en-US"/>
        </w:rPr>
        <w:t>–</w:t>
      </w:r>
      <w:r>
        <w:rPr>
          <w:rFonts w:cs="Arial Unicode MS" w:eastAsia="Arial Unicode MS"/>
          <w:rtl w:val="0"/>
          <w:lang w:val="en-US"/>
        </w:rPr>
        <w:t>0:22:45.</w:t>
      </w:r>
    </w:p>
  </w:endnote>
  <w:endnote w:id="10">
    <w:p>
      <w:pPr>
        <w:pStyle w:val="endnote text"/>
      </w:pPr>
      <w:r>
        <w:rPr>
          <w:sz w:val="24"/>
          <w:szCs w:val="24"/>
          <w:vertAlign w:val="superscript"/>
          <w:lang w:val="en-US"/>
        </w:rPr>
        <w:endnoteRef/>
      </w:r>
      <w:r>
        <w:rPr>
          <w:rFonts w:cs="Arial Unicode MS" w:eastAsia="Arial Unicode MS"/>
          <w:rtl w:val="0"/>
          <w:lang w:val="en-US"/>
        </w:rPr>
        <w:t xml:space="preserve"> RPD-1, RPD Record, Reasons for Decision, pp. 5</w:t>
      </w:r>
      <w:r>
        <w:rPr>
          <w:rFonts w:cs="Arial Unicode MS" w:eastAsia="Arial Unicode MS" w:hint="default"/>
          <w:rtl w:val="0"/>
          <w:lang w:val="en-US"/>
        </w:rPr>
        <w:t>–</w:t>
      </w:r>
      <w:r>
        <w:rPr>
          <w:rFonts w:cs="Arial Unicode MS" w:eastAsia="Arial Unicode MS"/>
          <w:rtl w:val="0"/>
          <w:lang w:val="en-US"/>
        </w:rPr>
        <w:t xml:space="preserve">6 at para. 8. </w:t>
      </w:r>
    </w:p>
  </w:endnote>
  <w:endnote w:id="11">
    <w:p>
      <w:pPr>
        <w:pStyle w:val="endnote text"/>
      </w:pPr>
      <w:r>
        <w:rPr>
          <w:sz w:val="24"/>
          <w:szCs w:val="24"/>
          <w:vertAlign w:val="superscript"/>
          <w:lang w:val="en-US"/>
        </w:rPr>
        <w:endnoteRef/>
      </w:r>
      <w:r>
        <w:rPr>
          <w:rFonts w:cs="Arial Unicode MS" w:eastAsia="Arial Unicode MS"/>
          <w:rtl w:val="0"/>
          <w:lang w:val="en-US"/>
        </w:rPr>
        <w:t xml:space="preserve"> RPD-1, RPD Record, Hearing of November 16, 2020, Audio recording at 0:37:00, 0:39:30, 0:45:45</w:t>
      </w:r>
      <w:r>
        <w:rPr>
          <w:rFonts w:cs="Arial Unicode MS" w:eastAsia="Arial Unicode MS" w:hint="default"/>
          <w:rtl w:val="0"/>
          <w:lang w:val="en-US"/>
        </w:rPr>
        <w:t>–</w:t>
      </w:r>
      <w:r>
        <w:rPr>
          <w:rFonts w:cs="Arial Unicode MS" w:eastAsia="Arial Unicode MS"/>
          <w:rtl w:val="0"/>
          <w:lang w:val="en-US"/>
        </w:rPr>
        <w:t>0:47:00, 0:54:00-55:00, 1:02:00</w:t>
      </w:r>
      <w:r>
        <w:rPr>
          <w:rFonts w:cs="Arial Unicode MS" w:eastAsia="Arial Unicode MS" w:hint="default"/>
          <w:rtl w:val="0"/>
          <w:lang w:val="en-US"/>
        </w:rPr>
        <w:t>–</w:t>
      </w:r>
      <w:r>
        <w:rPr>
          <w:rFonts w:cs="Arial Unicode MS" w:eastAsia="Arial Unicode MS"/>
          <w:rtl w:val="0"/>
          <w:lang w:val="en-US"/>
        </w:rPr>
        <w:t>1:03:30 and 1:53:45.</w:t>
      </w:r>
    </w:p>
  </w:endnote>
  <w:endnote w:id="12">
    <w:p>
      <w:pPr>
        <w:pStyle w:val="endnote text"/>
      </w:pPr>
      <w:r>
        <w:rPr>
          <w:sz w:val="24"/>
          <w:szCs w:val="24"/>
          <w:vertAlign w:val="superscript"/>
          <w:lang w:val="en-US"/>
        </w:rPr>
        <w:endnoteRef/>
      </w:r>
      <w:r>
        <w:rPr>
          <w:rFonts w:cs="Arial Unicode MS" w:eastAsia="Arial Unicode MS"/>
          <w:rtl w:val="0"/>
          <w:lang w:val="en-US"/>
        </w:rPr>
        <w:t xml:space="preserve"> Ibid at 0:39:30</w:t>
      </w:r>
      <w:r>
        <w:rPr>
          <w:rFonts w:cs="Arial Unicode MS" w:eastAsia="Arial Unicode MS" w:hint="default"/>
          <w:rtl w:val="0"/>
          <w:lang w:val="en-US"/>
        </w:rPr>
        <w:t>–</w:t>
      </w:r>
      <w:r>
        <w:rPr>
          <w:rFonts w:cs="Arial Unicode MS" w:eastAsia="Arial Unicode MS"/>
          <w:rtl w:val="0"/>
          <w:lang w:val="en-US"/>
        </w:rPr>
        <w:t>0:41:00, 0:48:30</w:t>
      </w:r>
      <w:r>
        <w:rPr>
          <w:rFonts w:cs="Arial Unicode MS" w:eastAsia="Arial Unicode MS" w:hint="default"/>
          <w:rtl w:val="0"/>
          <w:lang w:val="en-US"/>
        </w:rPr>
        <w:t>–</w:t>
      </w:r>
      <w:r>
        <w:rPr>
          <w:rFonts w:cs="Arial Unicode MS" w:eastAsia="Arial Unicode MS"/>
          <w:rtl w:val="0"/>
          <w:lang w:val="en-US"/>
        </w:rPr>
        <w:t>0:49:00, 0:52:00</w:t>
      </w:r>
      <w:r>
        <w:rPr>
          <w:rFonts w:cs="Arial Unicode MS" w:eastAsia="Arial Unicode MS" w:hint="default"/>
          <w:rtl w:val="0"/>
          <w:lang w:val="en-US"/>
        </w:rPr>
        <w:t>–</w:t>
      </w:r>
      <w:r>
        <w:rPr>
          <w:rFonts w:cs="Arial Unicode MS" w:eastAsia="Arial Unicode MS"/>
          <w:rtl w:val="0"/>
          <w:lang w:val="en-US"/>
        </w:rPr>
        <w:t>0:53:00, 1:08:00</w:t>
      </w:r>
      <w:r>
        <w:rPr>
          <w:rFonts w:cs="Arial Unicode MS" w:eastAsia="Arial Unicode MS" w:hint="default"/>
          <w:rtl w:val="0"/>
          <w:lang w:val="en-US"/>
        </w:rPr>
        <w:t>–</w:t>
      </w:r>
      <w:r>
        <w:rPr>
          <w:rFonts w:cs="Arial Unicode MS" w:eastAsia="Arial Unicode MS"/>
          <w:rtl w:val="0"/>
          <w:lang w:val="en-US"/>
        </w:rPr>
        <w:t>1:08:30 and 1:35:30</w:t>
      </w:r>
      <w:r>
        <w:rPr>
          <w:rFonts w:cs="Arial Unicode MS" w:eastAsia="Arial Unicode MS" w:hint="default"/>
          <w:rtl w:val="0"/>
          <w:lang w:val="en-US"/>
        </w:rPr>
        <w:t>–</w:t>
      </w:r>
      <w:r>
        <w:rPr>
          <w:rFonts w:cs="Arial Unicode MS" w:eastAsia="Arial Unicode MS"/>
          <w:rtl w:val="0"/>
          <w:lang w:val="en-US"/>
        </w:rPr>
        <w:t>1:36:00.</w:t>
      </w:r>
    </w:p>
  </w:endnote>
  <w:endnote w:id="13">
    <w:p>
      <w:pPr>
        <w:pStyle w:val="endnote text"/>
      </w:pPr>
      <w:r>
        <w:rPr>
          <w:sz w:val="24"/>
          <w:szCs w:val="24"/>
          <w:vertAlign w:val="superscript"/>
          <w:lang w:val="en-US"/>
        </w:rPr>
        <w:endnoteRef/>
      </w:r>
      <w:r>
        <w:rPr>
          <w:rFonts w:cs="Arial Unicode MS" w:eastAsia="Arial Unicode MS"/>
          <w:rtl w:val="0"/>
          <w:lang w:val="en-US"/>
        </w:rPr>
        <w:t xml:space="preserve"> R. </w:t>
      </w:r>
      <w:r>
        <w:rPr>
          <w:rFonts w:cs="Arial Unicode MS" w:eastAsia="Arial Unicode MS"/>
          <w:i w:val="1"/>
          <w:iCs w:val="1"/>
          <w:rtl w:val="0"/>
          <w:lang w:val="en-US"/>
        </w:rPr>
        <w:t>v.</w:t>
      </w:r>
      <w:r>
        <w:rPr>
          <w:rFonts w:cs="Arial Unicode MS" w:eastAsia="Arial Unicode MS"/>
          <w:rtl w:val="0"/>
          <w:lang w:val="en-US"/>
        </w:rPr>
        <w:t xml:space="preserve"> N.S., 2012 SCC 72, [2012] 3 S.C.R. 726, at para. 106.</w:t>
      </w:r>
    </w:p>
  </w:endnote>
  <w:endnote w:id="14">
    <w:p>
      <w:pPr>
        <w:pStyle w:val="endnote text"/>
      </w:pPr>
      <w:r>
        <w:rPr>
          <w:sz w:val="24"/>
          <w:szCs w:val="24"/>
          <w:vertAlign w:val="superscript"/>
          <w:lang w:val="en-US"/>
        </w:rPr>
        <w:endnoteRef/>
      </w:r>
      <w:r>
        <w:rPr>
          <w:rFonts w:cs="Arial Unicode MS" w:eastAsia="Arial Unicode MS"/>
          <w:rtl w:val="0"/>
          <w:lang w:val="en-US"/>
        </w:rPr>
        <w:t xml:space="preserve"> </w:t>
      </w:r>
      <w:r>
        <w:rPr>
          <w:rFonts w:cs="Arial Unicode MS" w:eastAsia="Arial Unicode MS"/>
          <w:i w:val="1"/>
          <w:iCs w:val="1"/>
          <w:shd w:val="clear" w:color="auto" w:fill="ffffff"/>
          <w:rtl w:val="0"/>
          <w:lang w:val="en-US"/>
        </w:rPr>
        <w:t>Mohammadian v. Canada (Minister of Citizenship and Immigration)</w:t>
      </w:r>
      <w:r>
        <w:rPr>
          <w:rFonts w:cs="Arial Unicode MS" w:eastAsia="Arial Unicode MS"/>
          <w:shd w:val="clear" w:color="auto" w:fill="ffffff"/>
          <w:rtl w:val="0"/>
          <w:lang w:val="en-US"/>
        </w:rPr>
        <w:t xml:space="preserve">, </w:t>
      </w:r>
      <w:r>
        <w:rPr>
          <w:rStyle w:val="Hyperlink.0"/>
        </w:rPr>
        <w:fldChar w:fldCharType="begin" w:fldLock="0"/>
      </w:r>
      <w:r>
        <w:rPr>
          <w:rStyle w:val="Hyperlink.0"/>
        </w:rPr>
        <w:instrText xml:space="preserve"> HYPERLINK "https://www.canlii.org/en/ca/fca/doc/2001/2001fca191/2001fca191.html"</w:instrText>
      </w:r>
      <w:r>
        <w:rPr>
          <w:rStyle w:val="Hyperlink.0"/>
        </w:rPr>
        <w:fldChar w:fldCharType="separate" w:fldLock="0"/>
      </w:r>
      <w:r>
        <w:rPr>
          <w:rStyle w:val="Hyperlink.0"/>
          <w:rFonts w:cs="Arial Unicode MS" w:eastAsia="Arial Unicode MS"/>
          <w:rtl w:val="0"/>
          <w:lang w:val="en-US"/>
        </w:rPr>
        <w:t>2001 FCA 191</w:t>
      </w:r>
      <w:r>
        <w:rPr/>
        <w:fldChar w:fldCharType="end" w:fldLock="0"/>
      </w:r>
      <w:r>
        <w:rPr>
          <w:rFonts w:cs="Arial Unicode MS" w:eastAsia="Arial Unicode MS"/>
          <w:shd w:val="clear" w:color="auto" w:fill="ffffff"/>
          <w:rtl w:val="0"/>
          <w:lang w:val="en-US"/>
        </w:rPr>
        <w:t xml:space="preserve"> at para. </w:t>
      </w:r>
      <w:r>
        <w:rPr>
          <w:rStyle w:val="Hyperlink.0"/>
        </w:rPr>
        <w:fldChar w:fldCharType="begin" w:fldLock="0"/>
      </w:r>
      <w:r>
        <w:rPr>
          <w:rStyle w:val="Hyperlink.0"/>
        </w:rPr>
        <w:instrText xml:space="preserve"> HYPERLINK "https://www.canlii.org/en/ca/fca/doc/2001/2001fca191/2001fca191.html#par19"</w:instrText>
      </w:r>
      <w:r>
        <w:rPr>
          <w:rStyle w:val="Hyperlink.0"/>
        </w:rPr>
        <w:fldChar w:fldCharType="separate" w:fldLock="0"/>
      </w:r>
      <w:r>
        <w:rPr>
          <w:rStyle w:val="Hyperlink.0"/>
          <w:rFonts w:cs="Arial Unicode MS" w:eastAsia="Arial Unicode MS"/>
          <w:rtl w:val="0"/>
          <w:lang w:val="en-US"/>
        </w:rPr>
        <w:t>19</w:t>
      </w:r>
      <w:r>
        <w:rPr/>
        <w:fldChar w:fldCharType="end" w:fldLock="0"/>
      </w:r>
      <w:r>
        <w:rPr>
          <w:rFonts w:cs="Arial Unicode MS" w:eastAsia="Arial Unicode MS"/>
          <w:shd w:val="clear" w:color="auto" w:fill="ffffff"/>
          <w:rtl w:val="0"/>
          <w:lang w:val="en-US"/>
        </w:rPr>
        <w:t>.</w:t>
      </w:r>
    </w:p>
  </w:endnote>
  <w:endnote w:id="15">
    <w:p>
      <w:pPr>
        <w:pStyle w:val="endnote text"/>
      </w:pPr>
      <w:r>
        <w:rPr>
          <w:sz w:val="24"/>
          <w:szCs w:val="24"/>
          <w:vertAlign w:val="superscript"/>
          <w:lang w:val="en-US"/>
        </w:rPr>
        <w:endnoteRef/>
      </w:r>
      <w:r>
        <w:rPr>
          <w:rFonts w:cs="Arial Unicode MS" w:eastAsia="Arial Unicode MS"/>
          <w:rtl w:val="0"/>
          <w:lang w:val="en-US"/>
        </w:rPr>
        <w:t xml:space="preserve"> </w:t>
      </w:r>
      <w:r>
        <w:rPr>
          <w:rStyle w:val="Hyperlink.1"/>
        </w:rPr>
        <w:fldChar w:fldCharType="begin" w:fldLock="0"/>
      </w:r>
      <w:r>
        <w:rPr>
          <w:rStyle w:val="Hyperlink.1"/>
        </w:rPr>
        <w:instrText xml:space="preserve"> HYPERLINK "https://www.canlii.org/en/ca/scc/doc/1994/1994canlii56/1994canlii56.html"</w:instrText>
      </w:r>
      <w:r>
        <w:rPr>
          <w:rStyle w:val="Hyperlink.1"/>
        </w:rPr>
        <w:fldChar w:fldCharType="separate" w:fldLock="0"/>
      </w:r>
      <w:r>
        <w:rPr>
          <w:rStyle w:val="Hyperlink.1"/>
          <w:rFonts w:cs="Arial Unicode MS" w:eastAsia="Arial Unicode MS"/>
          <w:rtl w:val="0"/>
          <w:lang w:val="en-US"/>
        </w:rPr>
        <w:t xml:space="preserve">R. </w:t>
      </w:r>
      <w:r>
        <w:rPr>
          <w:rStyle w:val="None"/>
          <w:rFonts w:cs="Arial Unicode MS" w:eastAsia="Arial Unicode MS"/>
          <w:i w:val="1"/>
          <w:iCs w:val="1"/>
          <w:rtl w:val="0"/>
          <w:lang w:val="en-US"/>
        </w:rPr>
        <w:t>v.</w:t>
      </w:r>
      <w:r>
        <w:rPr>
          <w:rStyle w:val="Hyperlink.1"/>
          <w:rFonts w:cs="Arial Unicode MS" w:eastAsia="Arial Unicode MS"/>
          <w:rtl w:val="0"/>
          <w:lang w:val="en-US"/>
        </w:rPr>
        <w:t xml:space="preserve"> Tran</w:t>
      </w:r>
      <w:r>
        <w:rPr/>
        <w:fldChar w:fldCharType="end" w:fldLock="0"/>
      </w:r>
      <w:r>
        <w:rPr>
          <w:rStyle w:val="Hyperlink.1"/>
          <w:rFonts w:cs="Arial Unicode MS" w:eastAsia="Arial Unicode MS"/>
          <w:rtl w:val="0"/>
          <w:lang w:val="en-US"/>
        </w:rPr>
        <w:t>, 1994 CanLII 56 (SCC) at para. 197.</w:t>
      </w:r>
    </w:p>
  </w:endnote>
  <w:endnote w:id="16">
    <w:p>
      <w:pPr>
        <w:pStyle w:val="endnote text"/>
      </w:pPr>
      <w:r>
        <w:rPr>
          <w:rStyle w:val="None"/>
          <w:sz w:val="24"/>
          <w:szCs w:val="24"/>
          <w:vertAlign w:val="superscript"/>
          <w:lang w:val="en-US"/>
        </w:rPr>
        <w:endnoteRef/>
      </w:r>
      <w:r>
        <w:rPr>
          <w:rStyle w:val="None"/>
          <w:rFonts w:cs="Arial Unicode MS" w:eastAsia="Arial Unicode MS"/>
          <w:rtl w:val="0"/>
          <w:lang w:val="en-US"/>
        </w:rPr>
        <w:t xml:space="preserve"> </w:t>
      </w:r>
      <w:r>
        <w:rPr>
          <w:rStyle w:val="None"/>
          <w:rFonts w:cs="Arial Unicode MS" w:eastAsia="Arial Unicode MS"/>
          <w:i w:val="1"/>
          <w:iCs w:val="1"/>
          <w:rtl w:val="0"/>
          <w:lang w:val="en-US"/>
        </w:rPr>
        <w:t>Singh v Canada (Minister of Citizenship and Immigration)</w:t>
      </w:r>
      <w:r>
        <w:rPr>
          <w:rStyle w:val="None"/>
          <w:rFonts w:cs="Arial Unicode MS" w:eastAsia="Arial Unicode MS"/>
          <w:rtl w:val="0"/>
          <w:lang w:val="en-US"/>
        </w:rPr>
        <w:t>,</w:t>
      </w:r>
      <w:r>
        <w:rPr>
          <w:rStyle w:val="None"/>
          <w:rFonts w:cs="Arial Unicode MS" w:eastAsia="Arial Unicode MS" w:hint="default"/>
          <w:rtl w:val="0"/>
          <w:lang w:val="en-US"/>
        </w:rPr>
        <w:t> </w:t>
      </w:r>
      <w:r>
        <w:rPr>
          <w:rStyle w:val="Hyperlink.2"/>
        </w:rPr>
        <w:fldChar w:fldCharType="begin" w:fldLock="0"/>
      </w:r>
      <w:r>
        <w:rPr>
          <w:rStyle w:val="Hyperlink.2"/>
        </w:rPr>
        <w:instrText xml:space="preserve"> HYPERLINK "https://www.canlii.org/en/ca/fct/doc/2010/2010fc1161/2010fc1161.html"</w:instrText>
      </w:r>
      <w:r>
        <w:rPr>
          <w:rStyle w:val="Hyperlink.2"/>
        </w:rPr>
        <w:fldChar w:fldCharType="separate" w:fldLock="0"/>
      </w:r>
      <w:r>
        <w:rPr>
          <w:rStyle w:val="Hyperlink.2"/>
          <w:rFonts w:cs="Arial Unicode MS" w:eastAsia="Arial Unicode MS"/>
          <w:rtl w:val="0"/>
          <w:lang w:val="en-US"/>
        </w:rPr>
        <w:t>2010 FC 1161</w:t>
      </w:r>
      <w:r>
        <w:rPr/>
        <w:fldChar w:fldCharType="end" w:fldLock="0"/>
      </w:r>
      <w:r>
        <w:rPr>
          <w:rStyle w:val="Hyperlink.2"/>
          <w:rFonts w:cs="Arial Unicode MS" w:eastAsia="Arial Unicode MS"/>
          <w:rtl w:val="0"/>
          <w:lang w:val="en-US"/>
        </w:rPr>
        <w:t xml:space="preserve">. See also </w:t>
      </w:r>
      <w:r>
        <w:rPr>
          <w:rStyle w:val="None"/>
          <w:rFonts w:cs="Arial Unicode MS" w:eastAsia="Arial Unicode MS"/>
          <w:i w:val="1"/>
          <w:iCs w:val="1"/>
          <w:shd w:val="clear" w:color="auto" w:fill="ffffff"/>
          <w:rtl w:val="0"/>
          <w:lang w:val="en-US"/>
        </w:rPr>
        <w:t>Mohammadian v. Canada (Minister of Citizenship and Immigration)</w:t>
      </w:r>
      <w:r>
        <w:rPr>
          <w:rStyle w:val="None"/>
          <w:rFonts w:cs="Arial Unicode MS" w:eastAsia="Arial Unicode MS"/>
          <w:shd w:val="clear" w:color="auto" w:fill="ffffff"/>
          <w:rtl w:val="0"/>
          <w:lang w:val="en-US"/>
        </w:rPr>
        <w:t xml:space="preserve">, </w:t>
      </w:r>
      <w:r>
        <w:rPr>
          <w:rStyle w:val="Hyperlink.0"/>
        </w:rPr>
        <w:fldChar w:fldCharType="begin" w:fldLock="0"/>
      </w:r>
      <w:r>
        <w:rPr>
          <w:rStyle w:val="Hyperlink.0"/>
        </w:rPr>
        <w:instrText xml:space="preserve"> HYPERLINK "https://www.canlii.org/en/ca/fca/doc/2001/2001fca191/2001fca191.html"</w:instrText>
      </w:r>
      <w:r>
        <w:rPr>
          <w:rStyle w:val="Hyperlink.0"/>
        </w:rPr>
        <w:fldChar w:fldCharType="separate" w:fldLock="0"/>
      </w:r>
      <w:r>
        <w:rPr>
          <w:rStyle w:val="Hyperlink.0"/>
          <w:rFonts w:cs="Arial Unicode MS" w:eastAsia="Arial Unicode MS"/>
          <w:rtl w:val="0"/>
          <w:lang w:val="en-US"/>
        </w:rPr>
        <w:t>2001 FCA 191</w:t>
      </w:r>
      <w:r>
        <w:rPr/>
        <w:fldChar w:fldCharType="end" w:fldLock="0"/>
      </w:r>
      <w:r>
        <w:rPr>
          <w:rStyle w:val="Link"/>
          <w:rFonts w:cs="Arial Unicode MS" w:eastAsia="Arial Unicode MS"/>
          <w:outline w:val="0"/>
          <w:color w:val="000000"/>
          <w:u w:val="none" w:color="000000"/>
          <w:shd w:val="clear" w:color="auto" w:fill="ffffff"/>
          <w:rtl w:val="0"/>
          <w:lang w:val="en-US"/>
          <w14:textFill>
            <w14:solidFill>
              <w14:srgbClr w14:val="000000"/>
            </w14:solidFill>
          </w14:textFill>
        </w:rPr>
        <w:t xml:space="preserve"> and </w:t>
      </w:r>
      <w:r>
        <w:rPr>
          <w:rStyle w:val="None"/>
          <w:rFonts w:cs="Arial Unicode MS" w:eastAsia="Arial Unicode MS"/>
          <w:i w:val="1"/>
          <w:iCs w:val="1"/>
          <w:rtl w:val="0"/>
          <w:lang w:val="en-US"/>
        </w:rPr>
        <w:t>Noori v. Canada (Citizenship and Immigration)</w:t>
      </w:r>
      <w:r>
        <w:rPr>
          <w:rStyle w:val="None"/>
          <w:rFonts w:cs="Arial Unicode MS" w:eastAsia="Arial Unicode MS"/>
          <w:rtl w:val="0"/>
          <w:lang w:val="en-US"/>
        </w:rPr>
        <w:t xml:space="preserve">, </w:t>
      </w:r>
      <w:r>
        <w:rPr>
          <w:rStyle w:val="Hyperlink.2"/>
        </w:rPr>
        <w:fldChar w:fldCharType="begin" w:fldLock="0"/>
      </w:r>
      <w:r>
        <w:rPr>
          <w:rStyle w:val="Hyperlink.2"/>
        </w:rPr>
        <w:instrText xml:space="preserve"> HYPERLINK "https://canlii.ca/t/hp4j9"</w:instrText>
      </w:r>
      <w:r>
        <w:rPr>
          <w:rStyle w:val="Hyperlink.2"/>
        </w:rPr>
        <w:fldChar w:fldCharType="separate" w:fldLock="0"/>
      </w:r>
      <w:r>
        <w:rPr>
          <w:rStyle w:val="Hyperlink.2"/>
          <w:rFonts w:cs="Arial Unicode MS" w:eastAsia="Arial Unicode MS"/>
          <w:rtl w:val="0"/>
          <w:lang w:val="en-US"/>
        </w:rPr>
        <w:t xml:space="preserve"> 2017 FC 1095</w:t>
      </w:r>
      <w:r>
        <w:rPr/>
        <w:fldChar w:fldCharType="end" w:fldLock="0"/>
      </w:r>
      <w:r>
        <w:rPr>
          <w:rStyle w:val="Hyperlink.2"/>
          <w:rFonts w:cs="Arial Unicode MS" w:eastAsia="Arial Unicode MS"/>
          <w:rtl w:val="0"/>
          <w:lang w:val="en-US"/>
        </w:rPr>
        <w:t>.</w:t>
      </w:r>
      <w:r>
        <w:rPr>
          <w:rStyle w:val="Link"/>
          <w:rFonts w:cs="Arial Unicode MS" w:eastAsia="Arial Unicode MS"/>
          <w:outline w:val="0"/>
          <w:color w:val="000000"/>
          <w:u w:color="000000"/>
          <w:rtl w:val="0"/>
          <w:lang w:val="en-US"/>
          <w14:textFill>
            <w14:solidFill>
              <w14:srgbClr w14:val="000000"/>
            </w14:solidFill>
          </w14:textFill>
        </w:rPr>
        <w:t xml:space="preserve"> </w:t>
      </w:r>
    </w:p>
  </w:endnote>
  <w:endnote w:id="17">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This was also acknowledged by the Appellants</w:t>
      </w:r>
      <w:r>
        <w:rPr>
          <w:rStyle w:val="Hyperlink.1"/>
          <w:rFonts w:cs="Arial Unicode MS" w:eastAsia="Arial Unicode MS" w:hint="default"/>
          <w:rtl w:val="0"/>
          <w:lang w:val="en-US"/>
        </w:rPr>
        <w:t xml:space="preserve">’ </w:t>
      </w:r>
      <w:r>
        <w:rPr>
          <w:rStyle w:val="Hyperlink.1"/>
          <w:rFonts w:cs="Arial Unicode MS" w:eastAsia="Arial Unicode MS"/>
          <w:rtl w:val="0"/>
          <w:lang w:val="en-US"/>
        </w:rPr>
        <w:t>counsel during his oral submissions. See RPD-1, RPD Record, Hearing of November 16, 2020, Audio recording at 2:33:00</w:t>
      </w:r>
      <w:r>
        <w:rPr>
          <w:rStyle w:val="Hyperlink.1"/>
          <w:rFonts w:cs="Arial Unicode MS" w:eastAsia="Arial Unicode MS" w:hint="default"/>
          <w:rtl w:val="0"/>
          <w:lang w:val="en-US"/>
        </w:rPr>
        <w:t>–</w:t>
      </w:r>
      <w:r>
        <w:rPr>
          <w:rStyle w:val="Hyperlink.1"/>
          <w:rFonts w:cs="Arial Unicode MS" w:eastAsia="Arial Unicode MS"/>
          <w:rtl w:val="0"/>
          <w:lang w:val="en-US"/>
        </w:rPr>
        <w:t>2:33:30.</w:t>
      </w:r>
    </w:p>
  </w:endnote>
  <w:endnote w:id="18">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See RPD-1, RPD Record, Hearing of November 16, 2020, Audio hearing at 1:18:00.</w:t>
      </w:r>
    </w:p>
  </w:endnote>
  <w:endnote w:id="19">
    <w:p>
      <w:pPr>
        <w:pStyle w:val="endnote text"/>
      </w:pPr>
      <w:r>
        <w:rPr>
          <w:rStyle w:val="endnote reference"/>
        </w:rPr>
        <w:endnoteRef/>
      </w:r>
      <w:r>
        <w:rPr>
          <w:rStyle w:val="Hyperlink.1"/>
          <w:rFonts w:cs="Arial Unicode MS" w:eastAsia="Arial Unicode MS"/>
          <w:rtl w:val="0"/>
          <w:lang w:val="en-US"/>
        </w:rPr>
        <w:t xml:space="preserve"> P-2, Appellant</w:t>
      </w:r>
      <w:r>
        <w:rPr>
          <w:rStyle w:val="Hyperlink.1"/>
          <w:rFonts w:cs="Arial Unicode MS" w:eastAsia="Arial Unicode MS" w:hint="default"/>
          <w:rtl w:val="0"/>
          <w:lang w:val="en-US"/>
        </w:rPr>
        <w:t>’</w:t>
      </w:r>
      <w:r>
        <w:rPr>
          <w:rStyle w:val="Hyperlink.1"/>
          <w:rFonts w:cs="Arial Unicode MS" w:eastAsia="Arial Unicode MS"/>
          <w:rtl w:val="0"/>
          <w:lang w:val="en-US"/>
        </w:rPr>
        <w:t xml:space="preserve">s Record, Affidaivit of Mr. </w:t>
      </w:r>
      <w:r>
        <w:rPr>
          <w:rStyle w:val="None"/>
          <w:rFonts w:cs="Arial Unicode MS" w:eastAsia="Arial Unicode MS"/>
          <w:rtl w:val="0"/>
          <w:lang w:val="en-US"/>
        </w:rPr>
        <w:t>Vel</w:t>
      </w:r>
      <w:r>
        <w:rPr>
          <w:rStyle w:val="None"/>
          <w:rFonts w:cs="Arial Unicode MS" w:eastAsia="Arial Unicode MS" w:hint="default"/>
          <w:rtl w:val="0"/>
          <w:lang w:val="en-US"/>
        </w:rPr>
        <w:t>á</w:t>
      </w:r>
      <w:r>
        <w:rPr>
          <w:rStyle w:val="None"/>
          <w:rFonts w:cs="Arial Unicode MS" w:eastAsia="Arial Unicode MS"/>
          <w:rtl w:val="0"/>
          <w:lang w:val="en-US"/>
        </w:rPr>
        <w:t>squez</w:t>
      </w:r>
      <w:r>
        <w:rPr>
          <w:rStyle w:val="Hyperlink.1"/>
          <w:rFonts w:cs="Arial Unicode MS" w:eastAsia="Arial Unicode MS"/>
          <w:rtl w:val="0"/>
          <w:lang w:val="en-US"/>
        </w:rPr>
        <w:t>, pp. 6</w:t>
      </w:r>
      <w:r>
        <w:rPr>
          <w:rStyle w:val="Hyperlink.1"/>
          <w:rFonts w:cs="Arial Unicode MS" w:eastAsia="Arial Unicode MS" w:hint="default"/>
          <w:rtl w:val="0"/>
          <w:lang w:val="en-US"/>
        </w:rPr>
        <w:t>–</w:t>
      </w:r>
      <w:r>
        <w:rPr>
          <w:rStyle w:val="Hyperlink.1"/>
          <w:rFonts w:cs="Arial Unicode MS" w:eastAsia="Arial Unicode MS"/>
          <w:rtl w:val="0"/>
          <w:lang w:val="en-US"/>
        </w:rPr>
        <w:t>7 at paras. 39</w:t>
      </w:r>
      <w:r>
        <w:rPr>
          <w:rStyle w:val="Hyperlink.1"/>
          <w:rFonts w:cs="Arial Unicode MS" w:eastAsia="Arial Unicode MS" w:hint="default"/>
          <w:rtl w:val="0"/>
          <w:lang w:val="en-US"/>
        </w:rPr>
        <w:t>–</w:t>
      </w:r>
      <w:r>
        <w:rPr>
          <w:rStyle w:val="Hyperlink.1"/>
          <w:rFonts w:cs="Arial Unicode MS" w:eastAsia="Arial Unicode MS"/>
          <w:rtl w:val="0"/>
          <w:lang w:val="en-US"/>
        </w:rPr>
        <w:t>50.</w:t>
      </w:r>
    </w:p>
  </w:endnote>
  <w:endnote w:id="20">
    <w:p>
      <w:pPr>
        <w:pStyle w:val="endnote text"/>
      </w:pPr>
      <w:r>
        <w:rPr>
          <w:rStyle w:val="endnote reference"/>
        </w:rPr>
        <w:endnoteRef/>
      </w:r>
      <w:r>
        <w:rPr>
          <w:rStyle w:val="Hyperlink.1"/>
          <w:rFonts w:cs="Arial Unicode MS" w:eastAsia="Arial Unicode MS"/>
          <w:rtl w:val="0"/>
          <w:lang w:val="en-US"/>
        </w:rPr>
        <w:t xml:space="preserve"> RPD-1, RPD Record, Hearing of November 16, 2020, Audio hearing at 0:45:00</w:t>
      </w:r>
      <w:r>
        <w:rPr>
          <w:rStyle w:val="Hyperlink.1"/>
          <w:rFonts w:cs="Arial Unicode MS" w:eastAsia="Arial Unicode MS" w:hint="default"/>
          <w:rtl w:val="0"/>
          <w:lang w:val="en-US"/>
        </w:rPr>
        <w:t>–</w:t>
      </w:r>
      <w:r>
        <w:rPr>
          <w:rStyle w:val="Hyperlink.1"/>
          <w:rFonts w:cs="Arial Unicode MS" w:eastAsia="Arial Unicode MS"/>
          <w:rtl w:val="0"/>
          <w:lang w:val="en-US"/>
        </w:rPr>
        <w:t>0:47:30.</w:t>
      </w:r>
    </w:p>
  </w:endnote>
  <w:endnote w:id="21">
    <w:p>
      <w:pPr>
        <w:pStyle w:val="endnote text"/>
      </w:pPr>
      <w:r>
        <w:rPr>
          <w:rStyle w:val="endnote reference"/>
        </w:rPr>
        <w:endnoteRef/>
      </w:r>
      <w:r>
        <w:rPr>
          <w:rStyle w:val="Hyperlink.1"/>
          <w:rFonts w:cs="Arial Unicode MS" w:eastAsia="Arial Unicode MS"/>
          <w:rtl w:val="0"/>
          <w:lang w:val="en-US"/>
        </w:rPr>
        <w:t xml:space="preserve"> See RPD-1, Audio hearing at 1:21:45.</w:t>
      </w:r>
    </w:p>
  </w:endnote>
  <w:endnote w:id="22">
    <w:p>
      <w:pPr>
        <w:pStyle w:val="endnote text"/>
      </w:pPr>
      <w:r>
        <w:rPr>
          <w:rStyle w:val="endnote reference"/>
        </w:rPr>
        <w:endnoteRef/>
      </w:r>
      <w:r>
        <w:rPr>
          <w:rStyle w:val="Hyperlink.1"/>
          <w:rFonts w:cs="Arial Unicode MS" w:eastAsia="Arial Unicode MS"/>
          <w:rtl w:val="0"/>
          <w:lang w:val="en-US"/>
        </w:rPr>
        <w:t xml:space="preserve"> The interpreter indicated that there were several words in Spanish which might denote a move.</w:t>
      </w:r>
    </w:p>
  </w:endnote>
  <w:endnote w:id="23">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Supra, para. 8.</w:t>
      </w:r>
    </w:p>
  </w:endnote>
  <w:endnote w:id="24">
    <w:p>
      <w:pPr>
        <w:pStyle w:val="endnote text"/>
      </w:pPr>
      <w:r>
        <w:rPr>
          <w:rStyle w:val="None"/>
          <w:sz w:val="24"/>
          <w:szCs w:val="24"/>
          <w:vertAlign w:val="superscript"/>
          <w:lang w:val="en-US"/>
        </w:rPr>
        <w:endnoteRef/>
      </w:r>
      <w:r>
        <w:rPr>
          <w:rStyle w:val="None"/>
          <w:rFonts w:cs="Arial Unicode MS" w:eastAsia="Arial Unicode MS"/>
          <w:rtl w:val="0"/>
          <w:lang w:val="en-US"/>
        </w:rPr>
        <w:t xml:space="preserve"> </w:t>
      </w:r>
      <w:r>
        <w:rPr>
          <w:rStyle w:val="None"/>
          <w:rFonts w:cs="Arial Unicode MS" w:eastAsia="Arial Unicode MS"/>
          <w:i w:val="1"/>
          <w:iCs w:val="1"/>
          <w:outline w:val="0"/>
          <w:color w:val="000000"/>
          <w:u w:color="000000"/>
          <w:rtl w:val="0"/>
          <w:lang w:val="en-US"/>
          <w14:textFill>
            <w14:solidFill>
              <w14:srgbClr w14:val="000000"/>
            </w14:solidFill>
          </w14:textFill>
        </w:rPr>
        <w:t xml:space="preserve">Maldonado v. Canada (Minister of Employment and Immigration), </w:t>
      </w:r>
      <w:r>
        <w:rPr>
          <w:rStyle w:val="None"/>
          <w:rFonts w:cs="Arial Unicode MS" w:eastAsia="Arial Unicode MS"/>
          <w:outline w:val="0"/>
          <w:color w:val="000000"/>
          <w:u w:color="000000"/>
          <w:rtl w:val="0"/>
          <w:lang w:val="en-US"/>
          <w14:textFill>
            <w14:solidFill>
              <w14:srgbClr w14:val="000000"/>
            </w14:solidFill>
          </w14:textFill>
        </w:rPr>
        <w:t>[1980] 2 F.C. 302 (C.A.).</w:t>
      </w:r>
    </w:p>
  </w:endnote>
  <w:endnote w:id="25">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w:t>
      </w:r>
      <w:r>
        <w:rPr>
          <w:rStyle w:val="None"/>
          <w:rFonts w:cs="Arial Unicode MS" w:eastAsia="Arial Unicode MS"/>
          <w:i w:val="1"/>
          <w:iCs w:val="1"/>
          <w:rtl w:val="0"/>
          <w:lang w:val="en-US"/>
        </w:rPr>
        <w:t>Lunda v. Canada (Citizenship and Immigration)</w:t>
      </w:r>
      <w:r>
        <w:rPr>
          <w:rStyle w:val="Hyperlink.1"/>
          <w:rFonts w:cs="Arial Unicode MS" w:eastAsia="Arial Unicode MS"/>
          <w:rtl w:val="0"/>
          <w:lang w:val="en-US"/>
        </w:rPr>
        <w:t xml:space="preserve"> 2020 FC 704 at para 29. See also </w:t>
      </w:r>
      <w:r>
        <w:rPr>
          <w:rStyle w:val="None"/>
          <w:rFonts w:cs="Arial Unicode MS" w:eastAsia="Arial Unicode MS"/>
          <w:i w:val="1"/>
          <w:iCs w:val="1"/>
          <w:shd w:val="clear" w:color="auto" w:fill="ffffff"/>
          <w:rtl w:val="0"/>
          <w:lang w:val="en-US"/>
        </w:rPr>
        <w:t>Su v. Canada (Citizenship and Immigration),</w:t>
      </w:r>
      <w:r>
        <w:rPr>
          <w:rStyle w:val="None"/>
          <w:rFonts w:cs="Arial Unicode MS" w:eastAsia="Arial Unicode MS"/>
          <w:shd w:val="clear" w:color="auto" w:fill="ffffff"/>
          <w:rtl w:val="0"/>
          <w:lang w:val="en-US"/>
        </w:rPr>
        <w:t xml:space="preserve"> </w:t>
      </w:r>
      <w:r>
        <w:rPr>
          <w:rStyle w:val="Hyperlink.3"/>
        </w:rPr>
        <w:fldChar w:fldCharType="begin" w:fldLock="0"/>
      </w:r>
      <w:r>
        <w:rPr>
          <w:rStyle w:val="Hyperlink.3"/>
        </w:rPr>
        <w:instrText xml:space="preserve"> HYPERLINK "https://www.canlii.org/en/ca/fct/doc/2015/2015fc666/2015fc666.html"</w:instrText>
      </w:r>
      <w:r>
        <w:rPr>
          <w:rStyle w:val="Hyperlink.3"/>
        </w:rPr>
        <w:fldChar w:fldCharType="separate" w:fldLock="0"/>
      </w:r>
      <w:r>
        <w:rPr>
          <w:rStyle w:val="Hyperlink.3"/>
          <w:rFonts w:cs="Arial Unicode MS" w:eastAsia="Arial Unicode MS"/>
          <w:rtl w:val="0"/>
          <w:lang w:val="en-US"/>
        </w:rPr>
        <w:t>2015 FC 666</w:t>
      </w:r>
      <w:r>
        <w:rPr/>
        <w:fldChar w:fldCharType="end" w:fldLock="0"/>
      </w:r>
      <w:r>
        <w:rPr>
          <w:rStyle w:val="Hyperlink.3"/>
          <w:rFonts w:cs="Arial Unicode MS" w:eastAsia="Arial Unicode MS"/>
          <w:rtl w:val="0"/>
          <w:lang w:val="en-US"/>
        </w:rPr>
        <w:t xml:space="preserve"> at para. </w:t>
      </w:r>
      <w:r>
        <w:rPr>
          <w:rStyle w:val="Hyperlink.0"/>
        </w:rPr>
        <w:fldChar w:fldCharType="begin" w:fldLock="0"/>
      </w:r>
      <w:r>
        <w:rPr>
          <w:rStyle w:val="Hyperlink.0"/>
        </w:rPr>
        <w:instrText xml:space="preserve"> HYPERLINK "https://www.canlii.org/en/ca/fct/doc/2015/2015fc666/2015fc666.html#par11"</w:instrText>
      </w:r>
      <w:r>
        <w:rPr>
          <w:rStyle w:val="Hyperlink.0"/>
        </w:rPr>
        <w:fldChar w:fldCharType="separate" w:fldLock="0"/>
      </w:r>
      <w:r>
        <w:rPr>
          <w:rStyle w:val="Hyperlink.0"/>
          <w:rFonts w:cs="Arial Unicode MS" w:eastAsia="Arial Unicode MS"/>
          <w:rtl w:val="0"/>
          <w:lang w:val="en-US"/>
        </w:rPr>
        <w:t>11</w:t>
      </w:r>
      <w:r>
        <w:rPr/>
        <w:fldChar w:fldCharType="end" w:fldLock="0"/>
      </w:r>
      <w:r>
        <w:rPr>
          <w:rStyle w:val="Hyperlink.3"/>
          <w:rFonts w:cs="Arial Unicode MS" w:eastAsia="Arial Unicode MS"/>
          <w:rtl w:val="0"/>
          <w:lang w:val="en-US"/>
        </w:rPr>
        <w:t xml:space="preserve">, </w:t>
      </w:r>
      <w:r>
        <w:rPr>
          <w:rStyle w:val="None"/>
          <w:rFonts w:cs="Arial Unicode MS" w:eastAsia="Arial Unicode MS"/>
          <w:i w:val="1"/>
          <w:iCs w:val="1"/>
          <w:shd w:val="clear" w:color="auto" w:fill="ffffff"/>
          <w:rtl w:val="0"/>
          <w:lang w:val="en-US"/>
        </w:rPr>
        <w:t>Adu v. Canada (Minister of Employment and Immigration)</w:t>
      </w:r>
      <w:r>
        <w:rPr>
          <w:rStyle w:val="Hyperlink.3"/>
          <w:rFonts w:cs="Arial Unicode MS" w:eastAsia="Arial Unicode MS"/>
          <w:rtl w:val="0"/>
          <w:lang w:val="en-US"/>
        </w:rPr>
        <w:t xml:space="preserve"> [1995] FCA 114.</w:t>
      </w:r>
    </w:p>
  </w:endnote>
  <w:endnote w:id="26">
    <w:p>
      <w:pPr>
        <w:pStyle w:val="endnote text"/>
      </w:pPr>
      <w:r>
        <w:rPr>
          <w:rStyle w:val="None"/>
          <w:sz w:val="24"/>
          <w:szCs w:val="24"/>
          <w:vertAlign w:val="superscript"/>
        </w:rPr>
        <w:endnoteRef/>
      </w:r>
      <w:r>
        <w:rPr>
          <w:rStyle w:val="Hyperlink.1"/>
          <w:rFonts w:cs="Arial Unicode MS" w:eastAsia="Arial Unicode MS"/>
          <w:rtl w:val="0"/>
          <w:lang w:val="en-US"/>
        </w:rPr>
        <w:t xml:space="preserve"> </w:t>
      </w:r>
      <w:r>
        <w:rPr>
          <w:rStyle w:val="None"/>
          <w:rFonts w:cs="Arial Unicode MS" w:eastAsia="Arial Unicode MS"/>
          <w:i w:val="1"/>
          <w:iCs w:val="1"/>
          <w:rtl w:val="0"/>
          <w:lang w:val="en-US"/>
        </w:rPr>
        <w:t>Lobo v. Canada (Minister of Citizenship and</w:t>
      </w:r>
      <w:r>
        <w:rPr>
          <w:rStyle w:val="Hyperlink.1"/>
          <w:rFonts w:cs="Arial Unicode MS" w:eastAsia="Arial Unicode MS"/>
          <w:rtl w:val="0"/>
          <w:lang w:val="en-US"/>
        </w:rPr>
        <w:t xml:space="preserve"> </w:t>
      </w:r>
      <w:r>
        <w:rPr>
          <w:rStyle w:val="None"/>
          <w:rFonts w:cs="Arial Unicode MS" w:eastAsia="Arial Unicode MS"/>
          <w:i w:val="1"/>
          <w:iCs w:val="1"/>
          <w:rtl w:val="0"/>
          <w:lang w:val="en-US"/>
        </w:rPr>
        <w:t>Immigration)</w:t>
      </w:r>
      <w:r>
        <w:rPr>
          <w:rStyle w:val="Hyperlink.1"/>
          <w:rFonts w:cs="Arial Unicode MS" w:eastAsia="Arial Unicode MS"/>
          <w:rtl w:val="0"/>
          <w:lang w:val="en-US"/>
        </w:rPr>
        <w:t xml:space="preserve"> 1995 F.C.J. No 597; </w:t>
      </w:r>
      <w:r>
        <w:rPr>
          <w:rStyle w:val="None"/>
          <w:rFonts w:cs="Arial Unicode MS" w:eastAsia="Arial Unicode MS"/>
          <w:i w:val="1"/>
          <w:iCs w:val="1"/>
          <w:rtl w:val="0"/>
          <w:lang w:val="en-US"/>
        </w:rPr>
        <w:t>Zyli v. Canada (Minister of Citizenship and</w:t>
      </w:r>
      <w:r>
        <w:rPr>
          <w:rStyle w:val="Hyperlink.1"/>
          <w:rFonts w:cs="Arial Unicode MS" w:eastAsia="Arial Unicode MS"/>
          <w:rtl w:val="0"/>
          <w:lang w:val="en-US"/>
        </w:rPr>
        <w:t xml:space="preserve"> </w:t>
      </w:r>
      <w:r>
        <w:rPr>
          <w:rStyle w:val="None"/>
          <w:rFonts w:cs="Arial Unicode MS" w:eastAsia="Arial Unicode MS"/>
          <w:i w:val="1"/>
          <w:iCs w:val="1"/>
          <w:rtl w:val="0"/>
          <w:lang w:val="en-US"/>
        </w:rPr>
        <w:t>Immigration</w:t>
      </w:r>
      <w:r>
        <w:rPr>
          <w:rStyle w:val="Hyperlink.1"/>
          <w:rFonts w:cs="Arial Unicode MS" w:eastAsia="Arial Unicode MS"/>
          <w:rtl w:val="0"/>
          <w:lang w:val="en-US"/>
        </w:rPr>
        <w:t>) 2005 FC 66 at para. 50.</w:t>
      </w:r>
    </w:p>
  </w:endnote>
  <w:endnote w:id="27">
    <w:p>
      <w:pPr>
        <w:pStyle w:val="Quote"/>
        <w:shd w:val="clear" w:color="auto" w:fill="ffffff"/>
        <w:spacing w:before="0" w:after="0"/>
        <w:ind w:left="0" w:right="1440" w:firstLine="0"/>
      </w:pPr>
      <w:r>
        <w:rPr>
          <w:rStyle w:val="None"/>
          <w:sz w:val="24"/>
          <w:szCs w:val="24"/>
          <w:vertAlign w:val="superscript"/>
        </w:rPr>
        <w:endnoteRef/>
      </w:r>
      <w:r>
        <w:rPr>
          <w:rStyle w:val="None"/>
          <w:spacing w:val="0"/>
          <w:sz w:val="20"/>
          <w:szCs w:val="20"/>
          <w:rtl w:val="0"/>
          <w:lang w:val="fr-FR"/>
        </w:rPr>
        <w:t xml:space="preserve"> </w:t>
      </w:r>
      <w:r>
        <w:rPr>
          <w:rStyle w:val="None"/>
          <w:i w:val="1"/>
          <w:iCs w:val="1"/>
          <w:spacing w:val="0"/>
          <w:sz w:val="20"/>
          <w:szCs w:val="20"/>
          <w:rtl w:val="0"/>
          <w:lang w:val="fr-FR"/>
        </w:rPr>
        <w:t>Jamil v. Canada (Minister of Citizenship and Immigration)</w:t>
      </w:r>
      <w:r>
        <w:rPr>
          <w:rStyle w:val="None"/>
          <w:spacing w:val="0"/>
          <w:sz w:val="20"/>
          <w:szCs w:val="20"/>
          <w:rtl w:val="0"/>
          <w:lang w:val="fr-FR"/>
        </w:rPr>
        <w:t xml:space="preserve">, </w:t>
      </w:r>
      <w:r>
        <w:rPr>
          <w:rStyle w:val="Hyperlink.4"/>
        </w:rPr>
        <w:fldChar w:fldCharType="begin" w:fldLock="0"/>
      </w:r>
      <w:r>
        <w:rPr>
          <w:rStyle w:val="Hyperlink.4"/>
        </w:rPr>
        <w:instrText xml:space="preserve"> HYPERLINK "https://www.canlii.org/en/ca/fct/doc/2006/2006fc792/2006fc792.html"</w:instrText>
      </w:r>
      <w:r>
        <w:rPr>
          <w:rStyle w:val="Hyperlink.4"/>
        </w:rPr>
        <w:fldChar w:fldCharType="separate" w:fldLock="0"/>
      </w:r>
      <w:r>
        <w:rPr>
          <w:rStyle w:val="Hyperlink.4"/>
          <w:rtl w:val="0"/>
          <w:lang w:val="fr-FR"/>
        </w:rPr>
        <w:t>2006 FC 792</w:t>
      </w:r>
      <w:r>
        <w:rPr/>
        <w:fldChar w:fldCharType="end" w:fldLock="0"/>
      </w:r>
      <w:r>
        <w:rPr>
          <w:rStyle w:val="Hyperlink.4"/>
          <w:rtl w:val="0"/>
          <w:lang w:val="fr-FR"/>
        </w:rPr>
        <w:t xml:space="preserve"> at para. </w:t>
      </w:r>
      <w:r>
        <w:rPr>
          <w:rStyle w:val="Hyperlink.4"/>
        </w:rPr>
        <w:fldChar w:fldCharType="begin" w:fldLock="0"/>
      </w:r>
      <w:r>
        <w:rPr>
          <w:rStyle w:val="Hyperlink.4"/>
        </w:rPr>
        <w:instrText xml:space="preserve"> HYPERLINK "https://www.canlii.org/en/ca/fct/doc/2006/2006fc792/2006fc792.html#par25"</w:instrText>
      </w:r>
      <w:r>
        <w:rPr>
          <w:rStyle w:val="Hyperlink.4"/>
        </w:rPr>
        <w:fldChar w:fldCharType="separate" w:fldLock="0"/>
      </w:r>
      <w:r>
        <w:rPr>
          <w:rStyle w:val="Hyperlink.4"/>
          <w:rtl w:val="0"/>
          <w:lang w:val="fr-FR"/>
        </w:rPr>
        <w:t>25</w:t>
      </w:r>
      <w:r>
        <w:rPr/>
        <w:fldChar w:fldCharType="end" w:fldLock="0"/>
      </w:r>
      <w:r>
        <w:rPr>
          <w:rStyle w:val="Hyperlink.4"/>
          <w:rtl w:val="0"/>
          <w:lang w:val="fr-FR"/>
        </w:rPr>
        <w:t xml:space="preserve">; </w:t>
      </w:r>
      <w:r>
        <w:rPr>
          <w:rStyle w:val="None"/>
          <w:i w:val="1"/>
          <w:iCs w:val="1"/>
          <w:spacing w:val="0"/>
          <w:sz w:val="20"/>
          <w:szCs w:val="20"/>
          <w:rtl w:val="0"/>
          <w:lang w:val="fr-FR"/>
        </w:rPr>
        <w:t>Alekozai v. Canada (Citizenship and Immigration)</w:t>
      </w:r>
      <w:r>
        <w:rPr>
          <w:rStyle w:val="Hyperlink.4"/>
          <w:rtl w:val="0"/>
          <w:lang w:val="fr-FR"/>
        </w:rPr>
        <w:t xml:space="preserve">, </w:t>
      </w:r>
      <w:r>
        <w:rPr>
          <w:rStyle w:val="Hyperlink.4"/>
        </w:rPr>
        <w:fldChar w:fldCharType="begin" w:fldLock="0"/>
      </w:r>
      <w:r>
        <w:rPr>
          <w:rStyle w:val="Hyperlink.4"/>
        </w:rPr>
        <w:instrText xml:space="preserve"> HYPERLINK "https://www.canlii.org/en/ca/fct/doc/2015/2015fc158/2015fc158.html"</w:instrText>
      </w:r>
      <w:r>
        <w:rPr>
          <w:rStyle w:val="Hyperlink.4"/>
        </w:rPr>
        <w:fldChar w:fldCharType="separate" w:fldLock="0"/>
      </w:r>
      <w:r>
        <w:rPr>
          <w:rStyle w:val="Hyperlink.4"/>
          <w:rtl w:val="0"/>
          <w:lang w:val="fr-FR"/>
        </w:rPr>
        <w:t>2015 FC 158</w:t>
      </w:r>
      <w:r>
        <w:rPr/>
        <w:fldChar w:fldCharType="end" w:fldLock="0"/>
      </w:r>
      <w:r>
        <w:rPr>
          <w:rStyle w:val="Hyperlink.4"/>
          <w:rtl w:val="0"/>
          <w:lang w:val="fr-FR"/>
        </w:rPr>
        <w:t xml:space="preserve"> at para. </w:t>
      </w:r>
      <w:r>
        <w:rPr>
          <w:rStyle w:val="Hyperlink.4"/>
        </w:rPr>
        <w:fldChar w:fldCharType="begin" w:fldLock="0"/>
      </w:r>
      <w:r>
        <w:rPr>
          <w:rStyle w:val="Hyperlink.4"/>
        </w:rPr>
        <w:instrText xml:space="preserve"> HYPERLINK "https://www.canlii.org/en/ca/fct/doc/2015/2015fc158/2015fc158.html#par8"</w:instrText>
      </w:r>
      <w:r>
        <w:rPr>
          <w:rStyle w:val="Hyperlink.4"/>
        </w:rPr>
        <w:fldChar w:fldCharType="separate" w:fldLock="0"/>
      </w:r>
      <w:r>
        <w:rPr>
          <w:rStyle w:val="Hyperlink.4"/>
          <w:rtl w:val="0"/>
          <w:lang w:val="fr-FR"/>
        </w:rPr>
        <w:t>8</w:t>
      </w:r>
      <w:r>
        <w:rPr/>
        <w:fldChar w:fldCharType="end" w:fldLock="0"/>
      </w:r>
      <w:r>
        <w:rPr>
          <w:rStyle w:val="Hyperlink.4"/>
          <w:rtl w:val="0"/>
          <w:lang w:val="fr-FR"/>
        </w:rPr>
        <w:t>.</w:t>
      </w:r>
    </w:p>
  </w:endnote>
  <w:endnote w:id="28">
    <w:p>
      <w:pPr>
        <w:pStyle w:val="endnote text"/>
      </w:pPr>
      <w:r>
        <w:rPr>
          <w:rStyle w:val="None"/>
          <w:sz w:val="24"/>
          <w:szCs w:val="24"/>
          <w:vertAlign w:val="superscript"/>
        </w:rPr>
        <w:endnoteRef/>
      </w:r>
      <w:r>
        <w:rPr>
          <w:rStyle w:val="Hyperlink.1"/>
          <w:rFonts w:cs="Arial Unicode MS" w:eastAsia="Arial Unicode MS"/>
          <w:rtl w:val="0"/>
          <w:lang w:val="en-US"/>
        </w:rPr>
        <w:t xml:space="preserve"> </w:t>
      </w:r>
      <w:r>
        <w:rPr>
          <w:rStyle w:val="None"/>
          <w:rFonts w:cs="Arial Unicode MS" w:eastAsia="Arial Unicode MS"/>
          <w:i w:val="1"/>
          <w:iCs w:val="1"/>
          <w:outline w:val="0"/>
          <w:color w:val="000000"/>
          <w:u w:color="000000"/>
          <w:shd w:val="clear" w:color="auto" w:fill="ffffff"/>
          <w:rtl w:val="0"/>
          <w:lang w:val="en-US"/>
          <w14:textFill>
            <w14:solidFill>
              <w14:srgbClr w14:val="000000"/>
            </w14:solidFill>
          </w14:textFill>
        </w:rPr>
        <w:t xml:space="preserve">Seenivasan v. Canada (Citizenship </w:t>
      </w:r>
      <w:r>
        <w:rPr>
          <w:rStyle w:val="None"/>
          <w:rFonts w:cs="Arial Unicode MS" w:eastAsia="Arial Unicode MS"/>
          <w:i w:val="1"/>
          <w:iCs w:val="1"/>
          <w:shd w:val="clear" w:color="auto" w:fill="ffffff"/>
          <w:rtl w:val="0"/>
          <w:lang w:val="en-US"/>
        </w:rPr>
        <w:t>and Immigration)</w:t>
      </w:r>
      <w:r>
        <w:rPr>
          <w:rStyle w:val="Hyperlink.3"/>
          <w:rFonts w:cs="Arial Unicode MS" w:eastAsia="Arial Unicode MS" w:hint="default"/>
          <w:rtl w:val="0"/>
          <w:lang w:val="en-US"/>
        </w:rPr>
        <w:t> </w:t>
      </w:r>
      <w:r>
        <w:rPr>
          <w:rStyle w:val="Hyperlink.3"/>
        </w:rPr>
        <w:fldChar w:fldCharType="begin" w:fldLock="0"/>
      </w:r>
      <w:r>
        <w:rPr>
          <w:rStyle w:val="Hyperlink.3"/>
        </w:rPr>
        <w:instrText xml:space="preserve"> HYPERLINK "https://www.canlii.org/en/ca/fct/doc/2015/2015fc1410/2015fc1410.html"</w:instrText>
      </w:r>
      <w:r>
        <w:rPr>
          <w:rStyle w:val="Hyperlink.3"/>
        </w:rPr>
        <w:fldChar w:fldCharType="separate" w:fldLock="0"/>
      </w:r>
      <w:r>
        <w:rPr>
          <w:rStyle w:val="Hyperlink.3"/>
          <w:rFonts w:cs="Arial Unicode MS" w:eastAsia="Arial Unicode MS"/>
          <w:rtl w:val="0"/>
          <w:lang w:val="en-US"/>
        </w:rPr>
        <w:t>2015 FC 1410</w:t>
      </w:r>
      <w:r>
        <w:rPr/>
        <w:fldChar w:fldCharType="end" w:fldLock="0"/>
      </w:r>
      <w:r>
        <w:rPr>
          <w:rStyle w:val="Hyperlink.3"/>
          <w:rFonts w:cs="Arial Unicode MS" w:eastAsia="Arial Unicode MS"/>
          <w:rtl w:val="0"/>
          <w:lang w:val="en-US"/>
        </w:rPr>
        <w:t xml:space="preserve"> at paras. </w:t>
      </w:r>
      <w:r>
        <w:rPr>
          <w:rStyle w:val="Hyperlink.0"/>
        </w:rPr>
        <w:fldChar w:fldCharType="begin" w:fldLock="0"/>
      </w:r>
      <w:r>
        <w:rPr>
          <w:rStyle w:val="Hyperlink.0"/>
        </w:rPr>
        <w:instrText xml:space="preserve"> HYPERLINK "https://www.canlii.org/en/ca/fct/doc/2015/2015fc1410/2015fc1410.html#par19"</w:instrText>
      </w:r>
      <w:r>
        <w:rPr>
          <w:rStyle w:val="Hyperlink.0"/>
        </w:rPr>
        <w:fldChar w:fldCharType="separate" w:fldLock="0"/>
      </w:r>
      <w:r>
        <w:rPr>
          <w:rStyle w:val="Hyperlink.0"/>
          <w:rFonts w:cs="Arial Unicode MS" w:eastAsia="Arial Unicode MS"/>
          <w:rtl w:val="0"/>
          <w:lang w:val="en-US"/>
        </w:rPr>
        <w:t>19</w:t>
      </w:r>
      <w:r>
        <w:rPr>
          <w:rStyle w:val="Hyperlink.0"/>
          <w:rFonts w:cs="Arial Unicode MS" w:eastAsia="Arial Unicode MS" w:hint="default"/>
          <w:rtl w:val="0"/>
          <w:lang w:val="en-US"/>
        </w:rPr>
        <w:t>–</w:t>
      </w:r>
      <w:r>
        <w:rPr>
          <w:rStyle w:val="Hyperlink.0"/>
          <w:rFonts w:cs="Arial Unicode MS" w:eastAsia="Arial Unicode MS"/>
          <w:rtl w:val="0"/>
          <w:lang w:val="en-US"/>
        </w:rPr>
        <w:t>25</w:t>
      </w:r>
      <w:r>
        <w:rPr/>
        <w:fldChar w:fldCharType="end" w:fldLock="0"/>
      </w:r>
      <w:r>
        <w:rPr>
          <w:rStyle w:val="Hyperlink.3"/>
          <w:rFonts w:cs="Arial Unicode MS" w:eastAsia="Arial Unicode MS"/>
          <w:rtl w:val="0"/>
          <w:lang w:val="en-US"/>
        </w:rPr>
        <w:t>;</w:t>
      </w:r>
      <w:r>
        <w:rPr>
          <w:rStyle w:val="None"/>
          <w:rFonts w:cs="Arial Unicode MS" w:eastAsia="Arial Unicode MS"/>
          <w:i w:val="1"/>
          <w:iCs w:val="1"/>
          <w:shd w:val="clear" w:color="auto" w:fill="ffffff"/>
          <w:rtl w:val="0"/>
          <w:lang w:val="en-US"/>
        </w:rPr>
        <w:t xml:space="preserve"> Gaprindashvili v. Canada (Minister of Citizenship and Immigration) </w:t>
      </w:r>
      <w:r>
        <w:rPr>
          <w:rStyle w:val="Hyperlink.3"/>
          <w:rFonts w:cs="Arial Unicode MS" w:eastAsia="Arial Unicode MS"/>
          <w:rtl w:val="0"/>
          <w:lang w:val="en-US"/>
        </w:rPr>
        <w:t>2019 FC 583.</w:t>
      </w:r>
    </w:p>
  </w:endnote>
  <w:endnote w:id="29">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RPD-1, RPD Record, Hearing of November 16, 2020, Audio hearing at 0:42:00.</w:t>
      </w:r>
    </w:p>
  </w:endnote>
  <w:endnote w:id="30">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RPD-1, RPD Record, Hearing of November 16, 2020, Audio hearing at 1:39:00</w:t>
      </w:r>
      <w:r>
        <w:rPr>
          <w:rStyle w:val="Hyperlink.1"/>
          <w:rFonts w:cs="Arial Unicode MS" w:eastAsia="Arial Unicode MS" w:hint="default"/>
          <w:rtl w:val="0"/>
          <w:lang w:val="en-US"/>
        </w:rPr>
        <w:t>–</w:t>
      </w:r>
      <w:r>
        <w:rPr>
          <w:rStyle w:val="Hyperlink.1"/>
          <w:rFonts w:cs="Arial Unicode MS" w:eastAsia="Arial Unicode MS"/>
          <w:rtl w:val="0"/>
          <w:lang w:val="en-US"/>
        </w:rPr>
        <w:t>1:40:15, 1:41:00</w:t>
      </w:r>
      <w:r>
        <w:rPr>
          <w:rStyle w:val="Hyperlink.1"/>
          <w:rFonts w:cs="Arial Unicode MS" w:eastAsia="Arial Unicode MS" w:hint="default"/>
          <w:rtl w:val="0"/>
          <w:lang w:val="en-US"/>
        </w:rPr>
        <w:t>–</w:t>
      </w:r>
      <w:r>
        <w:rPr>
          <w:rStyle w:val="Hyperlink.1"/>
          <w:rFonts w:cs="Arial Unicode MS" w:eastAsia="Arial Unicode MS"/>
          <w:rtl w:val="0"/>
          <w:lang w:val="en-US"/>
        </w:rPr>
        <w:t>1:43:00 and 1:46:00</w:t>
      </w:r>
      <w:r>
        <w:rPr>
          <w:rStyle w:val="Hyperlink.1"/>
          <w:rFonts w:cs="Arial Unicode MS" w:eastAsia="Arial Unicode MS" w:hint="default"/>
          <w:rtl w:val="0"/>
          <w:lang w:val="en-US"/>
        </w:rPr>
        <w:t>–</w:t>
      </w:r>
      <w:r>
        <w:rPr>
          <w:rStyle w:val="Hyperlink.1"/>
          <w:rFonts w:cs="Arial Unicode MS" w:eastAsia="Arial Unicode MS"/>
          <w:rtl w:val="0"/>
          <w:lang w:val="en-US"/>
        </w:rPr>
        <w:t>1:47:00.</w:t>
      </w:r>
    </w:p>
  </w:endnote>
  <w:endnote w:id="31">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RPD-1, RPD Record, Hearing of November 16, 2020, Audio hearing at 1:53:00</w:t>
      </w:r>
      <w:r>
        <w:rPr>
          <w:rStyle w:val="Hyperlink.1"/>
          <w:rFonts w:cs="Arial Unicode MS" w:eastAsia="Arial Unicode MS" w:hint="default"/>
          <w:rtl w:val="0"/>
          <w:lang w:val="en-US"/>
        </w:rPr>
        <w:t>–</w:t>
      </w:r>
      <w:r>
        <w:rPr>
          <w:rStyle w:val="Hyperlink.1"/>
          <w:rFonts w:cs="Arial Unicode MS" w:eastAsia="Arial Unicode MS"/>
          <w:rtl w:val="0"/>
          <w:lang w:val="en-US"/>
        </w:rPr>
        <w:t>1:54:00.</w:t>
      </w:r>
    </w:p>
  </w:endnote>
  <w:endnote w:id="32">
    <w:p>
      <w:pPr>
        <w:pStyle w:val="endnote text"/>
      </w:pPr>
      <w:r>
        <w:rPr>
          <w:rStyle w:val="None"/>
          <w:sz w:val="24"/>
          <w:szCs w:val="24"/>
          <w:vertAlign w:val="superscript"/>
          <w:lang w:val="en-US"/>
        </w:rPr>
        <w:endnoteRef/>
      </w:r>
      <w:r>
        <w:rPr>
          <w:rStyle w:val="None"/>
          <w:rFonts w:cs="Arial Unicode MS" w:eastAsia="Arial Unicode MS"/>
          <w:rtl w:val="0"/>
          <w:lang w:val="fr-FR"/>
        </w:rPr>
        <w:t xml:space="preserve"> P-2, Appellant</w:t>
      </w:r>
      <w:r>
        <w:rPr>
          <w:rStyle w:val="None"/>
          <w:rFonts w:cs="Arial Unicode MS" w:eastAsia="Arial Unicode MS" w:hint="default"/>
          <w:rtl w:val="0"/>
          <w:lang w:val="fr-FR"/>
        </w:rPr>
        <w:t>’</w:t>
      </w:r>
      <w:r>
        <w:rPr>
          <w:rStyle w:val="None"/>
          <w:rFonts w:cs="Arial Unicode MS" w:eastAsia="Arial Unicode MS"/>
          <w:rtl w:val="0"/>
          <w:lang w:val="fr-FR"/>
        </w:rPr>
        <w:t>s Record, Appellants</w:t>
      </w:r>
      <w:r>
        <w:rPr>
          <w:rStyle w:val="None"/>
          <w:rFonts w:cs="Arial Unicode MS" w:eastAsia="Arial Unicode MS" w:hint="default"/>
          <w:rtl w:val="0"/>
          <w:lang w:val="fr-FR"/>
        </w:rPr>
        <w:t xml:space="preserve">’ </w:t>
      </w:r>
      <w:r>
        <w:rPr>
          <w:rStyle w:val="None"/>
          <w:rFonts w:cs="Arial Unicode MS" w:eastAsia="Arial Unicode MS"/>
          <w:rtl w:val="0"/>
          <w:lang w:val="fr-FR"/>
        </w:rPr>
        <w:t>Memoranda p. 20 at para. 41.</w:t>
      </w:r>
    </w:p>
  </w:endnote>
  <w:endnote w:id="33">
    <w:p>
      <w:pPr>
        <w:pStyle w:val="endnote text"/>
      </w:pPr>
      <w:r>
        <w:rPr>
          <w:rStyle w:val="None"/>
          <w:sz w:val="24"/>
          <w:szCs w:val="24"/>
          <w:vertAlign w:val="superscript"/>
          <w:lang w:val="en-US"/>
        </w:rPr>
        <w:endnoteRef/>
      </w:r>
      <w:r>
        <w:rPr>
          <w:rStyle w:val="None"/>
          <w:rFonts w:cs="Arial Unicode MS" w:eastAsia="Arial Unicode MS"/>
          <w:rtl w:val="0"/>
          <w:lang w:val="fr-FR"/>
        </w:rPr>
        <w:t xml:space="preserve"> P-2, Appellant</w:t>
      </w:r>
      <w:r>
        <w:rPr>
          <w:rStyle w:val="None"/>
          <w:rFonts w:cs="Arial Unicode MS" w:eastAsia="Arial Unicode MS" w:hint="default"/>
          <w:rtl w:val="0"/>
          <w:lang w:val="fr-FR"/>
        </w:rPr>
        <w:t>’</w:t>
      </w:r>
      <w:r>
        <w:rPr>
          <w:rStyle w:val="None"/>
          <w:rFonts w:cs="Arial Unicode MS" w:eastAsia="Arial Unicode MS"/>
          <w:rtl w:val="0"/>
          <w:lang w:val="fr-FR"/>
        </w:rPr>
        <w:t>s Record, Appellants</w:t>
      </w:r>
      <w:r>
        <w:rPr>
          <w:rStyle w:val="None"/>
          <w:rFonts w:cs="Arial Unicode MS" w:eastAsia="Arial Unicode MS" w:hint="default"/>
          <w:rtl w:val="0"/>
          <w:lang w:val="fr-FR"/>
        </w:rPr>
        <w:t xml:space="preserve">’ </w:t>
      </w:r>
      <w:r>
        <w:rPr>
          <w:rStyle w:val="None"/>
          <w:rFonts w:cs="Arial Unicode MS" w:eastAsia="Arial Unicode MS"/>
          <w:rtl w:val="0"/>
          <w:lang w:val="fr-FR"/>
        </w:rPr>
        <w:t xml:space="preserve">Memoranda at p. 20 para. </w:t>
      </w:r>
      <w:r>
        <w:rPr>
          <w:rStyle w:val="Hyperlink.1"/>
          <w:rFonts w:cs="Arial Unicode MS" w:eastAsia="Arial Unicode MS"/>
          <w:rtl w:val="0"/>
          <w:lang w:val="en-US"/>
        </w:rPr>
        <w:t xml:space="preserve">41 and Affidavit of Mr. </w:t>
      </w:r>
      <w:r>
        <w:rPr>
          <w:rStyle w:val="None"/>
          <w:rFonts w:cs="Arial Unicode MS" w:eastAsia="Arial Unicode MS"/>
          <w:rtl w:val="0"/>
          <w:lang w:val="en-US"/>
        </w:rPr>
        <w:t>Vel</w:t>
      </w:r>
      <w:r>
        <w:rPr>
          <w:rStyle w:val="None"/>
          <w:rFonts w:cs="Arial Unicode MS" w:eastAsia="Arial Unicode MS" w:hint="default"/>
          <w:rtl w:val="0"/>
          <w:lang w:val="en-US"/>
        </w:rPr>
        <w:t>á</w:t>
      </w:r>
      <w:r>
        <w:rPr>
          <w:rStyle w:val="None"/>
          <w:rFonts w:cs="Arial Unicode MS" w:eastAsia="Arial Unicode MS"/>
          <w:rtl w:val="0"/>
          <w:lang w:val="en-US"/>
        </w:rPr>
        <w:t>squez</w:t>
      </w:r>
      <w:r>
        <w:rPr>
          <w:rStyle w:val="Hyperlink.1"/>
          <w:rFonts w:cs="Arial Unicode MS" w:eastAsia="Arial Unicode MS"/>
          <w:rtl w:val="0"/>
          <w:lang w:val="en-US"/>
        </w:rPr>
        <w:t xml:space="preserve"> at p. 8 at para. 60.</w:t>
      </w:r>
    </w:p>
  </w:endnote>
  <w:endnote w:id="34">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RPD-1, RPD Record, Hearing of November 16, 2020, Audio hearing at 0:58:00</w:t>
      </w:r>
      <w:r>
        <w:rPr>
          <w:rStyle w:val="Hyperlink.1"/>
          <w:rFonts w:cs="Arial Unicode MS" w:eastAsia="Arial Unicode MS" w:hint="default"/>
          <w:rtl w:val="0"/>
          <w:lang w:val="en-US"/>
        </w:rPr>
        <w:t>–</w:t>
      </w:r>
      <w:r>
        <w:rPr>
          <w:rStyle w:val="Hyperlink.1"/>
          <w:rFonts w:cs="Arial Unicode MS" w:eastAsia="Arial Unicode MS"/>
          <w:rtl w:val="0"/>
          <w:lang w:val="en-US"/>
        </w:rPr>
        <w:t>0:59:00.</w:t>
      </w:r>
    </w:p>
  </w:endnote>
  <w:endnote w:id="35">
    <w:p>
      <w:pPr>
        <w:pStyle w:val="endnote text"/>
      </w:pPr>
      <w:r>
        <w:rPr>
          <w:rStyle w:val="None"/>
          <w:sz w:val="24"/>
          <w:szCs w:val="24"/>
          <w:vertAlign w:val="superscript"/>
          <w:lang w:val="en-US"/>
        </w:rPr>
        <w:endnoteRef/>
      </w:r>
      <w:r>
        <w:rPr>
          <w:rStyle w:val="Hyperlink.1"/>
          <w:rFonts w:cs="Arial Unicode MS" w:eastAsia="Arial Unicode MS"/>
          <w:rtl w:val="0"/>
          <w:lang w:val="en-US"/>
        </w:rPr>
        <w:t xml:space="preserve"> RPD-1,RPD Record, Hearing of November 16, 2020,  Audio hearing at 1:56:45</w:t>
      </w:r>
      <w:r>
        <w:rPr>
          <w:rStyle w:val="Hyperlink.1"/>
          <w:rFonts w:cs="Arial Unicode MS" w:eastAsia="Arial Unicode MS" w:hint="default"/>
          <w:rtl w:val="0"/>
          <w:lang w:val="en-US"/>
        </w:rPr>
        <w:t>–</w:t>
      </w:r>
      <w:r>
        <w:rPr>
          <w:rStyle w:val="Hyperlink.1"/>
          <w:rFonts w:cs="Arial Unicode MS" w:eastAsia="Arial Unicode MS"/>
          <w:rtl w:val="0"/>
          <w:lang w:val="en-US"/>
        </w:rPr>
        <w:t>1:59:45.</w:t>
      </w:r>
    </w:p>
  </w:endnote>
  <w:endnote w:id="36">
    <w:p>
      <w:pPr>
        <w:pStyle w:val="endnote text"/>
      </w:pPr>
      <w:r>
        <w:rPr>
          <w:rStyle w:val="None"/>
          <w:sz w:val="24"/>
          <w:szCs w:val="24"/>
          <w:vertAlign w:val="superscript"/>
        </w:rPr>
        <w:endnoteRef/>
      </w:r>
      <w:r>
        <w:rPr>
          <w:rStyle w:val="Hyperlink.1"/>
          <w:rFonts w:cs="Arial Unicode MS" w:eastAsia="Arial Unicode MS"/>
          <w:rtl w:val="0"/>
          <w:lang w:val="en-US"/>
        </w:rPr>
        <w:t xml:space="preserve"> </w:t>
      </w:r>
      <w:r>
        <w:rPr>
          <w:rStyle w:val="None"/>
          <w:rFonts w:cs="Arial Unicode MS" w:eastAsia="Arial Unicode MS"/>
          <w:i w:val="1"/>
          <w:iCs w:val="1"/>
          <w:outline w:val="0"/>
          <w:color w:val="000000"/>
          <w:spacing w:val="-1"/>
          <w:u w:color="000000"/>
          <w:shd w:val="clear" w:color="auto" w:fill="ffffff"/>
          <w:rtl w:val="0"/>
          <w:lang w:val="en-US"/>
          <w14:textFill>
            <w14:solidFill>
              <w14:srgbClr w14:val="000000"/>
            </w14:solidFill>
          </w14:textFill>
        </w:rPr>
        <w:t>Chan</w:t>
      </w:r>
      <w:r>
        <w:rPr>
          <w:rStyle w:val="None"/>
          <w:rFonts w:cs="Arial Unicode MS" w:eastAsia="Arial Unicode MS" w:hint="default"/>
          <w:i w:val="1"/>
          <w:iCs w:val="1"/>
          <w:outline w:val="0"/>
          <w:color w:val="000000"/>
          <w:spacing w:val="-1"/>
          <w:u w:color="000000"/>
          <w:shd w:val="clear" w:color="auto" w:fill="ffffff"/>
          <w:rtl w:val="0"/>
          <w:lang w:val="en-US"/>
          <w14:textFill>
            <w14:solidFill>
              <w14:srgbClr w14:val="000000"/>
            </w14:solidFill>
          </w14:textFill>
        </w:rPr>
        <w:t> </w:t>
      </w:r>
      <w:r>
        <w:rPr>
          <w:rStyle w:val="None"/>
          <w:rFonts w:cs="Arial Unicode MS" w:eastAsia="Arial Unicode MS"/>
          <w:i w:val="1"/>
          <w:iCs w:val="1"/>
          <w:outline w:val="0"/>
          <w:color w:val="000000"/>
          <w:spacing w:val="-1"/>
          <w:u w:color="000000"/>
          <w:shd w:val="clear" w:color="auto" w:fill="ffffff"/>
          <w:rtl w:val="0"/>
          <w:lang w:val="en-US"/>
          <w14:textFill>
            <w14:solidFill>
              <w14:srgbClr w14:val="000000"/>
            </w14:solidFill>
          </w14:textFill>
        </w:rPr>
        <w:t xml:space="preserve">v. Canada (Minister of Employment and </w:t>
      </w:r>
      <w:r>
        <w:rPr>
          <w:rStyle w:val="None"/>
          <w:rFonts w:cs="Arial Unicode MS" w:eastAsia="Arial Unicode MS"/>
          <w:i w:val="1"/>
          <w:iCs w:val="1"/>
          <w:spacing w:val="-1"/>
          <w:shd w:val="clear" w:color="auto" w:fill="ffffff"/>
          <w:rtl w:val="0"/>
          <w:lang w:val="en-US"/>
        </w:rPr>
        <w:t>Immigration)</w:t>
      </w:r>
      <w:r>
        <w:rPr>
          <w:rStyle w:val="None"/>
          <w:rFonts w:cs="Arial Unicode MS" w:eastAsia="Arial Unicode MS"/>
          <w:spacing w:val="-1"/>
          <w:shd w:val="clear" w:color="auto" w:fill="ffffff"/>
          <w:rtl w:val="0"/>
          <w:lang w:val="en-US"/>
        </w:rPr>
        <w:t xml:space="preserve"> </w:t>
      </w:r>
      <w:r>
        <w:rPr>
          <w:rStyle w:val="Hyperlink.5"/>
        </w:rPr>
        <w:fldChar w:fldCharType="begin" w:fldLock="0"/>
      </w:r>
      <w:r>
        <w:rPr>
          <w:rStyle w:val="Hyperlink.5"/>
        </w:rPr>
        <w:instrText xml:space="preserve"> HYPERLINK "https://www.canlii.org/en/ca/scc/doc/1995/1995canlii71/1995canlii71.html"</w:instrText>
      </w:r>
      <w:r>
        <w:rPr>
          <w:rStyle w:val="Hyperlink.5"/>
        </w:rPr>
        <w:fldChar w:fldCharType="separate" w:fldLock="0"/>
      </w:r>
      <w:r>
        <w:rPr>
          <w:rStyle w:val="Hyperlink.5"/>
          <w:rFonts w:cs="Arial Unicode MS" w:eastAsia="Arial Unicode MS"/>
          <w:rtl w:val="0"/>
          <w:lang w:val="en-US"/>
        </w:rPr>
        <w:t>1995 CanLII 71 (SCC)</w:t>
      </w:r>
      <w:r>
        <w:rPr/>
        <w:fldChar w:fldCharType="end" w:fldLock="0"/>
      </w:r>
      <w:r>
        <w:rPr>
          <w:rStyle w:val="None"/>
          <w:rFonts w:cs="Arial Unicode MS" w:eastAsia="Arial Unicode MS"/>
          <w:spacing w:val="-1"/>
          <w:shd w:val="clear" w:color="auto" w:fill="ffffff"/>
          <w:rtl w:val="0"/>
          <w:lang w:val="en-US"/>
        </w:rPr>
        <w:t xml:space="preserve"> at para. 142.</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Freestyle Scrip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line="240" w:lineRule="exact"/>
      <w:ind w:left="0" w:right="0" w:firstLine="0"/>
      <w:jc w:val="both"/>
      <w:rPr>
        <w:spacing w:val="-1"/>
        <w:sz w:val="20"/>
        <w:szCs w:val="20"/>
        <w:shd w:val="nil" w:color="auto" w:fill="auto"/>
        <w:rtl w:val="0"/>
      </w:rPr>
    </w:pPr>
    <w:r>
      <w:rPr>
        <w:spacing w:val="-1"/>
        <w:sz w:val="20"/>
        <w:szCs w:val="20"/>
        <w:shd w:val="nil" w:color="auto" w:fill="auto"/>
        <w:rtl w:val="0"/>
        <w:lang w:val="en-US"/>
      </w:rPr>
      <w:t>RAD.25.02 (January, 2020)</w:t>
    </w:r>
  </w:p>
  <w:p>
    <w:pPr>
      <w:pStyle w:val="Body"/>
      <w:bidi w:val="0"/>
      <w:spacing w:before="0" w:after="0"/>
      <w:ind w:left="0" w:right="0" w:firstLine="0"/>
      <w:jc w:val="right"/>
      <w:rPr>
        <w:rtl w:val="0"/>
      </w:rPr>
    </w:pPr>
    <w:r>
      <w:rPr>
        <w:i w:val="1"/>
        <w:iCs w:val="1"/>
        <w:spacing w:val="-1"/>
        <w:sz w:val="20"/>
        <w:szCs w:val="20"/>
        <w:shd w:val="nil" w:color="auto" w:fill="auto"/>
        <w:rtl w:val="0"/>
        <w:lang w:val="fr-FR"/>
      </w:rPr>
      <w:t>Disponible en fran</w:t>
    </w:r>
    <w:r>
      <w:rPr>
        <w:i w:val="1"/>
        <w:iCs w:val="1"/>
        <w:spacing w:val="-1"/>
        <w:sz w:val="20"/>
        <w:szCs w:val="20"/>
        <w:shd w:val="nil" w:color="auto" w:fill="auto"/>
        <w:rtl w:val="0"/>
        <w:lang w:val="pt-PT"/>
      </w:rPr>
      <w:t>ç</w:t>
    </w:r>
    <w:r>
      <w:rPr>
        <w:i w:val="1"/>
        <w:iCs w:val="1"/>
        <w:spacing w:val="-1"/>
        <w:sz w:val="20"/>
        <w:szCs w:val="20"/>
        <w:shd w:val="nil" w:color="auto" w:fill="auto"/>
        <w:rtl w:val="0"/>
      </w:rPr>
      <w:t>ais</w:t>
      <w:tab/>
    </w:r>
    <w:r>
      <w:rPr>
        <w:spacing w:val="-2"/>
        <w:sz w:val="24"/>
        <w:szCs w:val="24"/>
        <w:shd w:val="nil" w:color="auto" w:fill="auto"/>
        <w:lang w:val="fr-FR"/>
      </w:rPr>
      <w:fldChar w:fldCharType="begin" w:fldLock="0"/>
    </w:r>
    <w:r>
      <w:rPr>
        <w:spacing w:val="-2"/>
        <w:sz w:val="24"/>
        <w:szCs w:val="24"/>
        <w:shd w:val="nil" w:color="auto" w:fill="auto"/>
        <w:lang w:val="fr-FR"/>
      </w:rPr>
      <w:instrText xml:space="preserve"> PAGE </w:instrText>
    </w:r>
    <w:r>
      <w:rPr>
        <w:spacing w:val="-2"/>
        <w:sz w:val="24"/>
        <w:szCs w:val="24"/>
        <w:shd w:val="nil" w:color="auto" w:fill="auto"/>
        <w:lang w:val="fr-FR"/>
      </w:rPr>
      <w:fldChar w:fldCharType="separate" w:fldLock="0"/>
    </w:r>
    <w:r>
      <w:rPr>
        <w:spacing w:val="-2"/>
        <w:sz w:val="24"/>
        <w:szCs w:val="24"/>
        <w:shd w:val="nil" w:color="auto" w:fill="auto"/>
        <w:lang w:val="fr-FR"/>
      </w:rPr>
    </w:r>
    <w:r>
      <w:rPr>
        <w:spacing w:val="-2"/>
        <w:sz w:val="24"/>
        <w:szCs w:val="24"/>
        <w:shd w:val="nil" w:color="auto" w:fill="auto"/>
        <w:lang w:val="fr-FR"/>
      </w:rPr>
      <w:fldChar w:fldCharType="end" w:fldLock="0"/>
    </w:r>
    <w:r>
      <w:rPr>
        <w:spacing w:val="-2"/>
        <w:sz w:val="24"/>
        <w:szCs w:val="24"/>
        <w:shd w:val="nil" w:color="auto" w:fill="auto"/>
        <w:lang w:val="fr-FR"/>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ind w:left="0" w:right="0" w:firstLine="0"/>
      <w:jc w:val="both"/>
      <w:rPr>
        <w:spacing w:val="-1"/>
        <w:sz w:val="20"/>
        <w:szCs w:val="20"/>
        <w:shd w:val="nil" w:color="auto" w:fill="auto"/>
        <w:rtl w:val="0"/>
      </w:rPr>
    </w:pPr>
    <w:r>
      <w:rPr>
        <w:spacing w:val="-1"/>
        <w:sz w:val="20"/>
        <w:szCs w:val="20"/>
        <w:shd w:val="nil" w:color="auto" w:fill="auto"/>
        <w:rtl w:val="0"/>
        <w:lang w:val="en-US"/>
      </w:rPr>
      <w:t>RAD.25.02 (January,  2020)</w:t>
    </w:r>
  </w:p>
  <w:p>
    <w:pPr>
      <w:pStyle w:val="Body"/>
      <w:bidi w:val="0"/>
      <w:spacing w:before="0" w:after="0"/>
      <w:ind w:left="0" w:right="0" w:firstLine="0"/>
      <w:jc w:val="right"/>
      <w:rPr>
        <w:rtl w:val="0"/>
      </w:rPr>
    </w:pPr>
    <w:r>
      <w:rPr>
        <w:spacing w:val="-2"/>
        <w:sz w:val="24"/>
        <w:szCs w:val="24"/>
        <w:shd w:val="nil" w:color="auto" w:fill="auto"/>
        <w:rtl w:val="0"/>
        <w:lang w:val="fr-FR"/>
      </w:rPr>
      <w:t>Disponible en fran</w:t>
    </w:r>
    <w:r>
      <w:rPr>
        <w:spacing w:val="-2"/>
        <w:sz w:val="24"/>
        <w:szCs w:val="24"/>
        <w:shd w:val="nil" w:color="auto" w:fill="auto"/>
        <w:rtl w:val="0"/>
        <w:lang w:val="pt-PT"/>
      </w:rPr>
      <w:t>ç</w:t>
    </w:r>
    <w:r>
      <w:rPr>
        <w:spacing w:val="-2"/>
        <w:sz w:val="24"/>
        <w:szCs w:val="24"/>
        <w:shd w:val="nil" w:color="auto" w:fill="auto"/>
        <w:rtl w:val="0"/>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after="0"/>
      <w:jc w:val="right"/>
      <w:rPr>
        <w:b w:val="1"/>
        <w:bCs w:val="1"/>
        <w:sz w:val="20"/>
        <w:szCs w:val="20"/>
      </w:rPr>
    </w:pPr>
    <w:r>
      <w:drawing xmlns:a="http://schemas.openxmlformats.org/drawingml/2006/main">
        <wp:anchor distT="152400" distB="152400" distL="152400" distR="152400" simplePos="0" relativeHeight="251658240"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813817" cy="237744"/>
                  </a:xfrm>
                  <a:prstGeom prst="rect">
                    <a:avLst/>
                  </a:prstGeom>
                  <a:ln w="12700" cap="flat">
                    <a:noFill/>
                    <a:miter lim="400000"/>
                  </a:ln>
                  <a:effectLst/>
                </pic:spPr>
              </pic:pic>
            </a:graphicData>
          </a:graphic>
        </wp:anchor>
      </w:drawing>
    </w:r>
    <w:r>
      <w:rPr>
        <w:b w:val="1"/>
        <w:bCs w:val="1"/>
        <w:sz w:val="20"/>
        <w:szCs w:val="20"/>
        <w:rtl w:val="0"/>
        <w:lang w:val="fr-FR"/>
      </w:rPr>
      <w:t>RAD File / Dossier de la SAR</w:t>
    </w:r>
    <w:r>
      <w:rPr>
        <w:b w:val="1"/>
        <w:bCs w:val="1"/>
        <w:sz w:val="20"/>
        <w:szCs w:val="20"/>
        <w:rtl w:val="0"/>
        <w:lang w:val="fr-FR"/>
      </w:rPr>
      <w:t> </w:t>
    </w:r>
    <w:r>
      <w:rPr>
        <w:b w:val="1"/>
        <w:bCs w:val="1"/>
        <w:sz w:val="20"/>
        <w:szCs w:val="20"/>
        <w:rtl w:val="0"/>
        <w:lang w:val="fr-FR"/>
      </w:rPr>
      <w:t>: MC011075</w:t>
    </w:r>
  </w:p>
  <w:p>
    <w:pPr>
      <w:pStyle w:val="Body"/>
      <w:spacing w:before="0" w:after="0"/>
      <w:jc w:val="right"/>
    </w:pPr>
    <w:r>
      <w:rPr>
        <w:b w:val="1"/>
        <w:bCs w:val="1"/>
        <w:sz w:val="20"/>
        <w:szCs w:val="20"/>
        <w:rtl w:val="0"/>
        <w:lang w:val="fr-FR"/>
      </w:rPr>
      <w:t>MC011076 / MC011077 / MC011078</w:t>
    </w:r>
    <w:r>
      <w:rPr>
        <w:sz w:val="20"/>
        <w:szCs w:val="20"/>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after="240"/>
      <w:ind w:left="0" w:right="0" w:firstLine="0"/>
      <w:jc w:val="left"/>
      <w:rPr>
        <w:spacing w:val="-1"/>
        <w:sz w:val="22"/>
        <w:szCs w:val="22"/>
        <w:shd w:val="nil" w:color="auto" w:fill="auto"/>
        <w:rtl w:val="0"/>
      </w:rPr>
    </w:pPr>
    <w:r>
      <w:rPr>
        <w:spacing w:val="-1"/>
        <w:sz w:val="22"/>
        <w:szCs w:val="22"/>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6"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6"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spacing w:val="-1"/>
        <w:sz w:val="22"/>
        <w:szCs w:val="22"/>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shd w:val="nil" w:color="auto" w:fill="auto"/>
        <w:rtl w:val="0"/>
        <w:lang w:val="en-US"/>
      </w:rPr>
      <w:t>Immigration and Refugee</w:t>
    </w:r>
    <w:r>
      <w:rPr>
        <w:rFonts w:ascii="Arial Unicode MS" w:cs="Arial Unicode MS" w:hAnsi="Arial Unicode MS" w:eastAsia="Arial Unicode MS"/>
        <w:b w:val="0"/>
        <w:bCs w:val="0"/>
        <w:i w:val="0"/>
        <w:iCs w:val="0"/>
        <w:spacing w:val="-1"/>
        <w:sz w:val="22"/>
        <w:szCs w:val="22"/>
        <w:shd w:val="nil" w:color="auto" w:fill="auto"/>
        <w:lang w:val="en-US"/>
      </w:rPr>
      <w:br w:type="textWrapping"/>
    </w:r>
    <w:r>
      <w:rPr>
        <w:spacing w:val="-1"/>
        <w:sz w:val="22"/>
        <w:szCs w:val="22"/>
        <w:shd w:val="nil" w:color="auto" w:fill="auto"/>
        <w:rtl w:val="0"/>
        <w:lang w:val="en-US"/>
      </w:rPr>
      <w:t>Board of Canada</w:t>
    </w:r>
  </w:p>
  <w:p>
    <w:pPr>
      <w:pStyle w:val="Body"/>
      <w:bidi w:val="0"/>
      <w:spacing w:after="240"/>
      <w:ind w:left="0" w:right="0" w:firstLine="0"/>
      <w:jc w:val="right"/>
      <w:rPr>
        <w:spacing w:val="-1"/>
        <w:sz w:val="22"/>
        <w:szCs w:val="22"/>
        <w:shd w:val="nil" w:color="auto" w:fill="auto"/>
        <w:rtl w:val="0"/>
      </w:rPr>
    </w:pPr>
    <w:r>
      <w:rPr>
        <w:b w:val="1"/>
        <w:bCs w:val="1"/>
        <w:spacing w:val="-2"/>
        <w:sz w:val="24"/>
        <w:szCs w:val="24"/>
        <w:shd w:val="nil" w:color="auto" w:fill="auto"/>
        <w:vertAlign w:val="baseline"/>
        <w:rtl w:val="0"/>
        <w:lang w:val="fr-FR"/>
      </w:rPr>
      <w:t>Refugee Appeal Division</w:t>
      <w:tab/>
      <w:tab/>
    </w:r>
    <w:r>
      <w:rPr>
        <w:spacing w:val="-1"/>
        <w:sz w:val="22"/>
        <w:szCs w:val="22"/>
        <w:shd w:val="nil" w:color="auto" w:fill="auto"/>
        <w:rtl w:val="0"/>
        <w:lang w:val="fr-FR"/>
      </w:rPr>
      <w:t>Commission de l</w:t>
    </w:r>
    <w:r>
      <w:rPr>
        <w:spacing w:val="-1"/>
        <w:sz w:val="22"/>
        <w:szCs w:val="22"/>
        <w:shd w:val="nil" w:color="auto" w:fill="auto"/>
        <w:rtl w:val="0"/>
        <w:lang w:val="fr-FR"/>
      </w:rPr>
      <w:t>’</w:t>
    </w:r>
    <w:r>
      <w:rPr>
        <w:spacing w:val="-1"/>
        <w:sz w:val="22"/>
        <w:szCs w:val="22"/>
        <w:shd w:val="nil" w:color="auto" w:fill="auto"/>
        <w:rtl w:val="0"/>
        <w:lang w:val="fr-FR"/>
      </w:rPr>
      <w:t>immigration</w:t>
    </w:r>
    <w:r>
      <w:rPr>
        <w:rFonts w:ascii="Arial Unicode MS" w:cs="Arial Unicode MS" w:hAnsi="Arial Unicode MS" w:eastAsia="Arial Unicode MS"/>
        <w:b w:val="0"/>
        <w:bCs w:val="0"/>
        <w:i w:val="0"/>
        <w:iCs w:val="0"/>
        <w:spacing w:val="-1"/>
        <w:sz w:val="22"/>
        <w:szCs w:val="22"/>
        <w:shd w:val="nil" w:color="auto" w:fill="auto"/>
        <w:lang w:val="fr-FR"/>
      </w:rPr>
      <w:br w:type="textWrapping"/>
    </w:r>
    <w:r>
      <w:rPr>
        <w:spacing w:val="-1"/>
        <w:sz w:val="22"/>
        <w:szCs w:val="22"/>
        <w:shd w:val="nil" w:color="auto" w:fill="auto"/>
        <w:rtl w:val="0"/>
        <w:lang w:val="fr-FR"/>
      </w:rPr>
      <w:t>et du statut de r</w:t>
    </w:r>
    <w:r>
      <w:rPr>
        <w:spacing w:val="-1"/>
        <w:sz w:val="22"/>
        <w:szCs w:val="22"/>
        <w:shd w:val="nil" w:color="auto" w:fill="auto"/>
        <w:rtl w:val="0"/>
        <w:lang w:val="fr-FR"/>
      </w:rPr>
      <w:t>é</w:t>
    </w:r>
    <w:r>
      <w:rPr>
        <w:spacing w:val="-1"/>
        <w:sz w:val="22"/>
        <w:szCs w:val="22"/>
        <w:shd w:val="nil" w:color="auto" w:fill="auto"/>
        <w:rtl w:val="0"/>
        <w:lang w:val="fr-FR"/>
      </w:rPr>
      <w:t>fugi</w:t>
    </w:r>
    <w:r>
      <w:rPr>
        <w:spacing w:val="-1"/>
        <w:sz w:val="22"/>
        <w:szCs w:val="22"/>
        <w:shd w:val="nil" w:color="auto" w:fill="auto"/>
        <w:rtl w:val="0"/>
        <w:lang w:val="fr-FR"/>
      </w:rPr>
      <w:t xml:space="preserve">é </w:t>
    </w:r>
    <w:r>
      <w:rPr>
        <w:spacing w:val="-1"/>
        <w:sz w:val="22"/>
        <w:szCs w:val="22"/>
        <w:shd w:val="nil" w:color="auto" w:fill="auto"/>
        <w:rtl w:val="0"/>
        <w:lang w:val="fr-FR"/>
      </w:rPr>
      <w:t>du Canada</w:t>
    </w:r>
  </w:p>
  <w:p>
    <w:pPr>
      <w:pStyle w:val="Body"/>
      <w:bidi w:val="0"/>
      <w:spacing w:after="240"/>
      <w:ind w:left="0" w:right="0" w:firstLine="0"/>
      <w:jc w:val="right"/>
      <w:rPr>
        <w:rtl w:val="0"/>
      </w:rPr>
    </w:pPr>
    <w:r>
      <w:rPr>
        <w:b w:val="1"/>
        <w:bCs w:val="1"/>
        <w:spacing w:val="-1"/>
        <w:sz w:val="22"/>
        <w:szCs w:val="22"/>
        <w:shd w:val="nil" w:color="auto" w:fill="auto"/>
        <w:rtl w:val="0"/>
        <w:lang w:val="fr-FR"/>
      </w:rPr>
      <w:t>Section d</w:t>
    </w:r>
    <w:r>
      <w:rPr>
        <w:b w:val="1"/>
        <w:bCs w:val="1"/>
        <w:spacing w:val="-1"/>
        <w:sz w:val="22"/>
        <w:szCs w:val="22"/>
        <w:shd w:val="nil" w:color="auto" w:fill="auto"/>
        <w:rtl w:val="0"/>
        <w:lang w:val="fr-FR"/>
      </w:rPr>
      <w:t>’</w:t>
    </w:r>
    <w:r>
      <w:rPr>
        <w:b w:val="1"/>
        <w:bCs w:val="1"/>
        <w:spacing w:val="-1"/>
        <w:sz w:val="22"/>
        <w:szCs w:val="22"/>
        <w:shd w:val="nil" w:color="auto" w:fill="auto"/>
        <w:rtl w:val="0"/>
        <w:lang w:val="fr-FR"/>
      </w:rPr>
      <w:t>appel des r</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fugi</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s>
        <w:ind w:left="149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s>
        <w:ind w:left="2160" w:hanging="2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s>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s>
        <w:ind w:left="3600" w:hanging="30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s>
        <w:ind w:left="4320" w:hanging="2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s>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s>
        <w:ind w:left="5760" w:hanging="30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s>
        <w:ind w:left="6480" w:hanging="2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clear" w:pos="709"/>
          <w:tab w:val="clear" w:pos="1418"/>
          <w:tab w:val="clear" w:pos="666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09"/>
          <w:tab w:val="clear" w:pos="1418"/>
          <w:tab w:val="clear" w:pos="6660"/>
        </w:tabs>
        <w:ind w:left="796" w:hanging="6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709"/>
          <w:tab w:val="clear" w:pos="1418"/>
          <w:tab w:val="clear" w:pos="6660"/>
        </w:tabs>
        <w:ind w:left="1516" w:hanging="5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09"/>
          <w:tab w:val="clear" w:pos="1418"/>
          <w:tab w:val="clear" w:pos="6660"/>
        </w:tabs>
        <w:ind w:left="2236" w:hanging="6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09"/>
          <w:tab w:val="clear" w:pos="1418"/>
          <w:tab w:val="clear" w:pos="6660"/>
        </w:tabs>
        <w:ind w:left="2956" w:hanging="6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09"/>
          <w:tab w:val="clear" w:pos="1418"/>
          <w:tab w:val="clear" w:pos="6660"/>
        </w:tabs>
        <w:ind w:left="3676" w:hanging="5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09"/>
          <w:tab w:val="clear" w:pos="1418"/>
          <w:tab w:val="clear" w:pos="6660"/>
        </w:tabs>
        <w:ind w:left="4396" w:hanging="6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09"/>
          <w:tab w:val="clear" w:pos="1418"/>
          <w:tab w:val="clear" w:pos="6660"/>
        </w:tabs>
        <w:ind w:left="5116" w:hanging="6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09"/>
          <w:tab w:val="clear" w:pos="1418"/>
          <w:tab w:val="clear" w:pos="6660"/>
        </w:tabs>
        <w:ind w:left="5836" w:hanging="5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tabs>
          <w:tab w:val="left" w:pos="709"/>
        </w:tabs>
        <w:ind w:left="99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s>
        <w:ind w:left="1568" w:hanging="50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s>
        <w:ind w:left="2288" w:hanging="4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s>
        <w:ind w:left="3008" w:hanging="5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s>
        <w:ind w:left="3728" w:hanging="50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s>
        <w:ind w:left="4448" w:hanging="4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s>
        <w:ind w:left="5168" w:hanging="50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s>
        <w:ind w:left="5888" w:hanging="50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s>
        <w:ind w:left="6608" w:hanging="4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tabs>
          <w:tab w:val="left" w:pos="709"/>
          <w:tab w:val="num" w:pos="108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num" w:pos="108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080"/>
          <w:tab w:val="num" w:pos="2160"/>
        </w:tabs>
        <w:ind w:left="2520" w:hanging="10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080"/>
          <w:tab w:val="num" w:pos="288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080"/>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080"/>
          <w:tab w:val="num" w:pos="4320"/>
        </w:tabs>
        <w:ind w:left="468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080"/>
          <w:tab w:val="num" w:pos="504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080"/>
          <w:tab w:val="num" w:pos="576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080"/>
          <w:tab w:val="num" w:pos="6480"/>
        </w:tabs>
        <w:ind w:left="6840" w:hanging="10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8"/>
    </w:lvlOverride>
  </w:num>
  <w:num w:numId="6">
    <w:abstractNumId w:val="5"/>
  </w:num>
  <w:num w:numId="7">
    <w:abstractNumId w:val="4"/>
  </w:num>
  <w:num w:numId="8">
    <w:abstractNumId w:val="4"/>
    <w:lvlOverride w:ilvl="0">
      <w:startOverride w:val="19"/>
    </w:lvlOverride>
  </w:num>
  <w:num w:numId="9">
    <w:abstractNumId w:val="4"/>
    <w:lvlOverride w:ilvl="0">
      <w:lvl w:ilvl="0">
        <w:start w:val="1"/>
        <w:numFmt w:val="decimal"/>
        <w:suff w:val="tab"/>
        <w:lvlText w:val="%1."/>
        <w:lvlJc w:val="left"/>
        <w:pPr>
          <w:tabs>
            <w:tab w:val="left" w:pos="862"/>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862"/>
          </w:tabs>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862"/>
          </w:tabs>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862"/>
          </w:tabs>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862"/>
          </w:tabs>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862"/>
          </w:tabs>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862"/>
          </w:tabs>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862"/>
          </w:tabs>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862"/>
          </w:tabs>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4"/>
    <w:lvlOverride w:ilvl="0">
      <w:startOverride w:val="21"/>
      <w:lvl w:ilvl="0">
        <w:start w:val="21"/>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lvl w:ilvl="0">
        <w:start w:val="1"/>
        <w:numFmt w:val="decimal"/>
        <w:suff w:val="tab"/>
        <w:lvlText w:val="%1."/>
        <w:lvlJc w:val="left"/>
        <w:pPr>
          <w:tabs>
            <w:tab w:val="left" w:pos="709"/>
          </w:tabs>
          <w:ind w:left="650" w:hanging="6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num" w:pos="108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080"/>
            <w:tab w:val="num" w:pos="2160"/>
          </w:tabs>
          <w:ind w:left="2520" w:hanging="10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080"/>
            <w:tab w:val="num" w:pos="288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080"/>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080"/>
            <w:tab w:val="num" w:pos="4320"/>
          </w:tabs>
          <w:ind w:left="4680" w:hanging="10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080"/>
            <w:tab w:val="num" w:pos="504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080"/>
            <w:tab w:val="num" w:pos="576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080"/>
            <w:tab w:val="num" w:pos="6480"/>
          </w:tabs>
          <w:ind w:left="6840" w:hanging="10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8"/>
    <w:lvlOverride w:ilvl="0">
      <w:startOverride w:val="2"/>
    </w:lvlOverride>
  </w:num>
  <w:num w:numId="17">
    <w:abstractNumId w:val="4"/>
    <w:lvlOverride w:ilvl="0">
      <w:startOverride w:val="27"/>
      <w:lvl w:ilvl="0">
        <w:start w:val="27"/>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s>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s>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s>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s>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s>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s>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s>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s>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8"/>
    <w:lvlOverride w:ilvl="0">
      <w:startOverride w:val="3"/>
      <w:lvl w:ilvl="0">
        <w:start w:val="3"/>
        <w:numFmt w:val="lowerLetter"/>
        <w:suff w:val="tab"/>
        <w:lvlText w:val="%1."/>
        <w:lvlJc w:val="left"/>
        <w:pPr>
          <w:tabs>
            <w:tab w:val="num" w:pos="108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08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80"/>
            <w:tab w:val="num" w:pos="2160"/>
          </w:tabs>
          <w:ind w:left="2520" w:hanging="10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 w:val="num" w:pos="288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 w:val="num" w:pos="4320"/>
          </w:tabs>
          <w:ind w:left="4680" w:hanging="10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 w:val="num" w:pos="504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 w:val="num" w:pos="576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 w:val="num" w:pos="6480"/>
          </w:tabs>
          <w:ind w:left="6840" w:hanging="10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4"/>
    <w:lvlOverride w:ilvl="0">
      <w:startOverride w:val="28"/>
      <w:lvl w:ilvl="0">
        <w:start w:val="28"/>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32"/>
    </w:lvlOverride>
  </w:num>
  <w:num w:numId="21">
    <w:abstractNumId w:val="4"/>
    <w:lvlOverride w:ilvl="0">
      <w:startOverride w:val="33"/>
      <w:lvl w:ilvl="0">
        <w:start w:val="33"/>
        <w:numFmt w:val="decimal"/>
        <w:suff w:val="tab"/>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1"/>
  </w:num>
  <w:num w:numId="23">
    <w:abstractNumId w:val="10"/>
  </w:num>
  <w:num w:numId="24">
    <w:abstractNumId w:val="10"/>
    <w:lvlOverride w:ilvl="0">
      <w:startOverride w:val="34"/>
    </w:lvlOverride>
  </w:num>
  <w:num w:numId="25">
    <w:abstractNumId w:val="10"/>
    <w:lvlOverride w:ilvl="0">
      <w:lvl w:ilvl="0">
        <w:start w:val="1"/>
        <w:numFmt w:val="decimal"/>
        <w:suff w:val="tab"/>
        <w:lvlText w:val="%1."/>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536"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61" w:hanging="4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976"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96"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421" w:hanging="4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136"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856"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581" w:hanging="40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character" w:styleId="solexhl">
    <w:name w:val="solexhl"/>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Normal_ParagNum">
    <w:name w:val="Normal_ParagNum"/>
    <w:next w:val="Normal_ParagNum"/>
    <w:pPr>
      <w:keepNext w:val="0"/>
      <w:keepLines w:val="0"/>
      <w:pageBreakBefore w:val="0"/>
      <w:widowControl w:val="1"/>
      <w:shd w:val="clear" w:color="auto" w:fill="auto"/>
      <w:tabs>
        <w:tab w:val="left" w:pos="720"/>
      </w:tabs>
      <w:suppressAutoHyphens w:val="0"/>
      <w:bidi w:val="0"/>
      <w:spacing w:before="0" w:after="0" w:line="360" w:lineRule="auto"/>
      <w:ind w:left="720" w:right="0" w:hanging="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CG Body">
    <w:name w:val="CG Body"/>
    <w:next w:val="CG Body"/>
    <w:pPr>
      <w:keepNext w:val="0"/>
      <w:keepLines w:val="0"/>
      <w:pageBreakBefore w:val="0"/>
      <w:widowControl w:val="1"/>
      <w:shd w:val="clear" w:color="auto" w:fill="auto"/>
      <w:tabs>
        <w:tab w:val="left" w:pos="709"/>
        <w:tab w:val="left" w:pos="1418"/>
        <w:tab w:val="left" w:pos="6660"/>
      </w:tabs>
      <w:suppressAutoHyphens w:val="0"/>
      <w:bidi w:val="0"/>
      <w:spacing w:before="0" w:after="24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outline w:val="0"/>
      <w:color w:val="000000"/>
      <w:u w:val="none" w:color="000000"/>
      <w:shd w:val="clear" w:color="auto" w:fill="ffffff"/>
      <w:lang w:val="en-US"/>
      <w14:textFill>
        <w14:solidFill>
          <w14:srgbClr w14:val="000000"/>
        </w14:solidFill>
      </w14:textFill>
    </w:rPr>
  </w:style>
  <w:style w:type="character" w:styleId="None">
    <w:name w:val="None"/>
  </w:style>
  <w:style w:type="character" w:styleId="Hyperlink.1">
    <w:name w:val="Hyperlink.1"/>
    <w:basedOn w:val="None"/>
    <w:next w:val="Hyperlink.1"/>
    <w:rPr>
      <w:rFonts w:ascii="Times New Roman" w:cs="Times New Roman" w:hAnsi="Times New Roman" w:eastAsia="Times New Roman"/>
      <w:lang w:val="en-US"/>
    </w:rPr>
  </w:style>
  <w:style w:type="numbering" w:styleId="Imported Style 4">
    <w:name w:val="Imported Style 4"/>
    <w:pPr>
      <w:numPr>
        <w:numId w:val="10"/>
      </w:numPr>
    </w:pPr>
  </w:style>
  <w:style w:type="character" w:styleId="Hyperlink.2">
    <w:name w:val="Hyperlink.2"/>
    <w:basedOn w:val="Link"/>
    <w:next w:val="Hyperlink.2"/>
    <w:rPr>
      <w:outline w:val="0"/>
      <w:color w:val="000000"/>
      <w:u w:val="none" w:color="000000"/>
      <w:lang w:val="en-US"/>
      <w14:textFill>
        <w14:solidFill>
          <w14:srgbClr w14:val="000000"/>
        </w14:solidFill>
      </w14:textFill>
    </w:rPr>
  </w:style>
  <w:style w:type="character" w:styleId="endnote reference">
    <w:name w:val="endnote reference"/>
    <w:rPr>
      <w:vertAlign w:val="superscript"/>
    </w:rPr>
  </w:style>
  <w:style w:type="character" w:styleId="Hyperlink.3">
    <w:name w:val="Hyperlink.3"/>
    <w:basedOn w:val="None"/>
    <w:next w:val="Hyperlink.3"/>
    <w:rPr>
      <w:rFonts w:ascii="Times New Roman" w:cs="Times New Roman" w:hAnsi="Times New Roman" w:eastAsia="Times New Roman"/>
      <w:shd w:val="clear" w:color="auto" w:fill="ffffff"/>
      <w:lang w:val="en-US"/>
    </w:rPr>
  </w:style>
  <w:style w:type="paragraph" w:styleId="Quote">
    <w:name w:val="Quote"/>
    <w:next w:val="Quote"/>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720" w:right="720" w:firstLine="576"/>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2"/>
      <w:szCs w:val="22"/>
      <w:u w:val="none" w:color="000000"/>
      <w:shd w:val="nil" w:color="auto" w:fill="auto"/>
      <w:vertAlign w:val="baseline"/>
      <w:lang w:val="fr-FR"/>
      <w14:textFill>
        <w14:solidFill>
          <w14:srgbClr w14:val="000000"/>
        </w14:solidFill>
      </w14:textFill>
    </w:rPr>
  </w:style>
  <w:style w:type="character" w:styleId="Hyperlink.4">
    <w:name w:val="Hyperlink.4"/>
    <w:basedOn w:val="None"/>
    <w:next w:val="Hyperlink.4"/>
    <w:rPr>
      <w:spacing w:val="0"/>
      <w:sz w:val="20"/>
      <w:szCs w:val="20"/>
    </w:rPr>
  </w:style>
  <w:style w:type="numbering" w:styleId="Imported Style 5">
    <w:name w:val="Imported Style 5"/>
    <w:pPr>
      <w:numPr>
        <w:numId w:val="14"/>
      </w:numPr>
    </w:pPr>
  </w:style>
  <w:style w:type="character" w:styleId="Hyperlink.5">
    <w:name w:val="Hyperlink.5"/>
    <w:basedOn w:val="Link"/>
    <w:next w:val="Hyperlink.5"/>
    <w:rPr>
      <w:rFonts w:ascii="Times New Roman" w:cs="Times New Roman" w:hAnsi="Times New Roman" w:eastAsia="Times New Roman"/>
      <w:outline w:val="0"/>
      <w:color w:val="000000"/>
      <w:spacing w:val="0"/>
      <w:u w:val="none" w:color="000000"/>
      <w:shd w:val="clear" w:color="auto" w:fill="ffffff"/>
      <w:lang w:val="en-US"/>
      <w14:textFill>
        <w14:solidFill>
          <w14:srgbClr w14:val="000000"/>
        </w14:solidFill>
      </w14:textFill>
    </w:rPr>
  </w:style>
  <w:style w:type="numbering" w:styleId="Imported Style 6">
    <w:name w:val="Imported Style 6"/>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