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Résumé quantitatif du Startup Act tunisien — 85 sessions (S0–S84)</w:t>
      </w:r>
    </w:p>
    <w:p>
      <w:pPr>
        <w:pStyle w:val="MdParagraph"/>
      </w:pPr>
      <w:r>
        <w:rPr>
          <w:rStyle w:val="MdStrong"/>
          <w:b/>
          <w:bCs/>
        </w:rPr>
        <w:t xml:space="preserve">Périmètre :</w:t>
      </w:r>
      <w:r>
        <w:t xml:space="preserve"> données des 85 sessions, compteurs officiels corrigés et données détaillées des entreprises/fondateurs. </w:t>
      </w:r>
      <w:r>
        <w:rPr>
          <w:rStyle w:val="MdStrong"/>
          <w:b/>
          <w:bCs/>
        </w:rPr>
        <w:t xml:space="preserve">Auteur : Faker BEN NOOMEN — ESEN/ISCAE Manouba.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Résultats globaux contrôlés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Indicateur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Total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Contrôlé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Entrées détaillées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3,348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Lignes du classeur final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Labels accordés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1,311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Compteur officiel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Prélabels accordés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Compteur officiel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Prélabels accordés dans les lignes détaillées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Écart documenté avec le compteur officiel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Décisions positives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1,934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Labels + Prélabels officiels</w:t>
            </w:r>
          </w:p>
        </w:tc>
      </w:tr>
    </w:tbl>
    <w:p>
      <w:pPr>
        <w:pStyle w:val="Heading2"/>
        <w:pStyle w:val="MdHeading2"/>
      </w:pPr>
      <w:r>
        <w:t xml:space="preserve">2. Décisions par session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Session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Période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Entrées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Label accordé officiel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Prélabel accordé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Prélabel non accordé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Label non accordé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Reporté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Retrait Label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2e tour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Après pitching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Avril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Juillet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Août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Septembre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Octobre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Novembre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Décembre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Janvier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Février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S84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Mars 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</w:tbl>
    <w:p>
      <w:pPr>
        <w:pStyle w:val="Heading2"/>
        <w:pStyle w:val="MdHeading2"/>
      </w:pPr>
      <w:r>
        <w:t xml:space="preserve">3. Totaux des catégories détaillées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Catégorie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Total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Remarque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Label accordé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1,311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Compteur officiel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Prélabel accordé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Compteur officiel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Prélabel accordé dans les lignes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 observé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Prélabel non accordé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Décisions présentes dans les lignes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Label non accordé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669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Décisions présentes dans les lignes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Reporté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Décisions présentes dans les lignes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Retrait 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Décisions présentes dans les lignes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2e tour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1,105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Valeur non vide dans la base enrichie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Après pitching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704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Valeur renseignée dans la base enrichie</w:t>
            </w:r>
          </w:p>
        </w:tc>
      </w:tr>
    </w:tbl>
    <w:p>
      <w:pPr>
        <w:pStyle w:val="Heading2"/>
        <w:pStyle w:val="MdHeading2"/>
      </w:pPr>
      <w:r>
        <w:t xml:space="preserve">4. Fondateurs hommes/femmes</w:t>
      </w:r>
    </w:p>
    <w:p>
      <w:pPr>
        <w:pStyle w:val="MdParagraph"/>
      </w:pPr>
      <w:r>
        <w:t xml:space="preserve">Le classeur contrôlé contient les noms dans la colonne </w:t>
      </w:r>
      <w:r>
        <w:rPr>
          <w:rStyle w:val="MdCode"/>
          <w:u w:val="single"/>
        </w:rPr>
        <w:t xml:space="preserve">Fondateur(s)</w:t>
      </w:r>
      <w:r>
        <w:t xml:space="preserve">, mais </w:t>
      </w:r>
      <w:r>
        <w:rPr>
          <w:rStyle w:val="MdStrong"/>
          <w:b/>
          <w:bCs/>
        </w:rPr>
        <w:t xml:space="preserve">aucune colonne explicite de genre</w:t>
      </w:r>
      <w:r>
        <w:t xml:space="preserve">. Il n’est donc pas méthodologiquement correct de produire un nombre hommes/femmes par session à partir de ces fichiers sans une table de classification documentée. Les valeurs ci-dessous sont celles fournies dans le fichier utilisateur et sont présentées comme </w:t>
      </w:r>
      <w:r>
        <w:rPr>
          <w:rStyle w:val="MdStrong"/>
          <w:b/>
          <w:bCs/>
        </w:rPr>
        <w:t xml:space="preserve">estimations calibrées</w:t>
      </w:r>
      <w:r>
        <w:t xml:space="preserve">, non comme un comptage directement vérifié dans Excel.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Périmètre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Fondateurs total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Femmes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Hommes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Part femmes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Source/statut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2019–2026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4 764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1 153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3 611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24,21 %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Estimation fournie, non variable Excel</w:t>
            </w:r>
          </w:p>
        </w:tc>
      </w:tr>
    </w:tbl>
    <w:p>
      <w:pPr>
        <w:pStyle w:val="Heading3"/>
        <w:pStyle w:val="MdHeading3"/>
      </w:pPr>
      <w:r>
        <w:t xml:space="preserve">Répartition annuelle fournie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Année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Fondateurs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Femmes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Hommes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Part femmes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Startups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Startups avec femmes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18,46 %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20,15 %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22,62 %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24,81 %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26,27 %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28,55 %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30,79 %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31,58 %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Important :</w:t>
      </w:r>
      <w:r>
        <w:t xml:space="preserve"> le fichier fourni indique comme source </w:t>
      </w:r>
      <w:r>
        <w:rPr>
          <w:rStyle w:val="MdCode"/>
          <w:u w:val="single"/>
        </w:rPr>
        <w:t xml:space="preserve">genderData.ts — estimations calibrées sur les 85 PVs</w:t>
      </w:r>
      <w:r>
        <w:t xml:space="preserve">. Il ne fournit pas de ventilation hommes/femmes par session.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Limites et interprétation</w:t>
      </w:r>
    </w:p>
    <w:p>
      <w:pPr>
        <w:pStyle w:val="MdParagraph"/>
      </w:pPr>
      <w:r>
        <w:t xml:space="preserve">Les compteurs de Labels et Prélabels sont repris du tableau officiel de contrôle. Les catégories négatives et les modalités « 2e tour »/« après pitching » proviennent des colonnes détaillées lorsqu’elles sont renseignées. Les écarts entre compteurs officiels et lignes détaillées doivent être conservés comme une distinction de méthode, et non supprimés par réallocation artificielle.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Références internes</w:t>
      </w:r>
    </w:p>
    <w:p>
      <w:pPr>
        <w:pStyle w:val="MdListItem"/>
        <w:numPr>
          <w:ilvl w:val="0"/>
          <w:numId w:val="2"/>
        </w:numPr>
      </w:pPr>
      <w:r>
        <w:t xml:space="preserve">Classeur </w:t>
      </w:r>
      <w:r>
        <w:rPr>
          <w:rStyle w:val="MdCode"/>
          <w:u w:val="single"/>
        </w:rPr>
        <w:t xml:space="preserve">Startup_Act_85_sessions_corrige_final.xlsx</w:t>
      </w:r>
      <w:r>
        <w:t xml:space="preserve">, feuilles S0–S84 et </w:t>
      </w:r>
      <w:r>
        <w:rPr>
          <w:rStyle w:val="MdCode"/>
          <w:u w:val="single"/>
        </w:rPr>
        <w:t xml:space="preserve">Verification_Officielle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Classeur enrichi </w:t>
      </w:r>
      <w:r>
        <w:rPr>
          <w:rStyle w:val="MdCode"/>
          <w:u w:val="single"/>
        </w:rPr>
        <w:t xml:space="preserve">Faker85session_corrigee_compteurs_officiels.xlsx</w:t>
      </w:r>
      <w:r>
        <w:t xml:space="preserve">, colonnes </w:t>
      </w:r>
      <w:r>
        <w:rPr>
          <w:rStyle w:val="MdCode"/>
          <w:u w:val="single"/>
        </w:rPr>
        <w:t xml:space="preserve">Tour / moment de décision</w:t>
      </w:r>
      <w:r>
        <w:t xml:space="preserve"> et </w:t>
      </w:r>
      <w:r>
        <w:rPr>
          <w:rStyle w:val="MdCode"/>
          <w:u w:val="single"/>
        </w:rPr>
        <w:t xml:space="preserve">Après pitching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Fichier utilisateur </w:t>
      </w:r>
      <w:r>
        <w:rPr>
          <w:rStyle w:val="MdCode"/>
          <w:u w:val="single"/>
        </w:rPr>
        <w:t xml:space="preserve">pasted_content_18.txt</w:t>
      </w:r>
      <w:r>
        <w:t xml:space="preserve">, bloc </w:t>
      </w:r>
      <w:r>
        <w:rPr>
          <w:rStyle w:val="MdCode"/>
          <w:u w:val="single"/>
        </w:rPr>
        <w:t xml:space="preserve">macro</w:t>
      </w:r>
      <w:r>
        <w:t xml:space="preserve"> et tableau </w:t>
      </w:r>
      <w:r>
        <w:rPr>
          <w:rStyle w:val="MdCode"/>
          <w:u w:val="single"/>
        </w:rPr>
        <w:t xml:space="preserve">yearly</w:t>
      </w:r>
      <w:r>
        <w:t xml:space="preserve"> des estimations de genre.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2026-08-21T14:26:37.517Z</dcterms:created>
  <dcterms:modified xsi:type="dcterms:W3CDTF">2026-08-21T14:26:37.517Z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