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13xm5cc9cd8l" w:id="0"/>
      <w:bookmarkEnd w:id="0"/>
      <w:r w:rsidDel="00000000" w:rsidR="00000000" w:rsidRPr="00000000">
        <w:rPr>
          <w:b w:val="1"/>
          <w:bCs w:val="1"/>
          <w:sz w:val="46"/>
          <w:szCs w:val="46"/>
          <w:rtl w:val="0"/>
        </w:rPr>
        <w:t xml:space="preserve">CHARTE DE CADRAGE D'UN AXE DE VEILLE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vf9c668g4m9d" w:id="1"/>
      <w:bookmarkEnd w:id="1"/>
      <w:r w:rsidDel="00000000" w:rsidR="00000000" w:rsidRPr="00000000">
        <w:rPr>
          <w:b w:val="1"/>
          <w:bCs w:val="1"/>
          <w:sz w:val="34"/>
          <w:szCs w:val="34"/>
          <w:rtl w:val="0"/>
        </w:rPr>
        <w:t xml:space="preserve">Projet national – Livre Blanc Startup Act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heading=h.o94uj7ds1uot" w:id="2"/>
      <w:bookmarkEnd w:id="2"/>
      <w:r w:rsidDel="00000000" w:rsidR="00000000" w:rsidRPr="00000000">
        <w:rPr>
          <w:b w:val="1"/>
          <w:bCs w:val="1"/>
          <w:sz w:val="46"/>
          <w:szCs w:val="46"/>
          <w:rtl w:val="0"/>
        </w:rPr>
        <w:t xml:space="preserve">1. Informations générales</w:t>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À compléter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Axe d’étude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Responsable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Membres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heading=h.g47ohlkskdt6" w:id="3"/>
      <w:bookmarkEnd w:id="3"/>
      <w:r w:rsidDel="00000000" w:rsidR="00000000" w:rsidRPr="00000000">
        <w:rPr>
          <w:b w:val="1"/>
          <w:bCs w:val="1"/>
          <w:sz w:val="46"/>
          <w:szCs w:val="46"/>
          <w:rtl w:val="0"/>
        </w:rPr>
        <w:t xml:space="preserve">2. Contexte et justification</w:t>
      </w:r>
    </w:p>
    <w:p w:rsidR="00000000" w:rsidDel="00000000" w:rsidP="00000000" w:rsidRDefault="00000000" w:rsidRPr="00000000" w14:paraId="00000013">
      <w:pPr>
        <w:spacing w:after="240" w:before="240" w:lineRule="auto"/>
        <w:rPr/>
      </w:pPr>
      <w:r w:rsidDel="00000000" w:rsidR="00000000" w:rsidRPr="00000000">
        <w:rPr>
          <w:rtl w:val="0"/>
        </w:rPr>
        <w:t xml:space="preserve">Le financement constitue l'un des principaux facteurs de réussite des startups innovantes. Afin de favoriser leur création, leur croissance et leur internationalisation, le Startup Act tunisien et le programme Startup Tunisia ont mis en place plusieurs mécanismes complémentaires :</w:t>
      </w:r>
    </w:p>
    <w:p w:rsidR="00000000" w:rsidDel="00000000" w:rsidP="00000000" w:rsidRDefault="00000000" w:rsidRPr="00000000" w14:paraId="00000014">
      <w:pPr>
        <w:numPr>
          <w:ilvl w:val="0"/>
          <w:numId w:val="15"/>
        </w:numPr>
        <w:spacing w:after="0" w:afterAutospacing="0" w:before="240" w:lineRule="auto"/>
        <w:ind w:left="720" w:hanging="360"/>
      </w:pPr>
      <w:r w:rsidDel="00000000" w:rsidR="00000000" w:rsidRPr="00000000">
        <w:rPr>
          <w:rtl w:val="0"/>
        </w:rPr>
        <w:t xml:space="preserve">Startup Grant ;</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rtl w:val="0"/>
        </w:rPr>
        <w:t xml:space="preserve">avantages fiscaux pour les investisseurs ;</w:t>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rtl w:val="0"/>
        </w:rPr>
        <w:t xml:space="preserve">fonds de garantie ;</w:t>
      </w:r>
    </w:p>
    <w:p w:rsidR="00000000" w:rsidDel="00000000" w:rsidP="00000000" w:rsidRDefault="00000000" w:rsidRPr="00000000" w14:paraId="00000017">
      <w:pPr>
        <w:numPr>
          <w:ilvl w:val="0"/>
          <w:numId w:val="15"/>
        </w:numPr>
        <w:spacing w:after="0" w:afterAutospacing="0" w:before="0" w:beforeAutospacing="0" w:lineRule="auto"/>
        <w:ind w:left="720" w:hanging="360"/>
      </w:pPr>
      <w:r w:rsidDel="00000000" w:rsidR="00000000" w:rsidRPr="00000000">
        <w:rPr>
          <w:rtl w:val="0"/>
        </w:rPr>
        <w:t xml:space="preserve">Startup Invest ;</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facilités de levée de fonds ;</w:t>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tl w:val="0"/>
        </w:rPr>
        <w:t xml:space="preserve">compte en devises ;</w:t>
      </w:r>
    </w:p>
    <w:p w:rsidR="00000000" w:rsidDel="00000000" w:rsidP="00000000" w:rsidRDefault="00000000" w:rsidRPr="00000000" w14:paraId="0000001A">
      <w:pPr>
        <w:numPr>
          <w:ilvl w:val="0"/>
          <w:numId w:val="15"/>
        </w:numPr>
        <w:spacing w:after="240" w:before="0" w:beforeAutospacing="0" w:lineRule="auto"/>
        <w:ind w:left="720" w:hanging="360"/>
      </w:pPr>
      <w:r w:rsidDel="00000000" w:rsidR="00000000" w:rsidRPr="00000000">
        <w:rPr>
          <w:rtl w:val="0"/>
        </w:rPr>
        <w:t xml:space="preserve">autres mécanismes publics et privés.</w:t>
      </w:r>
    </w:p>
    <w:p w:rsidR="00000000" w:rsidDel="00000000" w:rsidP="00000000" w:rsidRDefault="00000000" w:rsidRPr="00000000" w14:paraId="0000001B">
      <w:pPr>
        <w:spacing w:after="240" w:before="240" w:lineRule="auto"/>
        <w:rPr/>
      </w:pPr>
      <w:r w:rsidDel="00000000" w:rsidR="00000000" w:rsidRPr="00000000">
        <w:rPr>
          <w:rtl w:val="0"/>
        </w:rPr>
        <w:t xml:space="preserve">Huit ans après l'entrée en vigueur du Startup Act, il devient nécessaire d'évaluer l'accessibilité, l'utilisation, l'efficacité et la complémentarité de ces dispositifs afin d'identifier les freins et les opportunités d'amélioration. Les documents de référence du projet mettent en avant ces instruments comme des leviers majeurs de l'écosystème startup.</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 Clair</w:t>
      </w:r>
    </w:p>
    <w:p w:rsidR="00000000" w:rsidDel="00000000" w:rsidP="00000000" w:rsidRDefault="00000000" w:rsidRPr="00000000" w14:paraId="0000001D">
      <w:pPr>
        <w:spacing w:after="240" w:before="240" w:lineRule="auto"/>
        <w:rPr/>
      </w:pPr>
      <w:r w:rsidDel="00000000" w:rsidR="00000000" w:rsidRPr="00000000">
        <w:rPr>
          <w:rtl w:val="0"/>
        </w:rPr>
        <w:t xml:space="preserve">☐ Concis</w:t>
      </w:r>
    </w:p>
    <w:p w:rsidR="00000000" w:rsidDel="00000000" w:rsidP="00000000" w:rsidRDefault="00000000" w:rsidRPr="00000000" w14:paraId="0000001E">
      <w:pPr>
        <w:spacing w:after="240" w:before="240" w:lineRule="auto"/>
        <w:rPr/>
      </w:pPr>
      <w:r w:rsidDel="00000000" w:rsidR="00000000" w:rsidRPr="00000000">
        <w:rPr>
          <w:rtl w:val="0"/>
        </w:rPr>
        <w:t xml:space="preserve">☐ Justifié</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heading=h.3alj6vgdgbd" w:id="4"/>
      <w:bookmarkEnd w:id="4"/>
      <w:r w:rsidDel="00000000" w:rsidR="00000000" w:rsidRPr="00000000">
        <w:rPr>
          <w:b w:val="1"/>
          <w:bCs w:val="1"/>
          <w:sz w:val="46"/>
          <w:szCs w:val="46"/>
          <w:rtl w:val="0"/>
        </w:rPr>
        <w:t xml:space="preserve">3. Besoin décisionnel et problématique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eading=h.nzxqdn4vtgvh" w:id="5"/>
      <w:bookmarkEnd w:id="5"/>
      <w:r w:rsidDel="00000000" w:rsidR="00000000" w:rsidRPr="00000000">
        <w:rPr>
          <w:b w:val="1"/>
          <w:bCs w:val="1"/>
          <w:color w:val="000000"/>
          <w:sz w:val="26"/>
          <w:szCs w:val="26"/>
          <w:rtl w:val="0"/>
        </w:rPr>
        <w:t xml:space="preserve">Besoin décisionnel</w:t>
      </w:r>
    </w:p>
    <w:p w:rsidR="00000000" w:rsidDel="00000000" w:rsidP="00000000" w:rsidRDefault="00000000" w:rsidRPr="00000000" w14:paraId="00000022">
      <w:pPr>
        <w:spacing w:after="240" w:before="240" w:lineRule="auto"/>
        <w:rPr/>
      </w:pPr>
      <w:r w:rsidDel="00000000" w:rsidR="00000000" w:rsidRPr="00000000">
        <w:rPr>
          <w:rtl w:val="0"/>
        </w:rPr>
        <w:t xml:space="preserve">Les décideurs souhaitent disposer d'une analyse permettant de répondre notamment aux questions suivantes :</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Les startups trouvent-elles les financements adaptés à chaque phase de leur développement ?</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Les avantages financiers du Startup Act sont-ils réellement utilisés ?</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Les dispositifs actuels attirent-ils suffisamment les investisseurs ?</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Les mécanismes publics et privés sont-ils complémentaires ?</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Quelles réformes permettraient d'améliorer le financement de l'innovation ?</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3hzb93nt785w" w:id="6"/>
      <w:bookmarkEnd w:id="6"/>
      <w:r w:rsidDel="00000000" w:rsidR="00000000" w:rsidRPr="00000000">
        <w:rPr>
          <w:b w:val="1"/>
          <w:bCs w:val="1"/>
          <w:color w:val="000000"/>
          <w:sz w:val="26"/>
          <w:szCs w:val="26"/>
          <w:rtl w:val="0"/>
        </w:rPr>
        <w:t xml:space="preserve">Problématique</w:t>
      </w:r>
    </w:p>
    <w:p w:rsidR="00000000" w:rsidDel="00000000" w:rsidP="00000000" w:rsidRDefault="00000000" w:rsidRPr="00000000" w14:paraId="00000029">
      <w:pPr>
        <w:spacing w:after="240" w:before="240" w:lineRule="auto"/>
        <w:rPr/>
      </w:pPr>
      <w:r w:rsidDel="00000000" w:rsidR="00000000" w:rsidRPr="00000000">
        <w:rPr>
          <w:rtl w:val="0"/>
        </w:rPr>
        <w:t xml:space="preserve">Dans quelle mesure les mécanismes de financement prévus par le Startup Act et l'écosystème startup répondent-ils aux besoins des startups tunisiennes tout au long de leur cycle de développement, et quelles évolutions permettraient d'améliorer leur efficacité et leur attractivité ? </w:t>
      </w:r>
    </w:p>
    <w:p w:rsidR="00000000" w:rsidDel="00000000" w:rsidP="00000000" w:rsidRDefault="00000000" w:rsidRPr="00000000" w14:paraId="0000002A">
      <w:pPr>
        <w:spacing w:after="240" w:before="240" w:lineRule="auto"/>
        <w:rPr/>
      </w:pPr>
      <w:r w:rsidDel="00000000" w:rsidR="00000000" w:rsidRPr="00000000">
        <w:rPr>
          <w:rtl w:val="0"/>
        </w:rPr>
        <w:t xml:space="preserve">☐ Orientée décision</w:t>
      </w:r>
    </w:p>
    <w:p w:rsidR="00000000" w:rsidDel="00000000" w:rsidP="00000000" w:rsidRDefault="00000000" w:rsidRPr="00000000" w14:paraId="0000002B">
      <w:pPr>
        <w:spacing w:after="240" w:before="240" w:lineRule="auto"/>
        <w:rPr/>
      </w:pPr>
      <w:r w:rsidDel="00000000" w:rsidR="00000000" w:rsidRPr="00000000">
        <w:rPr>
          <w:rtl w:val="0"/>
        </w:rPr>
        <w:t xml:space="preserve">☐ Claire</w:t>
      </w:r>
    </w:p>
    <w:p w:rsidR="00000000" w:rsidDel="00000000" w:rsidP="00000000" w:rsidRDefault="00000000" w:rsidRPr="00000000" w14:paraId="0000002C">
      <w:pPr>
        <w:spacing w:after="240" w:before="240" w:lineRule="auto"/>
        <w:rPr/>
      </w:pPr>
      <w:r w:rsidDel="00000000" w:rsidR="00000000" w:rsidRPr="00000000">
        <w:rPr>
          <w:rtl w:val="0"/>
        </w:rPr>
        <w:t xml:space="preserve">☐ Pas descriptive</w:t>
      </w:r>
    </w:p>
    <w:p w:rsidR="00000000" w:rsidDel="00000000" w:rsidP="00000000" w:rsidRDefault="00000000" w:rsidRPr="00000000" w14:paraId="0000002D">
      <w:pPr>
        <w:spacing w:after="240" w:before="240" w:lineRule="auto"/>
        <w:rPr/>
      </w:pPr>
      <w:r w:rsidDel="00000000" w:rsidR="00000000" w:rsidRPr="00000000">
        <w:rPr>
          <w:rtl w:val="0"/>
        </w:rPr>
        <w:t xml:space="preserve">☐ Pas trop large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heading=h.m21tenntvb63" w:id="7"/>
      <w:bookmarkEnd w:id="7"/>
      <w:r w:rsidDel="00000000" w:rsidR="00000000" w:rsidRPr="00000000">
        <w:rPr>
          <w:b w:val="1"/>
          <w:bCs w:val="1"/>
          <w:sz w:val="46"/>
          <w:szCs w:val="46"/>
          <w:rtl w:val="0"/>
        </w:rPr>
        <w:t xml:space="preserve">4. Objectifs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eading=h.zfp10nlbmk5s" w:id="8"/>
      <w:bookmarkEnd w:id="8"/>
      <w:r w:rsidDel="00000000" w:rsidR="00000000" w:rsidRPr="00000000">
        <w:rPr>
          <w:b w:val="1"/>
          <w:bCs w:val="1"/>
          <w:color w:val="000000"/>
          <w:sz w:val="26"/>
          <w:szCs w:val="26"/>
          <w:rtl w:val="0"/>
        </w:rPr>
        <w:t xml:space="preserve">Objectif général</w:t>
      </w:r>
    </w:p>
    <w:p w:rsidR="00000000" w:rsidDel="00000000" w:rsidP="00000000" w:rsidRDefault="00000000" w:rsidRPr="00000000" w14:paraId="00000031">
      <w:pPr>
        <w:spacing w:after="240" w:before="240" w:lineRule="auto"/>
        <w:rPr/>
      </w:pPr>
      <w:r w:rsidDel="00000000" w:rsidR="00000000" w:rsidRPr="00000000">
        <w:rPr>
          <w:rtl w:val="0"/>
        </w:rPr>
        <w:t xml:space="preserve">Évaluer la pertinence, l'efficacité et la complémentarité des mécanismes de financement des startups afin de proposer des recommandations permettant de renforcer l'accès au financement et l'attractivité de l'écosystème tunisien.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lsetb3hcritv" w:id="9"/>
      <w:bookmarkEnd w:id="9"/>
      <w:r w:rsidDel="00000000" w:rsidR="00000000" w:rsidRPr="00000000">
        <w:rPr>
          <w:b w:val="1"/>
          <w:bCs w:val="1"/>
          <w:color w:val="000000"/>
          <w:sz w:val="26"/>
          <w:szCs w:val="26"/>
          <w:rtl w:val="0"/>
        </w:rPr>
        <w:t xml:space="preserve">Objectifs spécifiques</w:t>
      </w:r>
    </w:p>
    <w:p w:rsidR="00000000" w:rsidDel="00000000" w:rsidP="00000000" w:rsidRDefault="00000000" w:rsidRPr="00000000" w14:paraId="00000033">
      <w:pPr>
        <w:numPr>
          <w:ilvl w:val="0"/>
          <w:numId w:val="7"/>
        </w:numPr>
        <w:spacing w:after="240" w:lineRule="auto"/>
        <w:ind w:left="720" w:hanging="360"/>
      </w:pPr>
      <w:r w:rsidDel="00000000" w:rsidR="00000000" w:rsidRPr="00000000">
        <w:rPr>
          <w:rtl w:val="0"/>
        </w:rPr>
        <w:t xml:space="preserve">Cartographier les mécanismes de financement existants.</w:t>
      </w:r>
    </w:p>
    <w:p w:rsidR="00000000" w:rsidDel="00000000" w:rsidP="00000000" w:rsidRDefault="00000000" w:rsidRPr="00000000" w14:paraId="00000034">
      <w:pPr>
        <w:numPr>
          <w:ilvl w:val="0"/>
          <w:numId w:val="7"/>
        </w:numPr>
        <w:spacing w:after="240" w:lineRule="auto"/>
        <w:ind w:left="720" w:hanging="360"/>
      </w:pPr>
      <w:r w:rsidDel="00000000" w:rsidR="00000000" w:rsidRPr="00000000">
        <w:rPr>
          <w:rtl w:val="0"/>
        </w:rPr>
        <w:t xml:space="preserve">Évaluer l'accès réel des startups aux financements.</w:t>
      </w:r>
    </w:p>
    <w:p w:rsidR="00000000" w:rsidDel="00000000" w:rsidP="00000000" w:rsidRDefault="00000000" w:rsidRPr="00000000" w14:paraId="00000035">
      <w:pPr>
        <w:numPr>
          <w:ilvl w:val="0"/>
          <w:numId w:val="7"/>
        </w:numPr>
        <w:spacing w:after="240" w:lineRule="auto"/>
        <w:ind w:left="720" w:hanging="360"/>
      </w:pPr>
      <w:r w:rsidDel="00000000" w:rsidR="00000000" w:rsidRPr="00000000">
        <w:rPr>
          <w:rtl w:val="0"/>
        </w:rPr>
        <w:t xml:space="preserve">Analyser les dispositifs prévus par le Startup Act.</w:t>
      </w:r>
    </w:p>
    <w:p w:rsidR="00000000" w:rsidDel="00000000" w:rsidP="00000000" w:rsidRDefault="00000000" w:rsidRPr="00000000" w14:paraId="00000036">
      <w:pPr>
        <w:numPr>
          <w:ilvl w:val="0"/>
          <w:numId w:val="7"/>
        </w:numPr>
        <w:spacing w:after="240" w:lineRule="auto"/>
        <w:ind w:left="720" w:hanging="360"/>
      </w:pPr>
      <w:r w:rsidDel="00000000" w:rsidR="00000000" w:rsidRPr="00000000">
        <w:rPr>
          <w:rtl w:val="0"/>
        </w:rPr>
        <w:t xml:space="preserve">Évaluer l'attractivité du dispositif pour les investisseurs.</w:t>
      </w:r>
    </w:p>
    <w:p w:rsidR="00000000" w:rsidDel="00000000" w:rsidP="00000000" w:rsidRDefault="00000000" w:rsidRPr="00000000" w14:paraId="00000037">
      <w:pPr>
        <w:numPr>
          <w:ilvl w:val="0"/>
          <w:numId w:val="7"/>
        </w:numPr>
        <w:spacing w:after="240" w:lineRule="auto"/>
        <w:ind w:left="720" w:hanging="360"/>
      </w:pPr>
      <w:r w:rsidDel="00000000" w:rsidR="00000000" w:rsidRPr="00000000">
        <w:rPr>
          <w:rtl w:val="0"/>
        </w:rPr>
        <w:t xml:space="preserve">Identifier les freins rencontrés par les startups.</w:t>
      </w:r>
    </w:p>
    <w:p w:rsidR="00000000" w:rsidDel="00000000" w:rsidP="00000000" w:rsidRDefault="00000000" w:rsidRPr="00000000" w14:paraId="00000038">
      <w:pPr>
        <w:numPr>
          <w:ilvl w:val="0"/>
          <w:numId w:val="7"/>
        </w:numPr>
        <w:spacing w:after="240" w:lineRule="auto"/>
        <w:ind w:left="720" w:hanging="360"/>
      </w:pPr>
      <w:r w:rsidDel="00000000" w:rsidR="00000000" w:rsidRPr="00000000">
        <w:rPr>
          <w:rtl w:val="0"/>
        </w:rPr>
        <w:t xml:space="preserve">Comparer le système tunisien aux meilleures pratiques internationales.</w:t>
      </w:r>
    </w:p>
    <w:p w:rsidR="00000000" w:rsidDel="00000000" w:rsidP="00000000" w:rsidRDefault="00000000" w:rsidRPr="00000000" w14:paraId="00000039">
      <w:pPr>
        <w:numPr>
          <w:ilvl w:val="0"/>
          <w:numId w:val="7"/>
        </w:numPr>
        <w:spacing w:after="240" w:lineRule="auto"/>
        <w:ind w:left="720" w:hanging="360"/>
      </w:pPr>
      <w:r w:rsidDel="00000000" w:rsidR="00000000" w:rsidRPr="00000000">
        <w:rPr>
          <w:rtl w:val="0"/>
        </w:rPr>
        <w:t xml:space="preserve">Formuler des recommandations.</w:t>
      </w:r>
    </w:p>
    <w:p w:rsidR="00000000" w:rsidDel="00000000" w:rsidP="00000000" w:rsidRDefault="00000000" w:rsidRPr="00000000" w14:paraId="0000003A">
      <w:pPr>
        <w:spacing w:after="240" w:before="240" w:lineRule="auto"/>
        <w:rPr/>
      </w:pPr>
      <w:r w:rsidDel="00000000" w:rsidR="00000000" w:rsidRPr="00000000">
        <w:rPr>
          <w:rtl w:val="0"/>
        </w:rPr>
        <w:t xml:space="preserve">☐ Commencent par un verbe</w:t>
      </w:r>
    </w:p>
    <w:p w:rsidR="00000000" w:rsidDel="00000000" w:rsidP="00000000" w:rsidRDefault="00000000" w:rsidRPr="00000000" w14:paraId="0000003B">
      <w:pPr>
        <w:spacing w:after="240" w:before="240" w:lineRule="auto"/>
        <w:rPr/>
      </w:pPr>
      <w:r w:rsidDel="00000000" w:rsidR="00000000" w:rsidRPr="00000000">
        <w:rPr>
          <w:rtl w:val="0"/>
        </w:rPr>
        <w:t xml:space="preserve">☐ Répondent à la problématique</w:t>
      </w:r>
    </w:p>
    <w:p w:rsidR="00000000" w:rsidDel="00000000" w:rsidP="00000000" w:rsidRDefault="00000000" w:rsidRPr="00000000" w14:paraId="0000003C">
      <w:pPr>
        <w:spacing w:after="240" w:before="240" w:lineRule="auto"/>
        <w:rPr/>
      </w:pPr>
      <w:r w:rsidDel="00000000" w:rsidR="00000000" w:rsidRPr="00000000">
        <w:rPr>
          <w:rtl w:val="0"/>
        </w:rPr>
        <w:t xml:space="preserve">☐ Réalistes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heading=h.z7mcw4jb0fyg" w:id="10"/>
      <w:bookmarkEnd w:id="10"/>
      <w:r w:rsidDel="00000000" w:rsidR="00000000" w:rsidRPr="00000000">
        <w:rPr>
          <w:b w:val="1"/>
          <w:bCs w:val="1"/>
          <w:sz w:val="46"/>
          <w:szCs w:val="46"/>
          <w:rtl w:val="0"/>
        </w:rPr>
        <w:t xml:space="preserve">5. Périmètre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efpa43twpvbl" w:id="11"/>
      <w:bookmarkEnd w:id="11"/>
      <w:r w:rsidDel="00000000" w:rsidR="00000000" w:rsidRPr="00000000">
        <w:rPr>
          <w:b w:val="1"/>
          <w:bCs w:val="1"/>
          <w:color w:val="000000"/>
          <w:sz w:val="26"/>
          <w:szCs w:val="26"/>
          <w:rtl w:val="0"/>
        </w:rPr>
        <w:t xml:space="preserve">Ce qui est attendu</w:t>
      </w:r>
    </w:p>
    <w:p w:rsidR="00000000" w:rsidDel="00000000" w:rsidP="00000000" w:rsidRDefault="00000000" w:rsidRPr="00000000" w14:paraId="00000040">
      <w:pPr>
        <w:spacing w:after="240" w:before="240" w:lineRule="auto"/>
        <w:rPr/>
      </w:pPr>
      <w:r w:rsidDel="00000000" w:rsidR="00000000" w:rsidRPr="00000000">
        <w:rPr>
          <w:rtl w:val="0"/>
        </w:rPr>
        <w:t xml:space="preserve">Définir clairement ce qui sera étudié... et ce qui ne le sera pas.</w:t>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Élément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Réponse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Géographique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Tunisie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Temporel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2018–2026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Thématique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Financement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Acteurs concernés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Startups labellisées, investisseurs, fonds d'investissement, Business Angels, banques, structures publiques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Hors périmètre (optionnel)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Analyse détaillée des textes juridiques (Axe 2), impact économique global (Axe 5)</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 Périmètre clair</w:t>
      </w:r>
    </w:p>
    <w:p w:rsidR="00000000" w:rsidDel="00000000" w:rsidP="00000000" w:rsidRDefault="00000000" w:rsidRPr="00000000" w14:paraId="0000004E">
      <w:pPr>
        <w:spacing w:after="240" w:before="240" w:lineRule="auto"/>
        <w:rPr/>
      </w:pPr>
      <w:r w:rsidDel="00000000" w:rsidR="00000000" w:rsidRPr="00000000">
        <w:rPr>
          <w:rtl w:val="0"/>
        </w:rPr>
        <w:t xml:space="preserve">☐ Pas de chevauchement avec un autre axe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heading=h.o6pahvjk2bi" w:id="12"/>
      <w:bookmarkEnd w:id="12"/>
      <w:r w:rsidDel="00000000" w:rsidR="00000000" w:rsidRPr="00000000">
        <w:rPr>
          <w:b w:val="1"/>
          <w:bCs w:val="1"/>
          <w:sz w:val="46"/>
          <w:szCs w:val="46"/>
          <w:rtl w:val="0"/>
        </w:rPr>
        <w:t xml:space="preserve">6. Axe &amp; Plan de veille</w:t>
      </w:r>
    </w:p>
    <w:p w:rsidR="00000000" w:rsidDel="00000000" w:rsidP="00000000" w:rsidRDefault="00000000" w:rsidRPr="00000000" w14:paraId="00000051">
      <w:pPr>
        <w:pStyle w:val="Heading3"/>
        <w:keepNext w:val="0"/>
        <w:keepLines w:val="0"/>
        <w:spacing w:before="480" w:lineRule="auto"/>
        <w:rPr>
          <w:b w:val="1"/>
          <w:bCs w:val="1"/>
          <w:color w:val="000000"/>
        </w:rPr>
      </w:pPr>
      <w:bookmarkStart w:colFirst="0" w:colLast="0" w:name="_heading=h.ye0p389023ge" w:id="13"/>
      <w:bookmarkEnd w:id="13"/>
      <w:r w:rsidDel="00000000" w:rsidR="00000000" w:rsidRPr="00000000">
        <w:rPr>
          <w:b w:val="1"/>
          <w:bCs w:val="1"/>
          <w:color w:val="000000"/>
          <w:rtl w:val="0"/>
        </w:rPr>
        <w:t xml:space="preserve">A. Axes de veille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heading=h.9w0m3nak5rd" w:id="14"/>
      <w:bookmarkEnd w:id="14"/>
      <w:r w:rsidDel="00000000" w:rsidR="00000000" w:rsidRPr="00000000">
        <w:rPr>
          <w:b w:val="1"/>
          <w:bCs w:val="1"/>
          <w:sz w:val="34"/>
          <w:szCs w:val="34"/>
          <w:rtl w:val="0"/>
        </w:rPr>
        <w:t xml:space="preserve">Axe de veille 1</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eading=h.cwjpf6vknjjb" w:id="15"/>
      <w:bookmarkEnd w:id="15"/>
      <w:r w:rsidDel="00000000" w:rsidR="00000000" w:rsidRPr="00000000">
        <w:rPr>
          <w:b w:val="1"/>
          <w:bCs w:val="1"/>
          <w:color w:val="000000"/>
          <w:sz w:val="26"/>
          <w:szCs w:val="26"/>
          <w:rtl w:val="0"/>
        </w:rPr>
        <w:t xml:space="preserve">Cartographie des mécanismes de financement</w:t>
      </w:r>
    </w:p>
    <w:p w:rsidR="00000000" w:rsidDel="00000000" w:rsidP="00000000" w:rsidRDefault="00000000" w:rsidRPr="00000000" w14:paraId="00000054">
      <w:pPr>
        <w:spacing w:after="240" w:before="240" w:lineRule="auto"/>
        <w:rPr/>
      </w:pPr>
      <w:r w:rsidDel="00000000" w:rsidR="00000000" w:rsidRPr="00000000">
        <w:rPr>
          <w:rtl w:val="0"/>
        </w:rPr>
        <w:t xml:space="preserve">Étudier :</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Startup Grant</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Startup Invest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Fonds publics</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Fonds privés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Business Angels</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Venture Capital</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Crowdfunding</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Banques</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rtl w:val="0"/>
        </w:rPr>
        <w:t xml:space="preserve">Coopération internationale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heading=h.av69ubh55lzd" w:id="16"/>
      <w:bookmarkEnd w:id="16"/>
      <w:r w:rsidDel="00000000" w:rsidR="00000000" w:rsidRPr="00000000">
        <w:rPr>
          <w:b w:val="1"/>
          <w:bCs w:val="1"/>
          <w:sz w:val="34"/>
          <w:szCs w:val="34"/>
          <w:rtl w:val="0"/>
        </w:rPr>
        <w:t xml:space="preserve">Axe de veille 2</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ading=h.c3tej8589n3e" w:id="17"/>
      <w:bookmarkEnd w:id="17"/>
      <w:r w:rsidDel="00000000" w:rsidR="00000000" w:rsidRPr="00000000">
        <w:rPr>
          <w:b w:val="1"/>
          <w:bCs w:val="1"/>
          <w:color w:val="000000"/>
          <w:sz w:val="26"/>
          <w:szCs w:val="26"/>
          <w:rtl w:val="0"/>
        </w:rPr>
        <w:t xml:space="preserve">Financement selon le cycle de vie de la startup</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Idéation</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Pré-amorçage</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Amorçage</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Croissance</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Scale-up</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eading=h.2u1cngdd4si0" w:id="18"/>
      <w:bookmarkEnd w:id="18"/>
      <w:r w:rsidDel="00000000" w:rsidR="00000000" w:rsidRPr="00000000">
        <w:rPr>
          <w:b w:val="1"/>
          <w:bCs w:val="1"/>
          <w:sz w:val="34"/>
          <w:szCs w:val="34"/>
          <w:rtl w:val="0"/>
        </w:rPr>
        <w:t xml:space="preserve">Axe de veille 3</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heading=h.p9st527ixk4x" w:id="19"/>
      <w:bookmarkEnd w:id="19"/>
      <w:r w:rsidDel="00000000" w:rsidR="00000000" w:rsidRPr="00000000">
        <w:rPr>
          <w:b w:val="1"/>
          <w:bCs w:val="1"/>
          <w:color w:val="000000"/>
          <w:sz w:val="26"/>
          <w:szCs w:val="26"/>
          <w:rtl w:val="0"/>
        </w:rPr>
        <w:t xml:space="preserve">Dispositifs financiers du Startup Act</w:t>
      </w:r>
    </w:p>
    <w:p w:rsidR="00000000" w:rsidDel="00000000" w:rsidP="00000000" w:rsidRDefault="00000000" w:rsidRPr="00000000" w14:paraId="00000069">
      <w:pPr>
        <w:numPr>
          <w:ilvl w:val="0"/>
          <w:numId w:val="14"/>
        </w:numPr>
        <w:spacing w:after="0" w:afterAutospacing="0" w:before="240" w:lineRule="auto"/>
        <w:ind w:left="720" w:hanging="360"/>
      </w:pPr>
      <w:r w:rsidDel="00000000" w:rsidR="00000000" w:rsidRPr="00000000">
        <w:rPr>
          <w:rtl w:val="0"/>
        </w:rPr>
        <w:t xml:space="preserve">Startup Grant</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Compte en devises</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Obligations convertibles</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Avances en compte courant</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Fonds de garantie</w:t>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rtl w:val="0"/>
        </w:rPr>
        <w:t xml:space="preserve">Facilités réglementaires</w:t>
      </w:r>
    </w:p>
    <w:p w:rsidR="00000000" w:rsidDel="00000000" w:rsidP="00000000" w:rsidRDefault="00000000" w:rsidRPr="00000000" w14:paraId="0000006F">
      <w:pPr>
        <w:spacing w:after="240" w:before="240" w:lineRule="auto"/>
        <w:rPr/>
      </w:pPr>
      <w:r w:rsidDel="00000000" w:rsidR="00000000" w:rsidRPr="00000000">
        <w:rPr>
          <w:rtl w:val="0"/>
        </w:rPr>
        <w:t xml:space="preserve">Ces dispositifs figurent parmi les principaux avantages du Startup Act présentés dans les documents de référence.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eading=h.f0fg7u7iqbin" w:id="20"/>
      <w:bookmarkEnd w:id="20"/>
      <w:r w:rsidDel="00000000" w:rsidR="00000000" w:rsidRPr="00000000">
        <w:rPr>
          <w:b w:val="1"/>
          <w:bCs w:val="1"/>
          <w:sz w:val="34"/>
          <w:szCs w:val="34"/>
          <w:rtl w:val="0"/>
        </w:rPr>
        <w:t xml:space="preserve">Axe de veille 4</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heading=h.ojnd61t86vr" w:id="21"/>
      <w:bookmarkEnd w:id="21"/>
      <w:r w:rsidDel="00000000" w:rsidR="00000000" w:rsidRPr="00000000">
        <w:rPr>
          <w:b w:val="1"/>
          <w:bCs w:val="1"/>
          <w:color w:val="000000"/>
          <w:sz w:val="26"/>
          <w:szCs w:val="26"/>
          <w:rtl w:val="0"/>
        </w:rPr>
        <w:t xml:space="preserve">Incitations destinées aux investisseurs</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rtl w:val="0"/>
        </w:rPr>
        <w:t xml:space="preserve">Déduction fiscale</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Exonération des plus-values</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Fonds de garantie</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Attractivité fiscale</w:t>
      </w:r>
    </w:p>
    <w:p w:rsidR="00000000" w:rsidDel="00000000" w:rsidP="00000000" w:rsidRDefault="00000000" w:rsidRPr="00000000" w14:paraId="00000077">
      <w:pPr>
        <w:numPr>
          <w:ilvl w:val="0"/>
          <w:numId w:val="8"/>
        </w:numPr>
        <w:spacing w:after="240" w:before="0" w:beforeAutospacing="0" w:lineRule="auto"/>
        <w:ind w:left="720" w:hanging="360"/>
      </w:pPr>
      <w:r w:rsidDel="00000000" w:rsidR="00000000" w:rsidRPr="00000000">
        <w:rPr>
          <w:rtl w:val="0"/>
        </w:rPr>
        <w:t xml:space="preserve">Niveau d'utilisation</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heading=h.d7guj9ghvi62" w:id="22"/>
      <w:bookmarkEnd w:id="22"/>
      <w:r w:rsidDel="00000000" w:rsidR="00000000" w:rsidRPr="00000000">
        <w:rPr>
          <w:b w:val="1"/>
          <w:bCs w:val="1"/>
          <w:sz w:val="34"/>
          <w:szCs w:val="34"/>
          <w:rtl w:val="0"/>
        </w:rPr>
        <w:t xml:space="preserve">Axe de veille 5</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heading=h.gon5snxz3w" w:id="23"/>
      <w:bookmarkEnd w:id="23"/>
      <w:r w:rsidDel="00000000" w:rsidR="00000000" w:rsidRPr="00000000">
        <w:rPr>
          <w:b w:val="1"/>
          <w:bCs w:val="1"/>
          <w:color w:val="000000"/>
          <w:sz w:val="26"/>
          <w:szCs w:val="26"/>
          <w:rtl w:val="0"/>
        </w:rPr>
        <w:t xml:space="preserve">Accessibilité des financements</w:t>
      </w:r>
    </w:p>
    <w:p w:rsidR="00000000" w:rsidDel="00000000" w:rsidP="00000000" w:rsidRDefault="00000000" w:rsidRPr="00000000" w14:paraId="0000007B">
      <w:pPr>
        <w:spacing w:after="240" w:before="240" w:lineRule="auto"/>
        <w:rPr/>
      </w:pPr>
      <w:r w:rsidDel="00000000" w:rsidR="00000000" w:rsidRPr="00000000">
        <w:rPr>
          <w:rtl w:val="0"/>
        </w:rPr>
        <w:t xml:space="preserve">Questions :</w:t>
      </w:r>
    </w:p>
    <w:p w:rsidR="00000000" w:rsidDel="00000000" w:rsidP="00000000" w:rsidRDefault="00000000" w:rsidRPr="00000000" w14:paraId="0000007C">
      <w:pPr>
        <w:spacing w:after="240" w:before="240" w:lineRule="auto"/>
        <w:rPr/>
      </w:pPr>
      <w:r w:rsidDel="00000000" w:rsidR="00000000" w:rsidRPr="00000000">
        <w:rPr>
          <w:rtl w:val="0"/>
        </w:rPr>
        <w:t xml:space="preserve">Les startups trouvent-elles facilement un financement ?</w:t>
      </w:r>
    </w:p>
    <w:p w:rsidR="00000000" w:rsidDel="00000000" w:rsidP="00000000" w:rsidRDefault="00000000" w:rsidRPr="00000000" w14:paraId="0000007D">
      <w:pPr>
        <w:spacing w:after="240" w:before="240" w:lineRule="auto"/>
        <w:rPr/>
      </w:pPr>
      <w:r w:rsidDel="00000000" w:rsidR="00000000" w:rsidRPr="00000000">
        <w:rPr>
          <w:rtl w:val="0"/>
        </w:rPr>
        <w:t xml:space="preserve">Quels sont les principaux freins ?</w:t>
      </w:r>
    </w:p>
    <w:p w:rsidR="00000000" w:rsidDel="00000000" w:rsidP="00000000" w:rsidRDefault="00000000" w:rsidRPr="00000000" w14:paraId="0000007E">
      <w:pPr>
        <w:spacing w:after="240" w:before="240" w:lineRule="auto"/>
        <w:rPr/>
      </w:pPr>
      <w:r w:rsidDel="00000000" w:rsidR="00000000" w:rsidRPr="00000000">
        <w:rPr>
          <w:rtl w:val="0"/>
        </w:rPr>
        <w:t xml:space="preserve">Délais ?</w:t>
      </w:r>
    </w:p>
    <w:p w:rsidR="00000000" w:rsidDel="00000000" w:rsidP="00000000" w:rsidRDefault="00000000" w:rsidRPr="00000000" w14:paraId="0000007F">
      <w:pPr>
        <w:spacing w:after="240" w:before="240" w:lineRule="auto"/>
        <w:rPr/>
      </w:pPr>
      <w:r w:rsidDel="00000000" w:rsidR="00000000" w:rsidRPr="00000000">
        <w:rPr>
          <w:rtl w:val="0"/>
        </w:rPr>
        <w:t xml:space="preserve">Garanties ?</w:t>
      </w:r>
    </w:p>
    <w:p w:rsidR="00000000" w:rsidDel="00000000" w:rsidP="00000000" w:rsidRDefault="00000000" w:rsidRPr="00000000" w14:paraId="00000080">
      <w:pPr>
        <w:spacing w:after="240" w:before="240" w:lineRule="auto"/>
        <w:rPr/>
      </w:pPr>
      <w:r w:rsidDel="00000000" w:rsidR="00000000" w:rsidRPr="00000000">
        <w:rPr>
          <w:rtl w:val="0"/>
        </w:rPr>
        <w:t xml:space="preserve">Complexité ?</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eading=h.gk81sla2ws0h" w:id="24"/>
      <w:bookmarkEnd w:id="24"/>
      <w:r w:rsidDel="00000000" w:rsidR="00000000" w:rsidRPr="00000000">
        <w:rPr>
          <w:b w:val="1"/>
          <w:bCs w:val="1"/>
          <w:sz w:val="34"/>
          <w:szCs w:val="34"/>
          <w:rtl w:val="0"/>
        </w:rPr>
        <w:t xml:space="preserve">Axe de veille 6</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eading=h.o10v2vqilr0c" w:id="25"/>
      <w:bookmarkEnd w:id="25"/>
      <w:r w:rsidDel="00000000" w:rsidR="00000000" w:rsidRPr="00000000">
        <w:rPr>
          <w:b w:val="1"/>
          <w:bCs w:val="1"/>
          <w:color w:val="000000"/>
          <w:sz w:val="26"/>
          <w:szCs w:val="26"/>
          <w:rtl w:val="0"/>
        </w:rPr>
        <w:t xml:space="preserve">Performance des dispositifs financiers</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rtl w:val="0"/>
        </w:rPr>
        <w:t xml:space="preserve">efficacité du Startup Grant</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efficacité du Startup Invest</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efficacité des fonds publics</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satisfaction</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taux d'utilisation</w:t>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rtl w:val="0"/>
        </w:rPr>
        <w:t xml:space="preserve">résultats obtenus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heading=h.4res6f61l4q8" w:id="26"/>
      <w:bookmarkEnd w:id="26"/>
      <w:r w:rsidDel="00000000" w:rsidR="00000000" w:rsidRPr="00000000">
        <w:rPr>
          <w:b w:val="1"/>
          <w:bCs w:val="1"/>
          <w:sz w:val="34"/>
          <w:szCs w:val="34"/>
          <w:rtl w:val="0"/>
        </w:rPr>
        <w:t xml:space="preserve">Axe de veille 7</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eading=h.jfn196sjv8mk" w:id="27"/>
      <w:bookmarkEnd w:id="27"/>
      <w:r w:rsidDel="00000000" w:rsidR="00000000" w:rsidRPr="00000000">
        <w:rPr>
          <w:b w:val="1"/>
          <w:bCs w:val="1"/>
          <w:color w:val="000000"/>
          <w:sz w:val="26"/>
          <w:szCs w:val="26"/>
          <w:rtl w:val="0"/>
        </w:rPr>
        <w:t xml:space="preserve">Benchmark international</w:t>
      </w:r>
    </w:p>
    <w:p w:rsidR="00000000" w:rsidDel="00000000" w:rsidP="00000000" w:rsidRDefault="00000000" w:rsidRPr="00000000" w14:paraId="0000008D">
      <w:pPr>
        <w:spacing w:after="240" w:before="240" w:lineRule="auto"/>
        <w:rPr/>
      </w:pPr>
      <w:r w:rsidDel="00000000" w:rsidR="00000000" w:rsidRPr="00000000">
        <w:rPr>
          <w:rtl w:val="0"/>
        </w:rPr>
        <w:t xml:space="preserve">Comparer la Tunisie avec :</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France</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Estonie</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Portugal</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Maroc</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Rwanda</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Sénégal</w:t>
      </w:r>
    </w:p>
    <w:p w:rsidR="00000000" w:rsidDel="00000000" w:rsidP="00000000" w:rsidRDefault="00000000" w:rsidRPr="00000000" w14:paraId="00000094">
      <w:pPr>
        <w:numPr>
          <w:ilvl w:val="0"/>
          <w:numId w:val="11"/>
        </w:numPr>
        <w:spacing w:after="240" w:before="0" w:beforeAutospacing="0" w:lineRule="auto"/>
        <w:ind w:left="720" w:hanging="360"/>
      </w:pPr>
      <w:r w:rsidDel="00000000" w:rsidR="00000000" w:rsidRPr="00000000">
        <w:rPr>
          <w:rtl w:val="0"/>
        </w:rPr>
        <w:t xml:space="preserve">Côte d'Ivoire</w:t>
      </w:r>
    </w:p>
    <w:p w:rsidR="00000000" w:rsidDel="00000000" w:rsidP="00000000" w:rsidRDefault="00000000" w:rsidRPr="00000000" w14:paraId="00000095">
      <w:pPr>
        <w:rPr/>
      </w:pPr>
      <w:r w:rsidDel="00000000" w:rsidR="00000000" w:rsidRPr="00000000">
        <w:rPr>
          <w:rtl w:val="0"/>
        </w:rPr>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Axe ou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Outils</w:t>
            </w:r>
          </w:p>
        </w:tc>
      </w:tr>
      <w:tr>
        <w:trPr>
          <w:cantSplit w:val="0"/>
          <w:trHeight w:val="420" w:hRule="atLeast"/>
          <w:tblHeader w:val="0"/>
        </w:trPr>
        <w:tc>
          <w:tcPr>
            <w:gridSpan w:val="7"/>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Voir </w:t>
            </w:r>
            <w:hyperlink r:id="rId7">
              <w:r w:rsidDel="00000000" w:rsidR="00000000" w:rsidRPr="00000000">
                <w:rPr>
                  <w:color w:val="0000ee"/>
                  <w:u w:val="single"/>
                  <w:rtl w:val="0"/>
                </w:rPr>
                <w:t xml:space="preserve">Plan de veille_ AE3- Financement des startups.xlsx</w:t>
              </w:r>
            </w:hyperlink>
            <w:r w:rsidDel="00000000" w:rsidR="00000000" w:rsidRPr="00000000">
              <w:rPr>
                <w:rtl w:val="0"/>
              </w:rPr>
            </w:r>
          </w:p>
        </w:tc>
      </w:tr>
      <w:tr>
        <w:trPr>
          <w:cantSplit w:val="0"/>
          <w:trHeight w:val="420" w:hRule="atLeast"/>
          <w:tblHeader w:val="0"/>
        </w:trPr>
        <w:tc>
          <w:tcPr>
            <w:gridSpan w:val="7"/>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left="0" w:firstLine="0"/>
              <w:rPr/>
            </w:pPr>
            <w:r w:rsidDel="00000000" w:rsidR="00000000" w:rsidRPr="00000000">
              <w:rPr>
                <w:rtl w:val="0"/>
              </w:rPr>
            </w:r>
          </w:p>
        </w:tc>
      </w:tr>
      <w:tr>
        <w:trPr>
          <w:cantSplit w:val="0"/>
          <w:trHeight w:val="420" w:hRule="atLeast"/>
          <w:tblHeader w:val="0"/>
        </w:trPr>
        <w:tc>
          <w:tcPr>
            <w:gridSpan w:val="7"/>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left="0" w:firstLine="0"/>
              <w:rPr/>
            </w:pPr>
            <w:r w:rsidDel="00000000" w:rsidR="00000000" w:rsidRPr="00000000">
              <w:rPr>
                <w:rtl w:val="0"/>
              </w:rPr>
            </w:r>
          </w:p>
        </w:tc>
      </w:tr>
      <w:tr>
        <w:trPr>
          <w:cantSplit w:val="0"/>
          <w:tblHeader w:val="0"/>
        </w:trPr>
        <w:tc>
          <w:tcPr>
            <w:gridSpan w:val="7"/>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B9">
      <w:pPr>
        <w:spacing w:after="240" w:before="240" w:lineRule="auto"/>
        <w:rPr/>
      </w:pPr>
      <w:r w:rsidDel="00000000" w:rsidR="00000000" w:rsidRPr="00000000">
        <w:rPr>
          <w:rtl w:val="0"/>
        </w:rPr>
        <w:t xml:space="preserve">☐ Toutes les questions répondent à la problématique</w:t>
      </w:r>
    </w:p>
    <w:p w:rsidR="00000000" w:rsidDel="00000000" w:rsidP="00000000" w:rsidRDefault="00000000" w:rsidRPr="00000000" w14:paraId="000000BA">
      <w:pPr>
        <w:spacing w:after="240" w:before="240" w:lineRule="auto"/>
        <w:rPr/>
      </w:pPr>
      <w:r w:rsidDel="00000000" w:rsidR="00000000" w:rsidRPr="00000000">
        <w:rPr>
          <w:rtl w:val="0"/>
        </w:rPr>
        <w:t xml:space="preserve">☐ Les sources sont identifiées</w:t>
      </w:r>
    </w:p>
    <w:p w:rsidR="00000000" w:rsidDel="00000000" w:rsidP="00000000" w:rsidRDefault="00000000" w:rsidRPr="00000000" w14:paraId="000000BB">
      <w:pPr>
        <w:spacing w:after="240" w:before="240" w:lineRule="auto"/>
        <w:rPr/>
      </w:pPr>
      <w:r w:rsidDel="00000000" w:rsidR="00000000" w:rsidRPr="00000000">
        <w:rPr>
          <w:rtl w:val="0"/>
        </w:rPr>
        <w:t xml:space="preserve">☐ Les méthodes sont adaptées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heading=h.wuxmtkuggtlp" w:id="28"/>
      <w:bookmarkEnd w:id="28"/>
      <w:r w:rsidDel="00000000" w:rsidR="00000000" w:rsidRPr="00000000">
        <w:rPr>
          <w:b w:val="1"/>
          <w:bCs w:val="1"/>
          <w:sz w:val="46"/>
          <w:szCs w:val="46"/>
          <w:rtl w:val="0"/>
        </w:rPr>
        <w:t xml:space="preserve">7. Organisation de la veille</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eading=h.sg7wmgxzjgzh" w:id="29"/>
      <w:bookmarkEnd w:id="29"/>
      <w:r w:rsidDel="00000000" w:rsidR="00000000" w:rsidRPr="00000000">
        <w:rPr>
          <w:b w:val="1"/>
          <w:bCs w:val="1"/>
          <w:sz w:val="34"/>
          <w:szCs w:val="34"/>
          <w:rtl w:val="0"/>
        </w:rPr>
        <w:t xml:space="preserve">Sources prioritaires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heading=h.hahl9h7eu6w6" w:id="30"/>
      <w:bookmarkEnd w:id="30"/>
      <w:r w:rsidDel="00000000" w:rsidR="00000000" w:rsidRPr="00000000">
        <w:rPr>
          <w:b w:val="1"/>
          <w:bCs w:val="1"/>
          <w:color w:val="000000"/>
          <w:sz w:val="26"/>
          <w:szCs w:val="26"/>
          <w:rtl w:val="0"/>
        </w:rPr>
        <w:t xml:space="preserve">Institutionnelles</w:t>
      </w:r>
    </w:p>
    <w:p w:rsidR="00000000" w:rsidDel="00000000" w:rsidP="00000000" w:rsidRDefault="00000000" w:rsidRPr="00000000" w14:paraId="000000C0">
      <w:pPr>
        <w:numPr>
          <w:ilvl w:val="0"/>
          <w:numId w:val="12"/>
        </w:numPr>
        <w:spacing w:after="0" w:afterAutospacing="0" w:before="240" w:lineRule="auto"/>
        <w:ind w:left="720" w:hanging="360"/>
      </w:pPr>
      <w:r w:rsidDel="00000000" w:rsidR="00000000" w:rsidRPr="00000000">
        <w:rPr>
          <w:rtl w:val="0"/>
        </w:rPr>
        <w:t xml:space="preserve">Smart Capital</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rtl w:val="0"/>
        </w:rPr>
        <w:t xml:space="preserve">Startup Tunisia</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rtl w:val="0"/>
        </w:rPr>
        <w:t xml:space="preserve">Ministère des Technologies</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rtl w:val="0"/>
        </w:rPr>
        <w:t xml:space="preserve">Banque Centrale</w:t>
      </w:r>
    </w:p>
    <w:p w:rsidR="00000000" w:rsidDel="00000000" w:rsidP="00000000" w:rsidRDefault="00000000" w:rsidRPr="00000000" w14:paraId="000000C4">
      <w:pPr>
        <w:numPr>
          <w:ilvl w:val="0"/>
          <w:numId w:val="12"/>
        </w:numPr>
        <w:spacing w:after="240" w:before="0" w:beforeAutospacing="0" w:lineRule="auto"/>
        <w:ind w:left="720" w:hanging="360"/>
      </w:pPr>
      <w:r w:rsidDel="00000000" w:rsidR="00000000" w:rsidRPr="00000000">
        <w:rPr>
          <w:rtl w:val="0"/>
        </w:rPr>
        <w:t xml:space="preserve">Ministère des Finances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heading=h.krug0vkv604n" w:id="31"/>
      <w:bookmarkEnd w:id="31"/>
      <w:r w:rsidDel="00000000" w:rsidR="00000000" w:rsidRPr="00000000">
        <w:rPr>
          <w:b w:val="1"/>
          <w:bCs w:val="1"/>
          <w:color w:val="000000"/>
          <w:sz w:val="26"/>
          <w:szCs w:val="26"/>
          <w:rtl w:val="0"/>
        </w:rPr>
        <w:t xml:space="preserve">Sources financières</w:t>
      </w:r>
    </w:p>
    <w:p w:rsidR="00000000" w:rsidDel="00000000" w:rsidP="00000000" w:rsidRDefault="00000000" w:rsidRPr="00000000" w14:paraId="000000C6">
      <w:pPr>
        <w:numPr>
          <w:ilvl w:val="0"/>
          <w:numId w:val="10"/>
        </w:numPr>
        <w:spacing w:after="0" w:afterAutospacing="0" w:before="240" w:lineRule="auto"/>
        <w:ind w:left="720" w:hanging="360"/>
      </w:pPr>
      <w:r w:rsidDel="00000000" w:rsidR="00000000" w:rsidRPr="00000000">
        <w:rPr>
          <w:rtl w:val="0"/>
        </w:rPr>
        <w:t xml:space="preserve">Fonds VC</w:t>
      </w:r>
    </w:p>
    <w:p w:rsidR="00000000" w:rsidDel="00000000" w:rsidP="00000000" w:rsidRDefault="00000000" w:rsidRPr="00000000" w14:paraId="000000C7">
      <w:pPr>
        <w:numPr>
          <w:ilvl w:val="0"/>
          <w:numId w:val="10"/>
        </w:numPr>
        <w:spacing w:after="0" w:afterAutospacing="0" w:before="0" w:beforeAutospacing="0" w:lineRule="auto"/>
        <w:ind w:left="720" w:hanging="360"/>
      </w:pPr>
      <w:r w:rsidDel="00000000" w:rsidR="00000000" w:rsidRPr="00000000">
        <w:rPr>
          <w:rtl w:val="0"/>
        </w:rPr>
        <w:t xml:space="preserve">Business Angels</w:t>
      </w:r>
    </w:p>
    <w:p w:rsidR="00000000" w:rsidDel="00000000" w:rsidP="00000000" w:rsidRDefault="00000000" w:rsidRPr="00000000" w14:paraId="000000C8">
      <w:pPr>
        <w:numPr>
          <w:ilvl w:val="0"/>
          <w:numId w:val="10"/>
        </w:numPr>
        <w:spacing w:after="0" w:afterAutospacing="0" w:before="0" w:beforeAutospacing="0" w:lineRule="auto"/>
        <w:ind w:left="720" w:hanging="360"/>
      </w:pPr>
      <w:r w:rsidDel="00000000" w:rsidR="00000000" w:rsidRPr="00000000">
        <w:rPr>
          <w:rtl w:val="0"/>
        </w:rPr>
        <w:t xml:space="preserve">SICAR</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rtl w:val="0"/>
        </w:rPr>
        <w:t xml:space="preserve">Banques</w:t>
      </w:r>
    </w:p>
    <w:p w:rsidR="00000000" w:rsidDel="00000000" w:rsidP="00000000" w:rsidRDefault="00000000" w:rsidRPr="00000000" w14:paraId="000000CA">
      <w:pPr>
        <w:numPr>
          <w:ilvl w:val="0"/>
          <w:numId w:val="10"/>
        </w:numPr>
        <w:spacing w:after="240" w:before="0" w:beforeAutospacing="0" w:lineRule="auto"/>
        <w:ind w:left="720" w:hanging="360"/>
      </w:pPr>
      <w:r w:rsidDel="00000000" w:rsidR="00000000" w:rsidRPr="00000000">
        <w:rPr>
          <w:rtl w:val="0"/>
        </w:rPr>
        <w:t xml:space="preserve">CDC</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eading=h.mwx7z59jtgfw" w:id="32"/>
      <w:bookmarkEnd w:id="32"/>
      <w:r w:rsidDel="00000000" w:rsidR="00000000" w:rsidRPr="00000000">
        <w:rPr>
          <w:b w:val="1"/>
          <w:bCs w:val="1"/>
          <w:color w:val="000000"/>
          <w:sz w:val="26"/>
          <w:szCs w:val="26"/>
          <w:rtl w:val="0"/>
        </w:rPr>
        <w:t xml:space="preserve">Sources humaines</w:t>
      </w:r>
    </w:p>
    <w:p w:rsidR="00000000" w:rsidDel="00000000" w:rsidP="00000000" w:rsidRDefault="00000000" w:rsidRPr="00000000" w14:paraId="000000CC">
      <w:pPr>
        <w:numPr>
          <w:ilvl w:val="0"/>
          <w:numId w:val="13"/>
        </w:numPr>
        <w:spacing w:after="0" w:afterAutospacing="0" w:before="240" w:lineRule="auto"/>
        <w:ind w:left="720" w:hanging="360"/>
      </w:pPr>
      <w:r w:rsidDel="00000000" w:rsidR="00000000" w:rsidRPr="00000000">
        <w:rPr>
          <w:rtl w:val="0"/>
        </w:rPr>
        <w:t xml:space="preserve">Startups</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tl w:val="0"/>
        </w:rPr>
        <w:t xml:space="preserve">Investisseurs</w:t>
      </w:r>
    </w:p>
    <w:p w:rsidR="00000000" w:rsidDel="00000000" w:rsidP="00000000" w:rsidRDefault="00000000" w:rsidRPr="00000000" w14:paraId="000000CE">
      <w:pPr>
        <w:numPr>
          <w:ilvl w:val="0"/>
          <w:numId w:val="13"/>
        </w:numPr>
        <w:spacing w:after="0" w:afterAutospacing="0" w:before="0" w:beforeAutospacing="0" w:lineRule="auto"/>
        <w:ind w:left="720" w:hanging="360"/>
      </w:pPr>
      <w:r w:rsidDel="00000000" w:rsidR="00000000" w:rsidRPr="00000000">
        <w:rPr>
          <w:rtl w:val="0"/>
        </w:rPr>
        <w:t xml:space="preserve">Fonds</w:t>
      </w:r>
    </w:p>
    <w:p w:rsidR="00000000" w:rsidDel="00000000" w:rsidP="00000000" w:rsidRDefault="00000000" w:rsidRPr="00000000" w14:paraId="000000CF">
      <w:pPr>
        <w:numPr>
          <w:ilvl w:val="0"/>
          <w:numId w:val="13"/>
        </w:numPr>
        <w:spacing w:after="240" w:before="0" w:beforeAutospacing="0" w:lineRule="auto"/>
        <w:ind w:left="720" w:hanging="360"/>
      </w:pPr>
      <w:r w:rsidDel="00000000" w:rsidR="00000000" w:rsidRPr="00000000">
        <w:rPr>
          <w:rtl w:val="0"/>
        </w:rPr>
        <w:t xml:space="preserve">Experts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heading=h.f874aoxd787c" w:id="33"/>
      <w:bookmarkEnd w:id="33"/>
      <w:r w:rsidDel="00000000" w:rsidR="00000000" w:rsidRPr="00000000">
        <w:rPr>
          <w:b w:val="1"/>
          <w:bCs w:val="1"/>
          <w:color w:val="000000"/>
          <w:sz w:val="26"/>
          <w:szCs w:val="26"/>
          <w:rtl w:val="0"/>
        </w:rPr>
        <w:t xml:space="preserve">Sources scientifiques</w:t>
      </w:r>
    </w:p>
    <w:p w:rsidR="00000000" w:rsidDel="00000000" w:rsidP="00000000" w:rsidRDefault="00000000" w:rsidRPr="00000000" w14:paraId="000000D1">
      <w:pPr>
        <w:numPr>
          <w:ilvl w:val="0"/>
          <w:numId w:val="1"/>
        </w:numPr>
        <w:spacing w:after="0" w:afterAutospacing="0" w:before="240" w:lineRule="auto"/>
        <w:ind w:left="720" w:hanging="360"/>
      </w:pPr>
      <w:r w:rsidDel="00000000" w:rsidR="00000000" w:rsidRPr="00000000">
        <w:rPr>
          <w:rtl w:val="0"/>
        </w:rPr>
        <w:t xml:space="preserve">Banque Mondiale</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OCDE</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BAD</w:t>
      </w:r>
    </w:p>
    <w:p w:rsidR="00000000" w:rsidDel="00000000" w:rsidP="00000000" w:rsidRDefault="00000000" w:rsidRPr="00000000" w14:paraId="000000D4">
      <w:pPr>
        <w:numPr>
          <w:ilvl w:val="0"/>
          <w:numId w:val="1"/>
        </w:numPr>
        <w:spacing w:after="240" w:before="0" w:beforeAutospacing="0" w:lineRule="auto"/>
        <w:ind w:left="720" w:hanging="360"/>
      </w:pPr>
      <w:r w:rsidDel="00000000" w:rsidR="00000000" w:rsidRPr="00000000">
        <w:rPr>
          <w:rtl w:val="0"/>
        </w:rPr>
        <w:t xml:space="preserve">Articles scientifiques</w:t>
      </w:r>
    </w:p>
    <w:p w:rsidR="00000000" w:rsidDel="00000000" w:rsidP="00000000" w:rsidRDefault="00000000" w:rsidRPr="00000000" w14:paraId="000000D5">
      <w:pPr>
        <w:rPr/>
      </w:pPr>
      <w:r w:rsidDel="00000000" w:rsidR="00000000" w:rsidRPr="00000000">
        <w:rPr>
          <w:rtl w:val="0"/>
        </w:rPr>
      </w:r>
    </w:p>
    <w:tbl>
      <w:tblPr>
        <w:tblStyle w:val="Table4"/>
        <w:tblW w:w="902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b w:val="1"/>
                <w:bCs w:val="1"/>
                <w:rtl w:val="0"/>
              </w:rPr>
              <w:t xml:space="preserve">Pourquoi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Priorité 5-&gt;1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r>
    </w:tbl>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heading=h.ms4ldwt0v5db" w:id="34"/>
      <w:bookmarkEnd w:id="34"/>
      <w:r w:rsidDel="00000000" w:rsidR="00000000" w:rsidRPr="00000000">
        <w:rPr>
          <w:b w:val="1"/>
          <w:bCs w:val="1"/>
          <w:sz w:val="34"/>
          <w:szCs w:val="34"/>
          <w:rtl w:val="0"/>
        </w:rPr>
        <w:t xml:space="preserve">Outils</w:t>
      </w:r>
    </w:p>
    <w:p w:rsidR="00000000" w:rsidDel="00000000" w:rsidP="00000000" w:rsidRDefault="00000000" w:rsidRPr="00000000" w14:paraId="000000E4">
      <w:pPr>
        <w:spacing w:after="240" w:before="240" w:lineRule="auto"/>
        <w:rPr/>
      </w:pPr>
      <w:r w:rsidDel="00000000" w:rsidR="00000000" w:rsidRPr="00000000">
        <w:rPr>
          <w:rtl w:val="0"/>
        </w:rPr>
        <w:t xml:space="preserve">Quels outils seront utilisés ?</w:t>
      </w:r>
    </w:p>
    <w:p w:rsidR="00000000" w:rsidDel="00000000" w:rsidP="00000000" w:rsidRDefault="00000000" w:rsidRPr="00000000" w14:paraId="000000E5">
      <w:pPr>
        <w:spacing w:after="240" w:before="240" w:lineRule="auto"/>
        <w:rPr/>
      </w:pPr>
      <w:r w:rsidDel="00000000" w:rsidR="00000000" w:rsidRPr="00000000">
        <w:rPr>
          <w:rtl w:val="0"/>
        </w:rPr>
        <w:t xml:space="preserve">☐ Recherche documentaire</w:t>
      </w:r>
    </w:p>
    <w:p w:rsidR="00000000" w:rsidDel="00000000" w:rsidP="00000000" w:rsidRDefault="00000000" w:rsidRPr="00000000" w14:paraId="000000E6">
      <w:pPr>
        <w:spacing w:after="240" w:before="240" w:lineRule="auto"/>
        <w:rPr/>
      </w:pPr>
      <w:r w:rsidDel="00000000" w:rsidR="00000000" w:rsidRPr="00000000">
        <w:rPr>
          <w:rtl w:val="0"/>
        </w:rPr>
        <w:t xml:space="preserve">☐ Google Scholar</w:t>
      </w:r>
    </w:p>
    <w:p w:rsidR="00000000" w:rsidDel="00000000" w:rsidP="00000000" w:rsidRDefault="00000000" w:rsidRPr="00000000" w14:paraId="000000E7">
      <w:pPr>
        <w:spacing w:after="240" w:before="240" w:lineRule="auto"/>
        <w:rPr/>
      </w:pPr>
      <w:r w:rsidDel="00000000" w:rsidR="00000000" w:rsidRPr="00000000">
        <w:rPr>
          <w:rtl w:val="0"/>
        </w:rPr>
        <w:t xml:space="preserve">☐ Base réglementaire</w:t>
      </w:r>
    </w:p>
    <w:p w:rsidR="00000000" w:rsidDel="00000000" w:rsidP="00000000" w:rsidRDefault="00000000" w:rsidRPr="00000000" w14:paraId="000000E8">
      <w:pPr>
        <w:spacing w:after="240" w:before="240" w:lineRule="auto"/>
        <w:rPr/>
      </w:pPr>
      <w:r w:rsidDel="00000000" w:rsidR="00000000" w:rsidRPr="00000000">
        <w:rPr>
          <w:rtl w:val="0"/>
        </w:rPr>
        <w:t xml:space="preserve">☐ Questionnaire</w:t>
      </w:r>
    </w:p>
    <w:p w:rsidR="00000000" w:rsidDel="00000000" w:rsidP="00000000" w:rsidRDefault="00000000" w:rsidRPr="00000000" w14:paraId="000000E9">
      <w:pPr>
        <w:spacing w:after="240" w:before="240" w:lineRule="auto"/>
        <w:rPr/>
      </w:pPr>
      <w:r w:rsidDel="00000000" w:rsidR="00000000" w:rsidRPr="00000000">
        <w:rPr>
          <w:rtl w:val="0"/>
        </w:rPr>
        <w:t xml:space="preserve">☐ Entretiens</w:t>
      </w:r>
    </w:p>
    <w:p w:rsidR="00000000" w:rsidDel="00000000" w:rsidP="00000000" w:rsidRDefault="00000000" w:rsidRPr="00000000" w14:paraId="000000EA">
      <w:pPr>
        <w:spacing w:after="240" w:before="240" w:lineRule="auto"/>
        <w:rPr/>
      </w:pPr>
      <w:r w:rsidDel="00000000" w:rsidR="00000000" w:rsidRPr="00000000">
        <w:rPr>
          <w:rtl w:val="0"/>
        </w:rPr>
        <w:t xml:space="preserve">☐ Benchmark</w:t>
      </w:r>
    </w:p>
    <w:p w:rsidR="00000000" w:rsidDel="00000000" w:rsidP="00000000" w:rsidRDefault="00000000" w:rsidRPr="00000000" w14:paraId="000000EB">
      <w:pPr>
        <w:spacing w:after="240" w:before="240" w:lineRule="auto"/>
        <w:rPr/>
      </w:pPr>
      <w:r w:rsidDel="00000000" w:rsidR="00000000" w:rsidRPr="00000000">
        <w:rPr>
          <w:rtl w:val="0"/>
        </w:rPr>
        <w:t xml:space="preserve">☐ Tableau Excel</w:t>
      </w:r>
    </w:p>
    <w:p w:rsidR="00000000" w:rsidDel="00000000" w:rsidP="00000000" w:rsidRDefault="00000000" w:rsidRPr="00000000" w14:paraId="000000EC">
      <w:pPr>
        <w:spacing w:after="240" w:before="240" w:lineRule="auto"/>
        <w:rPr/>
      </w:pPr>
      <w:r w:rsidDel="00000000" w:rsidR="00000000" w:rsidRPr="00000000">
        <w:rPr>
          <w:rtl w:val="0"/>
        </w:rPr>
        <w:t xml:space="preserve">☐ Autres :</w:t>
      </w:r>
    </w:p>
    <w:p w:rsidR="00000000" w:rsidDel="00000000" w:rsidP="00000000" w:rsidRDefault="00000000" w:rsidRPr="00000000" w14:paraId="000000ED">
      <w:pPr>
        <w:spacing w:after="240" w:before="240" w:lineRule="auto"/>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heading=h.ilj9mm4sjnhn" w:id="35"/>
      <w:bookmarkEnd w:id="35"/>
      <w:r w:rsidDel="00000000" w:rsidR="00000000" w:rsidRPr="00000000">
        <w:rPr>
          <w:b w:val="1"/>
          <w:bCs w:val="1"/>
          <w:sz w:val="46"/>
          <w:szCs w:val="46"/>
          <w:rtl w:val="0"/>
        </w:rPr>
        <w:t xml:space="preserve">8. Livrables attendus</w:t>
      </w:r>
    </w:p>
    <w:p w:rsidR="00000000" w:rsidDel="00000000" w:rsidP="00000000" w:rsidRDefault="00000000" w:rsidRPr="00000000" w14:paraId="000000F0">
      <w:pPr>
        <w:rPr/>
      </w:pPr>
      <w:r w:rsidDel="00000000" w:rsidR="00000000" w:rsidRPr="00000000">
        <w:rPr>
          <w:rtl w:val="0"/>
        </w:rPr>
        <w:t xml:space="preserve">Cartographie des mécanismes de financement</w:t>
      </w:r>
    </w:p>
    <w:p w:rsidR="00000000" w:rsidDel="00000000" w:rsidP="00000000" w:rsidRDefault="00000000" w:rsidRPr="00000000" w14:paraId="000000F1">
      <w:pPr>
        <w:rPr/>
      </w:pPr>
      <w:r w:rsidDel="00000000" w:rsidR="00000000" w:rsidRPr="00000000">
        <w:rPr>
          <w:rtl w:val="0"/>
        </w:rPr>
        <w:t xml:space="preserve">Tableau comparatif des dispositifs</w:t>
      </w:r>
    </w:p>
    <w:p w:rsidR="00000000" w:rsidDel="00000000" w:rsidP="00000000" w:rsidRDefault="00000000" w:rsidRPr="00000000" w14:paraId="000000F2">
      <w:pPr>
        <w:rPr/>
      </w:pPr>
      <w:r w:rsidDel="00000000" w:rsidR="00000000" w:rsidRPr="00000000">
        <w:rPr>
          <w:rtl w:val="0"/>
        </w:rPr>
        <w:t xml:space="preserve">Analyse des avantages du Startup Act</w:t>
      </w:r>
    </w:p>
    <w:p w:rsidR="00000000" w:rsidDel="00000000" w:rsidP="00000000" w:rsidRDefault="00000000" w:rsidRPr="00000000" w14:paraId="000000F3">
      <w:pPr>
        <w:rPr/>
      </w:pPr>
      <w:r w:rsidDel="00000000" w:rsidR="00000000" w:rsidRPr="00000000">
        <w:rPr>
          <w:rtl w:val="0"/>
        </w:rPr>
        <w:t xml:space="preserve">Diagnostic des freins</w:t>
      </w:r>
    </w:p>
    <w:p w:rsidR="00000000" w:rsidDel="00000000" w:rsidP="00000000" w:rsidRDefault="00000000" w:rsidRPr="00000000" w14:paraId="000000F4">
      <w:pPr>
        <w:rPr/>
      </w:pPr>
      <w:r w:rsidDel="00000000" w:rsidR="00000000" w:rsidRPr="00000000">
        <w:rPr>
          <w:rtl w:val="0"/>
        </w:rPr>
        <w:t xml:space="preserve">Benchmark international</w:t>
      </w:r>
    </w:p>
    <w:p w:rsidR="00000000" w:rsidDel="00000000" w:rsidP="00000000" w:rsidRDefault="00000000" w:rsidRPr="00000000" w14:paraId="000000F5">
      <w:pPr>
        <w:rPr/>
      </w:pPr>
      <w:r w:rsidDel="00000000" w:rsidR="00000000" w:rsidRPr="00000000">
        <w:rPr>
          <w:rtl w:val="0"/>
        </w:rPr>
        <w:t xml:space="preserve">Recommandations stratégiques</w:t>
      </w:r>
    </w:p>
    <w:p w:rsidR="00000000" w:rsidDel="00000000" w:rsidP="00000000" w:rsidRDefault="00000000" w:rsidRPr="00000000" w14:paraId="000000F6">
      <w:pPr>
        <w:rPr/>
      </w:pPr>
      <w:r w:rsidDel="00000000" w:rsidR="00000000" w:rsidRPr="00000000">
        <w:rPr>
          <w:rtl w:val="0"/>
        </w:rPr>
      </w:r>
    </w:p>
    <w:tbl>
      <w:tblPr>
        <w:tblStyle w:val="Table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Livrable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Format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Charte du Cadrage de veille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Google Doc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Plan de veille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Google Sheet</w:t>
            </w:r>
          </w:p>
        </w:tc>
      </w:tr>
    </w:tbl>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heading=h.1022061xc9ek" w:id="36"/>
      <w:bookmarkEnd w:id="36"/>
      <w:r w:rsidDel="00000000" w:rsidR="00000000" w:rsidRPr="00000000">
        <w:rPr>
          <w:b w:val="1"/>
          <w:bCs w:val="1"/>
          <w:sz w:val="46"/>
          <w:szCs w:val="46"/>
          <w:rtl w:val="0"/>
        </w:rPr>
        <w:t xml:space="preserve">9. Risques</w:t>
      </w:r>
    </w:p>
    <w:tbl>
      <w:tblPr>
        <w:tblStyle w:val="Table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Risque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Solution prévue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heading=h.ocy73fnwuca4" w:id="37"/>
      <w:bookmarkEnd w:id="37"/>
      <w:r w:rsidDel="00000000" w:rsidR="00000000" w:rsidRPr="00000000">
        <w:rPr>
          <w:b w:val="1"/>
          <w:bCs w:val="1"/>
          <w:sz w:val="46"/>
          <w:szCs w:val="46"/>
          <w:rtl w:val="0"/>
        </w:rPr>
        <w:t xml:space="preserve">10. Validation Qualité</w:t>
      </w:r>
    </w:p>
    <w:p w:rsidR="00000000" w:rsidDel="00000000" w:rsidP="00000000" w:rsidRDefault="00000000" w:rsidRPr="00000000" w14:paraId="00000109">
      <w:pPr>
        <w:spacing w:after="240" w:before="240" w:lineRule="auto"/>
        <w:rPr/>
      </w:pPr>
      <w:r w:rsidDel="00000000" w:rsidR="00000000" w:rsidRPr="00000000">
        <w:rPr>
          <w:rtl w:val="0"/>
        </w:rPr>
        <w:t xml:space="preserve">Avant de commencer la collecte, vérifier que :</w:t>
      </w:r>
    </w:p>
    <w:p w:rsidR="00000000" w:rsidDel="00000000" w:rsidP="00000000" w:rsidRDefault="00000000" w:rsidRPr="00000000" w14:paraId="0000010A">
      <w:pPr>
        <w:spacing w:after="240" w:before="240" w:lineRule="auto"/>
        <w:rPr/>
      </w:pPr>
      <w:r w:rsidDel="00000000" w:rsidR="00000000" w:rsidRPr="00000000">
        <w:rPr>
          <w:rtl w:val="0"/>
        </w:rPr>
        <w:t xml:space="preserve">☐ Le contexte est clair.</w:t>
      </w:r>
    </w:p>
    <w:p w:rsidR="00000000" w:rsidDel="00000000" w:rsidP="00000000" w:rsidRDefault="00000000" w:rsidRPr="00000000" w14:paraId="0000010B">
      <w:pPr>
        <w:spacing w:after="240" w:before="240" w:lineRule="auto"/>
        <w:rPr/>
      </w:pPr>
      <w:r w:rsidDel="00000000" w:rsidR="00000000" w:rsidRPr="00000000">
        <w:rPr>
          <w:rtl w:val="0"/>
        </w:rPr>
        <w:t xml:space="preserve">☐ Le besoin décisionnel est identifié.</w:t>
      </w:r>
    </w:p>
    <w:p w:rsidR="00000000" w:rsidDel="00000000" w:rsidP="00000000" w:rsidRDefault="00000000" w:rsidRPr="00000000" w14:paraId="0000010C">
      <w:pPr>
        <w:spacing w:after="240" w:before="240" w:lineRule="auto"/>
        <w:rPr/>
      </w:pPr>
      <w:r w:rsidDel="00000000" w:rsidR="00000000" w:rsidRPr="00000000">
        <w:rPr>
          <w:rtl w:val="0"/>
        </w:rPr>
        <w:t xml:space="preserve">☐ La problématique est stratégique.</w:t>
      </w:r>
    </w:p>
    <w:p w:rsidR="00000000" w:rsidDel="00000000" w:rsidP="00000000" w:rsidRDefault="00000000" w:rsidRPr="00000000" w14:paraId="0000010D">
      <w:pPr>
        <w:spacing w:after="240" w:before="240" w:lineRule="auto"/>
        <w:rPr/>
      </w:pPr>
      <w:r w:rsidDel="00000000" w:rsidR="00000000" w:rsidRPr="00000000">
        <w:rPr>
          <w:rtl w:val="0"/>
        </w:rPr>
        <w:t xml:space="preserve">☐ Les objectifs répondent à la problématique.</w:t>
      </w:r>
    </w:p>
    <w:p w:rsidR="00000000" w:rsidDel="00000000" w:rsidP="00000000" w:rsidRDefault="00000000" w:rsidRPr="00000000" w14:paraId="0000010E">
      <w:pPr>
        <w:spacing w:after="240" w:before="240" w:lineRule="auto"/>
        <w:rPr/>
      </w:pPr>
      <w:r w:rsidDel="00000000" w:rsidR="00000000" w:rsidRPr="00000000">
        <w:rPr>
          <w:rtl w:val="0"/>
        </w:rPr>
        <w:t xml:space="preserve">☐ Le périmètre est défini.</w:t>
      </w:r>
    </w:p>
    <w:p w:rsidR="00000000" w:rsidDel="00000000" w:rsidP="00000000" w:rsidRDefault="00000000" w:rsidRPr="00000000" w14:paraId="0000010F">
      <w:pPr>
        <w:spacing w:after="240" w:before="240" w:lineRule="auto"/>
        <w:rPr/>
      </w:pPr>
      <w:r w:rsidDel="00000000" w:rsidR="00000000" w:rsidRPr="00000000">
        <w:rPr>
          <w:rtl w:val="0"/>
        </w:rPr>
        <w:t xml:space="preserve">☐ Les questions de veille sont pertinentes.</w:t>
      </w:r>
    </w:p>
    <w:p w:rsidR="00000000" w:rsidDel="00000000" w:rsidP="00000000" w:rsidRDefault="00000000" w:rsidRPr="00000000" w14:paraId="00000110">
      <w:pPr>
        <w:spacing w:after="240" w:before="240" w:lineRule="auto"/>
        <w:rPr/>
      </w:pPr>
      <w:r w:rsidDel="00000000" w:rsidR="00000000" w:rsidRPr="00000000">
        <w:rPr>
          <w:rtl w:val="0"/>
        </w:rPr>
        <w:t xml:space="preserve">☐ Les informations recherchées sont clairement identifiées.</w:t>
      </w:r>
    </w:p>
    <w:p w:rsidR="00000000" w:rsidDel="00000000" w:rsidP="00000000" w:rsidRDefault="00000000" w:rsidRPr="00000000" w14:paraId="00000111">
      <w:pPr>
        <w:spacing w:after="240" w:before="240" w:lineRule="auto"/>
        <w:rPr/>
      </w:pPr>
      <w:r w:rsidDel="00000000" w:rsidR="00000000" w:rsidRPr="00000000">
        <w:rPr>
          <w:rtl w:val="0"/>
        </w:rPr>
        <w:t xml:space="preserve">☐ Les sources sont fiables.</w:t>
      </w:r>
    </w:p>
    <w:p w:rsidR="00000000" w:rsidDel="00000000" w:rsidP="00000000" w:rsidRDefault="00000000" w:rsidRPr="00000000" w14:paraId="00000112">
      <w:pPr>
        <w:spacing w:after="240" w:before="240" w:lineRule="auto"/>
        <w:rPr/>
      </w:pPr>
      <w:r w:rsidDel="00000000" w:rsidR="00000000" w:rsidRPr="00000000">
        <w:rPr>
          <w:rtl w:val="0"/>
        </w:rPr>
        <w:t xml:space="preserve">☐ Les méthodes sont adaptées.</w:t>
      </w:r>
    </w:p>
    <w:p w:rsidR="00000000" w:rsidDel="00000000" w:rsidP="00000000" w:rsidRDefault="00000000" w:rsidRPr="00000000" w14:paraId="00000113">
      <w:pPr>
        <w:spacing w:after="240" w:before="240" w:lineRule="auto"/>
        <w:rPr/>
      </w:pPr>
      <w:r w:rsidDel="00000000" w:rsidR="00000000" w:rsidRPr="00000000">
        <w:rPr>
          <w:rtl w:val="0"/>
        </w:rPr>
        <w:t xml:space="preserve">☐ Les responsabilités sont réparties.</w:t>
      </w:r>
    </w:p>
    <w:p w:rsidR="00000000" w:rsidDel="00000000" w:rsidP="00000000" w:rsidRDefault="00000000" w:rsidRPr="00000000" w14:paraId="00000114">
      <w:pPr>
        <w:spacing w:after="240" w:before="240" w:lineRule="auto"/>
        <w:rPr/>
      </w:pPr>
      <w:r w:rsidDel="00000000" w:rsidR="00000000" w:rsidRPr="00000000">
        <w:rPr>
          <w:rtl w:val="0"/>
        </w:rPr>
        <w:t xml:space="preserve">☐ Les livrables sont définis.</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heading=h.j9lyx81qbc0r" w:id="38"/>
      <w:bookmarkEnd w:id="38"/>
      <w:r w:rsidDel="00000000" w:rsidR="00000000" w:rsidRPr="00000000">
        <w:rPr>
          <w:b w:val="1"/>
          <w:bCs w:val="1"/>
          <w:sz w:val="34"/>
          <w:szCs w:val="34"/>
          <w:rtl w:val="0"/>
        </w:rPr>
        <w:t xml:space="preserve">Avis du Responsable Qualité</w:t>
      </w:r>
    </w:p>
    <w:p w:rsidR="00000000" w:rsidDel="00000000" w:rsidP="00000000" w:rsidRDefault="00000000" w:rsidRPr="00000000" w14:paraId="00000116">
      <w:pPr>
        <w:spacing w:after="240" w:before="240" w:lineRule="auto"/>
        <w:rPr/>
      </w:pPr>
      <w:r w:rsidDel="00000000" w:rsidR="00000000" w:rsidRPr="00000000">
        <w:rPr>
          <w:rtl w:val="0"/>
        </w:rPr>
        <w:t xml:space="preserve">☐ Validé</w:t>
      </w:r>
    </w:p>
    <w:p w:rsidR="00000000" w:rsidDel="00000000" w:rsidP="00000000" w:rsidRDefault="00000000" w:rsidRPr="00000000" w14:paraId="00000117">
      <w:pPr>
        <w:spacing w:after="240" w:before="240" w:lineRule="auto"/>
        <w:rPr/>
      </w:pPr>
      <w:r w:rsidDel="00000000" w:rsidR="00000000" w:rsidRPr="00000000">
        <w:rPr>
          <w:rtl w:val="0"/>
        </w:rPr>
        <w:t xml:space="preserve">☐ À compléter</w:t>
      </w:r>
    </w:p>
    <w:p w:rsidR="00000000" w:rsidDel="00000000" w:rsidP="00000000" w:rsidRDefault="00000000" w:rsidRPr="00000000" w14:paraId="00000118">
      <w:pPr>
        <w:spacing w:after="240" w:before="240" w:lineRule="auto"/>
        <w:rPr/>
      </w:pPr>
      <w:r w:rsidDel="00000000" w:rsidR="00000000" w:rsidRPr="00000000">
        <w:rPr>
          <w:rtl w:val="0"/>
        </w:rPr>
        <w:t xml:space="preserve">Commentaires :</w:t>
      </w:r>
    </w:p>
    <w:p w:rsidR="00000000" w:rsidDel="00000000" w:rsidP="00000000" w:rsidRDefault="00000000" w:rsidRPr="00000000" w14:paraId="00000119">
      <w:pPr>
        <w:spacing w:after="240" w:before="240" w:lineRule="auto"/>
        <w:rPr/>
      </w:pP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Signature :</w:t>
      </w:r>
    </w:p>
    <w:p w:rsidR="00000000" w:rsidDel="00000000" w:rsidP="00000000" w:rsidRDefault="00000000" w:rsidRPr="00000000" w14:paraId="0000011B">
      <w:pPr>
        <w:spacing w:after="240" w:before="240" w:lineRule="auto"/>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heading=h.cg9j798djjwb" w:id="39"/>
      <w:bookmarkEnd w:id="39"/>
      <w:r w:rsidDel="00000000" w:rsidR="00000000" w:rsidRPr="00000000">
        <w:rPr>
          <w:b w:val="1"/>
          <w:bCs w:val="1"/>
          <w:sz w:val="46"/>
          <w:szCs w:val="46"/>
          <w:rtl w:val="0"/>
        </w:rPr>
        <w:t xml:space="preserve">PLAN DE VEILLE DÉTAILLÉ</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eading=h.dls3f8u5omoc" w:id="40"/>
      <w:bookmarkEnd w:id="40"/>
      <w:r w:rsidDel="00000000" w:rsidR="00000000" w:rsidRPr="00000000">
        <w:rPr>
          <w:b w:val="1"/>
          <w:bCs w:val="1"/>
          <w:sz w:val="34"/>
          <w:szCs w:val="34"/>
          <w:rtl w:val="0"/>
        </w:rPr>
        <w:t xml:space="preserve">Axe d’étude 3 — Accès au financement et attractivité des mécanismes de financement des startups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639799389822"/>
        <w:gridCol w:w="1336.5503397056436"/>
        <w:gridCol w:w="1222.639799389822"/>
        <w:gridCol w:w="1450.4608800214658"/>
        <w:gridCol w:w="1404.896663895137"/>
        <w:gridCol w:w="1177.0755832634932"/>
        <w:gridCol w:w="1211.2487453582396"/>
        <w:tblGridChange w:id="0">
          <w:tblGrid>
            <w:gridCol w:w="1222.639799389822"/>
            <w:gridCol w:w="1336.5503397056436"/>
            <w:gridCol w:w="1222.639799389822"/>
            <w:gridCol w:w="1450.4608800214658"/>
            <w:gridCol w:w="1404.896663895137"/>
            <w:gridCol w:w="1177.0755832634932"/>
            <w:gridCol w:w="1211.24874535823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Axe /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Outils</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b w:val="1"/>
                <w:bCs w:val="1"/>
                <w:rtl w:val="0"/>
              </w:rPr>
              <w:t xml:space="preserve">Axe 1 — Cartographie de l’offre de financement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L’offre de financement tunisienne est diversifiée, mais reste fragmentée et insuffisamment lisible pour les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Quels sont les mécanismes de financement accessibles aux startups tunisiennes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Liste des dispositifs ; organismes gestionnaires ; type d’instrument ; bénéficiaires ; conditions d’accès ; montants ; durée ; secteurs ciblés.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Startup Tunisia ; Smart Capital ; CDC ; banques ; fonds VC ; SICAR ; Business Angels ; bailleurs internationaux ; rapports publics.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Recherche documentaire ; inventaire ; analyse descriptive ; entretiens exploratoires.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Google Search avancé ; sites institutionnels ; Google Sheets ; Excel ; Zotero.</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1.1. Financements publics nationaux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Les mécanismes publics jouent un rôle important dans l’amorçage, mais leur couverture pourrait être limitée.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Quels dispositifs publics financent directement ou indirectement les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Subventions ; avances ; prises de participation ; garanties ; budgets ; nombre de bénéficiaires ; critères d’attribution.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Ministères ; Smart Capital ; CDC ; BPI locales ; rapports annuels ; lois de finances ; institutions publiques.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Analyse documentaire ; analyse budgétaire ; entretien institutionnel.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Excel ; Zotero ; tableaux comparatifs ; fiches de veille.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1.2. Fonds de capital-risque et VC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Le nombre de fonds actifs reste insuffisant pour couvrir tous les stades de développement.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Quels fonds investissent dans les startups tunisiennes et à quels stades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Nombre de fonds ; taille ; ticket moyen ; secteurs ; stades ciblés ; portefeuille ; nationalité des capitaux ; fréquence des investissements.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Fonds VC ; Smart Capital ; BVMT ; CDC ; rapports Dealroom, Partech, MAGNiTT, Africa: The Big Deal.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Cartographie ; entretiens ; analyse de portefeuille ; analyse descriptive.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Excel ; Power BI ; Crunchbase si accessible ; Dealroom ; cartographie.</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1.3. Business Angels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L’activité des Business Angels reste peu structurée et insuffisamment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Quel est le rôle réel des Business Angels dans le financement des startups tunisiennes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Nombre de réseaux ; nombre d’investisseurs actifs ; montants investis ; tickets moyens ; secteurs ; accompagnement fourni ; obstacles rencontrés.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Réseaux de Business Angels ; investisseurs ; startups ; Smart Capital ; associations professionnelles.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Entretiens semi-directifs ; questionnaire ; étude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Google Forms ; Excel ; NVivo ou matrice qualitative ; LinkedIn.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1.4. Financement bancaire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Les produits bancaires classiques sont peu adaptés au risque et au modèle économique des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Dans quelle mesure les banques financent-elles les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Produits proposés ; garanties exigées ; taux ; maturité ; nombre de dossiers acceptés ; motifs de refus ; perception des banques.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Banques ; BCT ; startups ; associations bancaires ; rapports financiers.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Entretiens ; questionnaire ; analyse comparative des offres.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Grille d’entretien ; Excel ; Google Forms ; tableau comparatif.</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1.5. Financements internationaux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Les financements internationaux compensent partiellement les limites du marché 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Quels financements internationaux sont accessibles aux startups tunisiennes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Programmes ; subventions ; fonds régionaux ; concours ; prêts ; critères ; montants ; nombre de bénéficiaires tunisiens.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UE ; Banque mondiale ; BAD ; GIZ ; Expertise France ; PNUD ; programmes régionaux ; fonds internationaux.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Recherche documentaire ; cartographie ; analyse des appels à projets.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Portails des bailleurs ; Google Alerts ; Excel ; Zotero.</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1.6. Financements alternatifs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Les mécanismes alternatifs, notamment le crowdfunding, restent insuffisamment opérationnels.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Quels mécanismes alternatifs pourraient compléter l’offre actuelle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Crowdfunding ; revenue-based financing ; venture debt ; financement participatif ; prêts convertibles ; état de mise en œuvre.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Textes juridiques ; BCT ; CMF ; plateformes ; experts financiers ; benchmarks.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Analyse réglementaire ; benchmark ; entretiens experts.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Bases juridiques ; Excel ; matrice benchmark ; Zotero.</w:t>
            </w:r>
          </w:p>
        </w:tc>
      </w:tr>
    </w:tbl>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1591984026431"/>
        <w:gridCol w:w="1338.2393249706467"/>
        <w:gridCol w:w="1144.3466955004678"/>
        <w:gridCol w:w="1395.266568932464"/>
        <w:gridCol w:w="1224.1848370470123"/>
        <w:gridCol w:w="1201.373939462285"/>
        <w:gridCol w:w="1132.9412467081042"/>
        <w:tblGridChange w:id="0">
          <w:tblGrid>
            <w:gridCol w:w="1589.1591984026431"/>
            <w:gridCol w:w="1338.2393249706467"/>
            <w:gridCol w:w="1144.3466955004678"/>
            <w:gridCol w:w="1395.266568932464"/>
            <w:gridCol w:w="1224.1848370470123"/>
            <w:gridCol w:w="1201.373939462285"/>
            <w:gridCol w:w="1132.941246708104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center"/>
              <w:rPr/>
            </w:pPr>
            <w:r w:rsidDel="00000000" w:rsidR="00000000" w:rsidRPr="00000000">
              <w:rPr>
                <w:b w:val="1"/>
                <w:bCs w:val="1"/>
                <w:rtl w:val="0"/>
              </w:rPr>
              <w:t xml:space="preserve">Axe /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Outils</w:t>
            </w:r>
            <w:r w:rsidDel="00000000" w:rsidR="00000000" w:rsidRPr="00000000">
              <w:rPr>
                <w:rtl w:val="0"/>
              </w:rPr>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Axe 2 — Financement selon le cycle de vie de la startup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Les besoins des startups varient selon leur stade, mais les financements disponibles ne couvrent pas uniformément tout le cycle de développement.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Les mécanismes existants répondent-ils aux besoins de financement à chaque étape du cycle de vie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Besoins par stade ; instruments disponibles ; tickets moyens ; gaps de financement ; délais ; taux de couverture.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Startups ; fonds ; investisseurs ; incubateurs ; accélérateurs ; rapports sectoriels.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Analyse du cycle de financement ; entretiens ; questionnaire ; comparaison offre-besoin.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Excel ; Google Forms ; matrice cycle de vie ; Power BI.</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2.1. Idéation et pré-création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Les porteurs de projets disposent de peu de financements avant la création juridique.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Quels financements sont accessibles avant la création de la startup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Bourses ; concours ; grants ; pré-incubation ; dépenses couvertes ; profils bénéficiaires.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Universités ; incubateurs ; programmes publics ; ONG ; bailleurs ; porteurs de projets.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Inventaire ; entretiens ; analyse des programmes.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Google Sheets ; fiches programmes ; cartographie.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2.2. Pré-amorçage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Le pré-amorçage constitue un premier gap critique.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Les startups disposent-elles de ressources suffisantes pour développer leur prototype et valider leur marché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Besoin moyen ; sources mobilisées ; autofinancement ; love money ; grants ; difficultés.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Startups ; incubateurs ; programmes de soutien ; investisseurs.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Questionnaire ; entretiens ; analyse statistique descriptive.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Google Forms ; Excel ; Power BI.</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2.3. Amorçage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Les financements d’amorçage sont concentrés sur un nombre limité de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Quelles startups accèdent aux financements d’amorçage et selon quels critères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Montants ; taux d’acceptation ; profils financés ; secteurs ; critères ; causes de refus.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Fonds seed ; Business Angels ; startups ; Smart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Analyse quantitative ; entretiens ; étude des critères de sélection.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Excel ; Power BI ; grille comparative.</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2.4. Croissance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Les startups en croissance éprouvent des difficultés à mobiliser des tickets plus élevés.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Les startups tunisiennes disposent-elles de financements suffisants pour accélérer leur croissance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Séries A/B ; tickets ; investisseurs locaux et étrangers ; besoins non couverts ; délais ; dilution.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Fonds VC ; startups ; rapports de levées ; bases spécialisées.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Analyse des levées ; entretiens ; étude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Dealroom ; Crunchbase ; Excel ; Power BI.</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2.5. Scale-up et internationalisation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Le manque de capitaux de croissance pousse certaines startups à rechercher leurs financements à l’étranger ou à déplacer leur siège.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Quels freins limitent le financement des scale-ups tunisiennes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Tickets nécessaires ; localisation des investisseurs ; conditions de domiciliation ; redomiciliation ; accès aux marchés internationaux.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Scale-ups ; investisseurs internationaux ; BCT ; experts juridiques ; rapports.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Entretiens approfondis ; analyse de trajectoires ;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NVivo ; Excel ; matrice de trajectoire ; Dealroom.</w:t>
            </w:r>
          </w:p>
        </w:tc>
      </w:tr>
    </w:tbl>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4.1740689887074"/>
        <w:gridCol w:w="1521.6499005240005"/>
        <w:gridCol w:w="1244.621290666069"/>
        <w:gridCol w:w="1473.471011853056"/>
        <w:gridCol w:w="1316.8896236724859"/>
        <w:gridCol w:w="1280.7554571692776"/>
        <w:gridCol w:w="1063.9504581500269"/>
        <w:tblGridChange w:id="0">
          <w:tblGrid>
            <w:gridCol w:w="1124.1740689887074"/>
            <w:gridCol w:w="1521.6499005240005"/>
            <w:gridCol w:w="1244.621290666069"/>
            <w:gridCol w:w="1473.471011853056"/>
            <w:gridCol w:w="1316.8896236724859"/>
            <w:gridCol w:w="1280.7554571692776"/>
            <w:gridCol w:w="1063.95045815002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Axe /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Outils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Axe 3 — Dispositifs financiers du Startup 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Les instruments prévus par le Startup Act sont attractifs sur le plan théorique, mais leur utilisation réelle pourrait être inégale.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Dans quelle mesure les instruments du Startup Act facilitent-ils réellement le financement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Base juridique ; bénéficiaires ; conditions ; utilisation ; taux de recours ; difficultés ;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Décret n° 2018-840 ; Startup Tunisia ; Smart Capital ; ministères ; startups ; investisseurs.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Analyse juridique fonctionnelle ; questionnaire ; entretiens ; analyse documentaire.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Base juridique ; Zotero ; Excel ; Google Forms.</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3.1. Startup Grant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Le Startup Grant facilite la transition vers l’entrepreneuriat, mais sa portée financière pourrait être limitée.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Combien de fondateurs bénéficient du Startup Grant et dans quelle mesure répond-il à leurs besoins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Nombre de bénéficiaires ; montants ; durée ; profils ; délais ; taux d’acceptation ; satisfaction ; motifs de non-recours.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Startup Tunisia ; Smart Capital ; bénéficiaires ; textes réglementaires ; rapports.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Analyse statistique ; questionnaire ; entretiens ; étude de parcours.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Excel ; Google Forms ; Power BI ; grille d’entretien.</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3.2. Compte en devises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Le compte en devises facilite certaines opérations internationales, mais son utilisation peut rester limitée par les procédures de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Le compte en devises répond-il aux besoins opérationnels et financiers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Nombre de comptes ; opérations autorisées ; volumes ; délais ; difficultés bancaires ; satisfaction ; limites réglementaires.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BCT ; banques ; startups ; textes ; rapport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Analyse réglementaire ; entretiens ; questionnaire.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Excel ; NVivo ; base juridique ; tableau des freins.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3.3. Obligations convertibles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Les instruments convertibles facilitent l’investissement précoce, mais leur utilisation demeure peu documentée.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Les startups et investisseurs utilisent-ils les obligations convertibles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Nombre d’opérations ; montants ; conditions ; documentation ; obstacles juridiques et fiscaux.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Investisseurs ; avocats ; fonds ; startups ; textes.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Entretiens experts ; analyse de contrats anonymisés ; analyse juridique.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Grille juridique ; Excel ; Zotero.</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3.4. Avances en compte courant d’associés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Les avances en compte courant constituent une source souple, mais leur importance réelle est inconnue.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Quel rôle jouent les avances en compte courant dans le financement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Fréquence ; montants ; durée ; conditions ; profils d’associés ; risques.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Startups ; experts-comptables ; investisseurs ; textes.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Questionnaire ; entretiens ; analyse comptable.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Excel ; Google Forms ; grille d’entretien.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3.5. Fonds de garantie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Le mécanisme de garantie pourrait réduire le risque, mais son niveau d’activation et son efficacité restent à vérifier.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Le fonds de garantie facilite-t-il effectivement le financement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Gouvernance ; critères ; bénéficiaires ; montants garantis ; sinistres ; délais ; taux d’utilisation.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Smart Capital ; CDC ; gestionnaires de garantie ; banques ; investisseurs.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Analyse documentaire ; entretiens institutionnels ; analyse de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Excel ; tableau de bord ; fiches KPI.</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3.6. Prise en charge CNSS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La prise en charge des cotisations sociales améliore la trésorerie, mais son effet sur le financement est indirect.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Dans quelle mesure la prise en charge CNSS libère-t-elle des ressources financières pour les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Montants économisés ; durée ; nombre de bénéficiaires ; utilisation des économies ; emplois concernés.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CNSS ; Startup Tunisia ; startups ; rapport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Analyse quantitative ; questionnaire ; simulation financière.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Excel ; Power BI ; calculateur de coûts.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3.7. Exonération d’impôt sur les sociétés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L’exonération améliore la trésorerie des startups bénéficiaires, mais son effet dépend de leur niveau de rentabilité.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Quel est l’effet réel de l’exonération IS sur la capacité financière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Nombre de bénéficiaires ; bénéfices imposables ; économie fiscale ; réinvestissement ; entreprises non rentables.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Ministère des Finances ; administration fiscale ; startups ; experts-comptables.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Analyse fiscale ; entretiens ; simulation ; étude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Excel ; modèle financier ; grille fiscale.</w:t>
            </w:r>
          </w:p>
        </w:tc>
      </w:tr>
    </w:tbl>
    <w:p w:rsidR="00000000" w:rsidDel="00000000" w:rsidP="00000000" w:rsidRDefault="00000000" w:rsidRPr="00000000" w14:paraId="000001CC">
      <w:pPr>
        <w:spacing w:after="240" w:before="240" w:lineRule="auto"/>
        <w:rPr/>
      </w:pPr>
      <w:r w:rsidDel="00000000" w:rsidR="00000000" w:rsidRPr="00000000">
        <w:rPr>
          <w:rtl w:val="0"/>
        </w:rPr>
        <w:t xml:space="preserve">Le rapport 2021 indique que les bénéfices perçus comme les plus utilisés incluent la prise en charge CNSS, l’exonération d’IS, le compte en devises et le Startup Grant.</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7.8398367847385"/>
        <w:gridCol w:w="1352.5044907268552"/>
        <w:gridCol w:w="1295.8353081545008"/>
        <w:gridCol w:w="1443.175182842622"/>
        <w:gridCol w:w="1273.1676351255592"/>
        <w:gridCol w:w="1193.830779524263"/>
        <w:gridCol w:w="1069.1585778650838"/>
        <w:tblGridChange w:id="0">
          <w:tblGrid>
            <w:gridCol w:w="1397.8398367847385"/>
            <w:gridCol w:w="1352.5044907268552"/>
            <w:gridCol w:w="1295.8353081545008"/>
            <w:gridCol w:w="1443.175182842622"/>
            <w:gridCol w:w="1273.1676351255592"/>
            <w:gridCol w:w="1193.830779524263"/>
            <w:gridCol w:w="1069.15857786508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Axe /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b w:val="1"/>
                <w:bCs w:val="1"/>
                <w:rtl w:val="0"/>
              </w:rPr>
              <w:t xml:space="preserve">Outils</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b w:val="1"/>
                <w:bCs w:val="1"/>
                <w:rtl w:val="0"/>
              </w:rPr>
              <w:t xml:space="preserve">Axe 4 — Incitations et attractivité pour les investisseurs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Les incitations prévues améliorent l’attractivité, mais ne suffisent pas à elles seules à mobiliser suffisamment de capitaux.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Les avantages fiscaux, juridiques et financiers influencent-ils les décisions des investisseurs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Connaissance ; utilisation ; économies fiscales ; perception du risque ; contraintes ; décisions d’investissement.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Investisseurs ; fonds ; Business Angels ; ministère des Finances ; experts fiscaux ; textes.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Questionnaire investisseurs ; entretiens ; analyse fiscale ; analyse comparative.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Google Forms ; NVivo ; Excel ; matrice attractivité.</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4.1. Déduction fiscale de l’investissement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La déduction fiscale encourage certains investissements, mais son utilisation pourrait être limitée par la complexité administrative.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Combien d’investisseurs utilisent la déduction fiscale et quels obstacles rencontrent-ils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Nombre de bénéficiaires ; montants déduits ; délais ; procédures ; profils ; non-recours.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Administration fiscale ; investisseurs ; experts-comptables ; textes.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Analyse fiscale ; entretiens ; questionnaire.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Excel ; grille fiscale ; Google Forms.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4.2. Exonération des plus-values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L’exonération des plus-values améliore la perspective de sortie, mais son effet est limité en l’absence d’un marché actif des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L’exonération influence-t-elle réellement la décision d’investir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Cessions réalisées ; plus-values ; profils des investisseurs ; perception ; conditions ; nombre d’exits.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Investisseurs ; fonds ; experts fiscaux ; avocats ; administration fiscale.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Entretiens ; analyse de cas ; analyse des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Excel ; base de transactions ; matrice d’entretien.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4.3. Réduction du risque d’investissement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Les mécanismes de garantie ne réduisent que partiellement le risque perçu par les investisseurs.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Quels risques restent insuffisamment couverts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Risque technologique ; commercial ; réglementaire ; change ; sortie ; 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Investisseurs ; fonds ; banques ;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Analyse des risques ; entretiens ; atelier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Matrice des risques ; NVivo ; Excel.</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4.4. Investissement international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Le cadre actuel ne facilite pas suffisamment l’entrée et la sortie des capitaux étrangers.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Quels obstacles freinent les investisseurs internationaux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Change ; rapatriement des dividendes ; due diligence ; valorisation ; gouvernance ; domiciliation ; fiscalité.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BCT ; investisseurs étrangers ; cabinets juridiques ; startups ; rapport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Entretiens ; analyse réglementaire ;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Grille comparative ; NVivo ; Zotero.</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4.5. Attractivité globale de l’écosystème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L’attractivité dépend autant du cadre financier que de la qualité des opportunités, des exits et de la 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Quels facteurs déterminent l’attractivité de la Tunisie pour les investisseurs startup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Pipeline de startups ; qualité des projets ; cadre juridique ; talents ; exits ; stabilité ; taille du marché.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Fonds ; investisseurs ; rapports internationaux ;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Enquête ; analyse multicritère ;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Matrice multicritère ; Excel ; Power BI.</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heading=h.192diem88ry0" w:id="41"/>
      <w:bookmarkEnd w:id="41"/>
      <w:r w:rsidDel="00000000" w:rsidR="00000000" w:rsidRPr="00000000">
        <w:rPr>
          <w:b w:val="1"/>
          <w:bCs w:val="1"/>
          <w:sz w:val="34"/>
          <w:szCs w:val="34"/>
          <w:rtl w:val="0"/>
        </w:rPr>
        <w:t xml:space="preserve">Plan de veille détaillé — Axes 5 à 8</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8.7839551970897"/>
        <w:gridCol w:w="1268.7839551970897"/>
        <w:gridCol w:w="1330.5085800445158"/>
        <w:gridCol w:w="1484.8201421630806"/>
        <w:gridCol w:w="1268.7839551970897"/>
        <w:gridCol w:w="1237.9216427733768"/>
        <w:gridCol w:w="1165.9095804513797"/>
        <w:tblGridChange w:id="0">
          <w:tblGrid>
            <w:gridCol w:w="1268.7839551970897"/>
            <w:gridCol w:w="1268.7839551970897"/>
            <w:gridCol w:w="1330.5085800445158"/>
            <w:gridCol w:w="1484.8201421630806"/>
            <w:gridCol w:w="1268.7839551970897"/>
            <w:gridCol w:w="1237.9216427733768"/>
            <w:gridCol w:w="1165.90958045137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Axe / sous-axe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Hypothèse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Question de veille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Informations recherchées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pPr>
            <w:r w:rsidDel="00000000" w:rsidR="00000000" w:rsidRPr="00000000">
              <w:rPr>
                <w:b w:val="1"/>
                <w:bCs w:val="1"/>
                <w:rtl w:val="0"/>
              </w:rPr>
              <w:t xml:space="preserve">Sources envisagées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Méthodes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Outils</w:t>
            </w:r>
            <w:r w:rsidDel="00000000" w:rsidR="00000000" w:rsidRPr="00000000">
              <w:rPr>
                <w:rtl w:val="0"/>
              </w:rPr>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bCs w:val="1"/>
                <w:rtl w:val="0"/>
              </w:rPr>
              <w:t xml:space="preserve">Axe 5 — Accessibilité effective au financement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L’existence de dispositifs de financement ne garantit pas leur accessibilité effective à toutes les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Quels facteurs facilitent ou limitent l’accès des startups tunisiennes au financement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Taux de demande et d’acceptation ; délais ; critères ; coûts ; motifs de refus ; abandon des démarches ;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Startups ; investisseurs ; banques ; programmes publics ; incubateurs ; accélérateurs.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Questionnaire ; entretiens semi-directifs ; analyse du parcours de financement ; analyse statistique descriptive.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Google Forms ; Excel ; Power BI ; diagramme de parcours.</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5.1. Information et visibilité des dispositifs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Certaines startups ne connaissent pas suffisamment les instruments auxquels elles peuvent prétendre.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Les startups disposent-elles d’une information claire, complète et accessible sur les financements disponibles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Niveau de connaissance ; canaux d’information ; qualité, clarté et actualité des informations ; dispositifs connus ; besoin d’orientation ou d’accompagnement.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Startups ; incubateurs ; accélérateurs ; plateformes institutionnelles ; organismes financeurs.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Questionnaire ; audit de l’information disponible ; analyse des plateformes numériques ; entretiens.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Google Forms ; grille d’audit ; Excel ; analyse web.</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b w:val="1"/>
                <w:bCs w:val="1"/>
                <w:rtl w:val="0"/>
              </w:rPr>
              <w:t xml:space="preserve">5.2. Critères d’éligibilité et de sélection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Certains critères de financement peuvent exclure des startups innovantes, atypiques ou insuffisamment matures.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Quels critères d’éligibilité ou de sélection constituent les principaux obstacles pour les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Ancienneté ; chiffre d’affaires ; traction commerciale ; garanties ; secteur ; gouvernance ; forme juridique ; localisation ; niveau de maturité ; composition de l’équipe.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Startups ; fonds ; banques ; Business Angels ; programmes publics ; règlements des dispositifs.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Analyse comparative des critères ; questionnaire ; entretiens avec les financeurs et les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Matrice des critères ; Excel ; Google Forms ; grille d’entretien.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b w:val="1"/>
                <w:bCs w:val="1"/>
                <w:rtl w:val="0"/>
              </w:rPr>
              <w:t xml:space="preserve">5.3. Délais et complexité des procédures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La longueur et la complexité des procédures réduisent l’utilité réelle des financements.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Quels sont les délais réels entre la demande, la décision et le décaissement du financement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Durée de chaque étape ; documents exigés ; nombre d’interactions ; demandes complémentaires ; retards ; abandons ; délai total de décaissement.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Startups ; organismes financeurs ; banques ; fonds ; structures publiques.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Analyse de processus ; questionnaire ; entretiens ; études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Diagramme BPMN ; Excel ; chronologie du parcours ; grille d’analyse.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b w:val="1"/>
                <w:bCs w:val="1"/>
                <w:rtl w:val="0"/>
              </w:rPr>
              <w:t xml:space="preserve">5.4. Inégalités territoriales d’accès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Les startups établies hors du Grand Tunis accèdent moins facilement aux investisseurs, aux fonds et aux réseaux financiers.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Existe-t-il des écarts territoriaux significatifs dans l’accès au financement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Localisation des startups candidates et financées ; localisation des investisseurs ; programmes régionaux ; montants mobilisés par région ; taux d’acceptation territorial.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Startup Tunisia ; fonds ; startups ; incubateurs régionaux ; structures publiques ; bases de financement.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Analyse statistique ; cartographie ; comparaison régionale ; entretiens territoriaux.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QGIS ; Power BI ; Excel ; cartes thématiques.</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b w:val="1"/>
                <w:bCs w:val="1"/>
                <w:rtl w:val="0"/>
              </w:rPr>
              <w:t xml:space="preserve">5.5. Genre et profil des fondateurs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Les femmes entrepreneures et certains profils de fondateurs peuvent rencontrer des barrières particulières dans l’accès au financement.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Existe-t-il des écarts d’accès au financement selon le genre, la formation, l’expérience ou le profil des fondateurs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Nombre de demandes et d’acceptations ; montants obtenus ; tickets moyens ; perception des biais ; expérience ; formation ; secteur ; composition des équipes fondatrices.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Startups ; fonds ; associations professionnelles ; réseaux de femmes entrepreneures ; incubateurs.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Analyse statistique ; questionnaire ; entretiens ; analyse comparative.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Excel ; Power BI ; Google Forms ; grille d’entretien.</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bCs w:val="1"/>
                <w:rtl w:val="0"/>
              </w:rPr>
              <w:t xml:space="preserve">5.6. Secteurs et modèles économiques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Certains secteurs, technologies ou modèles économiques sont jugés moins attractifs ou plus risqués par les financeurs.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Quels secteurs et modèles économiques rencontrent les plus grandes difficultés de financement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Taux de financement par secteur ; tickets moyens ; délais ; motifs de refus ; intensité capitalistique ; durée de retour sur investissement ; type de modèle économique.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Fonds ; startups ; investisseurs ; bases de levées de fonds ; rapports sectoriels.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Analyse sectorielle ; comparaison ; entretiens avec les investisseurs ; analyse des opérations de financement.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Excel ; Power BI ; matrice sectorielle ; bases de levées de fonds.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Axe 6 — Performance et efficacité des dispositifs de financement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Les dispositifs produisent des résultats variables et ne font pas tous l’objet d’un suivi ou d’une évaluation régulière.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Quels dispositifs offrent les meilleurs résultats au regard des ressources mobilisées et des besoins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Coûts ; bénéficiaires ; montants distribués ; taux de couverture ; effet de levier ; satisfaction ; résultats ; pérennité ; efficacité opérationnelle.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Smart Capital ; ministères ; CDC ; fonds ; startups ; rapports d’évaluation ; organismes gestionnaires.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Évaluation de programme ; analyse coût-résultat ; analyse statistique ; entretiens ; études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Excel ; Power BI ; tableau de bord KPI ; grilles d’évaluation.</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b w:val="1"/>
                <w:bCs w:val="1"/>
                <w:rtl w:val="0"/>
              </w:rPr>
              <w:t xml:space="preserve">6.1. Couverture des dispositifs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Certains dispositifs ne bénéficient qu’à une faible proportion des startups éligibles ou concernées.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Quelle proportion des startups éligibles bénéficie réellement de chaque mécanisme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Population cible ; nombre de candidats ; nombre de bénéficiaires ; taux de couverture ; répartition par stade, secteur, région et profil.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Startup Tunisia ; gestionnaires des dispositifs ; startups ; Smart Capital ; programmes publics.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Analyse quantitative ; calcul de ratios ; comparaison des populations éligibles et bénéficiaires.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Excel ; Power BI ; tableaux statistiques.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b w:val="1"/>
                <w:bCs w:val="1"/>
                <w:rtl w:val="0"/>
              </w:rPr>
              <w:t xml:space="preserve">6.2. Rapidité de mobilisation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Certains financements sont accordés trop tard par rapport aux besoins et au rythme de développement des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Les délais de décision, de contractualisation et de décaissement sont-ils compatibles avec les besoins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Délais moyens et médians ; écarts entre dispositifs ; délai par étape ; urgences de trésorerie ; conséquences des retards.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Startups ; financeurs ; gestionnaires de programmes ; banques ; fonds.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Analyse de processus ; statistiques descriptives ; entretiens ; études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Excel ; diagramme de processus ; chronologie ; Power BI.</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b w:val="1"/>
                <w:bCs w:val="1"/>
                <w:rtl w:val="0"/>
              </w:rPr>
              <w:t xml:space="preserve">6.3. Effet de levier des financements publics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Les financements publics peuvent attirer des capitaux privés supplémentaires, mais cet effet varie selon les mécanismes.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Quel effet de levier les dispositifs publics génèrent-ils sur l’investissement privé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Montants publics engagés ; montants privés associés ; co-investissements ; financements ultérieurs ; ratio de levier ; répartition des risques.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Smart Capital ; CDC ; fonds ; investisseurs ; organismes publics.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Analyse financière ; calcul de ratios ; analyse des opérations de co-investissement.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Excel ; Power BI ; modèle de calcul financier.</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b w:val="1"/>
                <w:bCs w:val="1"/>
                <w:rtl w:val="0"/>
              </w:rPr>
              <w:t xml:space="preserve">6.4. Satisfaction des bénéficiaires et investisseurs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Le niveau de satisfaction varie selon la simplicité, la rapidité et l’adaptation des dispositifs.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Quels mécanismes sont les mieux ou les moins bien évalués par les startups et les investisseurs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Notes de satisfaction ; avantages perçus ; difficultés ; qualité de l’accompagnement ; intention de réutilisation ; recommandations des utilisateurs.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Startups ; investisseurs ; bénéficiaires ; rapport Startup Tunisia 2021 ; gestionnaires.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Enquête de satisfaction ; entretiens ; analyse qualitative et comparative.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Google Forms ; Excel ; NVivo ; tableaux de satisfaction.</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6.5. Résultats après financement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Le financement soutient généralement la croissance, mais ses résultats dépendent du stade, du montant et de l’instrument utilisé.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Comment les startups évoluent-elles après l’obtention d’un financement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Chiffre d’affaires ; emplois ; exportations ; levées suivantes ; développement de produits ; survie ; internationalisation ; changement de stade.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Startups ; INS ; Startup Tunisia ; fonds ; investisseurs ; rapports annuels.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Analyse longitudinale ; comparaison avant/après ; étude de cohorte ; études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Excel ; Power BI ; Python ou R si nécessaire ; base longitudinale.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6.6. Additionnalité des interventions publiques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Certaines startups financées par des mécanismes publics auraient peut-être pu obtenir un financement sans intervention publique.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Les dispositifs publics financent-ils réellement des projets qui n’auraient pas trouvé de financement autrement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Sources alternatives recherchées ; refus antérieurs ; absence de financement privé ; cofinancement ; perception de l’additionnalité ; rôle déclencheur du soutien 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Startups ; fonds ; financeurs publics ; Business Angels ; banques.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Analyse contrefactuelle qualitative ; questionnaire ; entretiens ; comparaison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Excel ; grille d’évaluation de l’additionnalité ; NVivo.</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b w:val="1"/>
                <w:bCs w:val="1"/>
                <w:rtl w:val="0"/>
              </w:rPr>
              <w:t xml:space="preserve">Axe 7 — Gouvernance et coordination du financement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La fragmentation des acteurs réduit la lisibilité, la complémentarité et l’efficacité du système de financement.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Comment les acteurs publics et privés coordonnent-ils leurs interventions en faveur des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Mandats ; rôles ; circuits de décision ; coordination ; échanges d’information ; complémentarités ; doublons ; lacunes ; mécanismes d’arbitrage.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Smart Capital ; ministères ; CDC ; BCT ; fonds ; banques ; incubateurs ; startups ; organisations professionnelles.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Cartographie des acteurs ; entretiens ; analyse institutionnelle ; analyse des processus de 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Cartographie ; matrice RACI ; NVivo ; Excel ; diagrammes de gouvernance.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b w:val="1"/>
                <w:bCs w:val="1"/>
                <w:rtl w:val="0"/>
              </w:rPr>
              <w:t xml:space="preserve">7.1. Gouvernance de Startup Invest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La gouvernance de Startup Invest influence directement le développement et la performance de l’écosystème du capital-risque.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Comment sont pilotés et coordonnés les trois instruments de Startup Invest : fonds de fonds VC, incubateur de sociétés de gestion et programme de garantie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Structures de gouvernance ; responsabilités ; processus de sélection ; fonctionnement des instruments ; suivi ; reporting ; résultats ; articulation entre les trois composantes.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Smart Capital ; CDC ; rapports annuels ; gestionnaires de fonds ; documents de programme ; rapport Startup Tunisia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Analyse institutionnelle ; revue documentaire ; entretiens avec les responsables et gestionnaires.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Matrice RACI ; diagramme de gouvernance ; Zotero ; grille d’entretien.</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b w:val="1"/>
                <w:bCs w:val="1"/>
                <w:rtl w:val="0"/>
              </w:rPr>
              <w:t xml:space="preserve">7.2. Coordination public-privé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La coordination entre les acteurs publics, les fonds et les investisseurs privés reste insuffisante ou peu formalisée.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Quels mécanismes de concertation, de partage d’information et de co-investissement existent entre les acteurs publics et privés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Comités ; conventions ; plateformes de concertation ; opérations de co-investissement ; partage de données ; fréquence des échanges ; responsabilités.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Institutions publiques ; fonds ; investisseurs ; associations professionnelles ; banques.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Entretiens ; analyse documentaire ; analyse de réseau ; cartographie des relations.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Cartographie réseau ; Excel ; NVivo ; matrice des interactions.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b w:val="1"/>
                <w:bCs w:val="1"/>
                <w:rtl w:val="0"/>
              </w:rPr>
              <w:t xml:space="preserve">7.3. Données et transparence du marché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Le manque de données consolidées, harmonisées et accessibles limite l’évaluation du financement des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Quelles données financières sont disponibles, manquantes, fragmentées ou non partagées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Bases existantes ; variables couvertes ; définitions ; fréquence de mise à jour ; niveau d’accès ; qualité ; confidentialité ; responsabilités.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Smart Capital ; Startup Tunisia ; BCT ; fonds ; INS ; ministères ; bases privées.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Inventaire des données ; audit de qualité ; entretiens ; analyse des écarts informationnels.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Data inventory ; Excel ; grille qualité ; dictionnaire de données.</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b w:val="1"/>
                <w:bCs w:val="1"/>
                <w:rtl w:val="0"/>
              </w:rPr>
              <w:t xml:space="preserve">7.4. Suivi et évaluation des dispositifs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Les dispositifs ne disposent pas tous d’indicateurs harmonisés permettant de mesurer leur efficacité et leurs résultats.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Quels indicateurs sont utilisés pour suivre et évaluer les dispositifs de financement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KPI ; définitions ; valeurs cibles ; fréquence ; responsables ; outils de reporting ; publication ; utilisation dans la décision.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Gestionnaires de programmes ; rapports ; ministères ; fonds ; Smart Capital.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Analyse des systèmes de suivi-évaluation ; comparaison des KPI ; entretiens.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Tableau de bord ; Excel ; Power BI ; matrice des indicateurs.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Axe 8 — Benchmark international ciblé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Certaines expériences internationales peuvent fournir des solutions adaptables au contexte tunisien.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Quelles pratiques internationales pourraient améliorer le financement des startups en Tunisie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Modèles ; instruments ; bénéficiaires ; gouvernance ; coûts ; résultats ; limites ; facteurs de succès ; conditions de transférabilité.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OCDE ; Banque mondiale ; BAD ; pays comparateurs ; lois ; agences startup ; fonds ; publications scientifiques.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Benchmark multicritère ; étude comparative ; analyse de transférabilité ; revue documentaire.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Matrice de benchmark ; Excel ; Zotero ; Scopus ; fiches pays.</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b w:val="1"/>
                <w:bCs w:val="1"/>
                <w:rtl w:val="0"/>
              </w:rPr>
              <w:t xml:space="preserve">8.1. Fonds de fonds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Les fonds de fonds performants reposent sur une gouvernance professionnelle, une sélection rigoureuse des gestionnaires et un effet de levier privé 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Quels modèles internationaux de fonds de fonds sont les plus pertinents pour la Tunisie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Gouvernance ; capital public et privé ; critères de sélection ; indépendance ; portefeuille ; effet de levier ; performance ; modalités de sortie.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France ; Royaume-Uni ; Israël ; Maroc ; Rwanda ; pays comparables ; institutions financières internationales.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Benchmark ; étude de cas ; analyse multicritère.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Matrice comparative ; Excel ; fiches pays ; Zotero.</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b w:val="1"/>
                <w:bCs w:val="1"/>
                <w:rtl w:val="0"/>
              </w:rPr>
              <w:t xml:space="preserve">8.2. Mécanismes de garantie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Les mécanismes de garantie efficaces ciblent précisément les risques que le marché privé ne couvre pas.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Quels modèles de garantie pourraient être adaptés au financement des startups tunisiennes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Taux de couverture ; bénéficiaires ; coûts ; sinistralité ; gouvernance ; partage des risques ; procédures ; résultats.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Programmes internationaux ; banques publiques ; fonds de garantie ; bailleurs ; rapports d’évaluation.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Benchmark ; analyse de performance ; étude comparative.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Excel ; fiches pays ; matrice de comparaison.</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8.3. Incitations fiscales à l’investissement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Les incitations fiscales ont un effet réel lorsqu’elles sont simples, prévisibles, accessibles et associées à un marché d’investissement dynamique.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Quelles incitations fiscales ont démontré un effet positif sur l’investissement dans les startups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Types d’avantages ; conditions ; taux d’utilisation ; coût fiscal ; investissements générés ; bénéficiaires ; effets indésirables.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OCDE ; administrations fiscales ; études scientifiques ; rapports d’évaluation ; textes étrangers.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Revue de littérature ; benchmark fiscal ; analyse coût-avantage.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Zotero ; Scopus ; Excel ; matrice fiscale.</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b w:val="1"/>
                <w:bCs w:val="1"/>
                <w:rtl w:val="0"/>
              </w:rPr>
              <w:t xml:space="preserve">8.4. Crowdfunding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Le crowdfunding peut réduire certains déficits de financement à condition de disposer d’un cadre opérationnel, sécurisé et protecteur.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Quels modèles de crowdfunding ont produit des résultats dans des écosystèmes comparables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Réglementation ; types de plateformes ; volumes ; nombre de projets ; protection des investisseurs ; taux de réussite ; 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Régulateurs ; plateformes ; rapports internationaux ; pays comparateurs.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Benchmark réglementaire ; analyse comparative ; étude de 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Matrice de benchmark ; Zotero ; Excel ; fiches dispositifs.</w:t>
            </w:r>
          </w:p>
        </w:tc>
      </w:tr>
      <w:tr>
        <w:trPr>
          <w:cantSplit w:val="0"/>
          <w:trHeight w:val="3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b w:val="1"/>
                <w:bCs w:val="1"/>
                <w:rtl w:val="0"/>
              </w:rPr>
              <w:t xml:space="preserve">8.5. Financement des startups DeepTech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Les startups DeepTech nécessitent des instruments patients, hybrides et adaptés aux risques technologiques et aux cycles longs de R&amp;D.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Quels dispositifs financent efficacement les startups DeepTech aux différentes étapes de leur développement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Grants R&amp;D ; fonds spécialisés ; preuves de concept ; venture building ; commande publique ; financement mixte ; tickets ; délais ; gouvernance.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Union européenne ; France ; Royaume-Uni ; Singapour ; Israël ; OCDE ; organismes de recherche et d’innovation.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Benchmark ciblé ; étude de cas ; analyse des instruments par stade de maturité.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Zotero ; Excel ; fiches dispositifs ; matrice TRL-financement.</w:t>
            </w:r>
          </w:p>
        </w:tc>
      </w:tr>
    </w:tbl>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2BB">
      <w:pPr>
        <w:pStyle w:val="Heading1"/>
        <w:keepNext w:val="0"/>
        <w:keepLines w:val="0"/>
        <w:spacing w:before="480" w:lineRule="auto"/>
        <w:rPr>
          <w:b w:val="1"/>
          <w:bCs w:val="1"/>
          <w:sz w:val="46"/>
          <w:szCs w:val="46"/>
        </w:rPr>
      </w:pPr>
      <w:bookmarkStart w:colFirst="0" w:colLast="0" w:name="_heading=h.4kfczfwv226q" w:id="42"/>
      <w:bookmarkEnd w:id="42"/>
      <w:r w:rsidDel="00000000" w:rsidR="00000000" w:rsidRPr="00000000">
        <w:rPr>
          <w:b w:val="1"/>
          <w:bCs w:val="1"/>
          <w:sz w:val="46"/>
          <w:szCs w:val="46"/>
          <w:rtl w:val="0"/>
        </w:rPr>
        <w:t xml:space="preserve">Priorisation recommandée</w:t>
      </w:r>
    </w:p>
    <w:p w:rsidR="00000000" w:rsidDel="00000000" w:rsidP="00000000" w:rsidRDefault="00000000" w:rsidRPr="00000000" w14:paraId="000002BC">
      <w:pPr>
        <w:spacing w:after="240" w:before="240" w:lineRule="auto"/>
        <w:rPr/>
      </w:pPr>
      <w:r w:rsidDel="00000000" w:rsidR="00000000" w:rsidRPr="00000000">
        <w:rPr>
          <w:rtl w:val="0"/>
        </w:rPr>
        <w:t xml:space="preserve">Pour ne pas disperser l’équipe, je recommande trois niveaux :</w:t>
      </w:r>
    </w:p>
    <w:p w:rsidR="00000000" w:rsidDel="00000000" w:rsidP="00000000" w:rsidRDefault="00000000" w:rsidRPr="00000000" w14:paraId="000002BD">
      <w:pPr>
        <w:numPr>
          <w:ilvl w:val="0"/>
          <w:numId w:val="6"/>
        </w:numPr>
        <w:spacing w:after="0" w:afterAutospacing="0" w:before="240" w:lineRule="auto"/>
        <w:ind w:left="720" w:hanging="360"/>
      </w:pPr>
      <w:r w:rsidDel="00000000" w:rsidR="00000000" w:rsidRPr="00000000">
        <w:rPr>
          <w:b w:val="1"/>
          <w:bCs w:val="1"/>
          <w:rtl w:val="0"/>
        </w:rPr>
        <w:t xml:space="preserve">Priorité 1 — indispensable :</w:t>
      </w:r>
      <w:r w:rsidDel="00000000" w:rsidR="00000000" w:rsidRPr="00000000">
        <w:rPr>
          <w:rtl w:val="0"/>
        </w:rPr>
        <w:t xml:space="preserve"> offre de financement, cycle de vie, dispositifs du Startup Act, accessibilité et investisseurs.</w:t>
      </w:r>
    </w:p>
    <w:p w:rsidR="00000000" w:rsidDel="00000000" w:rsidP="00000000" w:rsidRDefault="00000000" w:rsidRPr="00000000" w14:paraId="000002BE">
      <w:pPr>
        <w:numPr>
          <w:ilvl w:val="0"/>
          <w:numId w:val="6"/>
        </w:numPr>
        <w:spacing w:after="0" w:afterAutospacing="0" w:before="0" w:beforeAutospacing="0" w:lineRule="auto"/>
        <w:ind w:left="720" w:hanging="360"/>
      </w:pPr>
      <w:r w:rsidDel="00000000" w:rsidR="00000000" w:rsidRPr="00000000">
        <w:rPr>
          <w:b w:val="1"/>
          <w:bCs w:val="1"/>
          <w:rtl w:val="0"/>
        </w:rPr>
        <w:t xml:space="preserve">Priorité 2 — importante :</w:t>
      </w:r>
      <w:r w:rsidDel="00000000" w:rsidR="00000000" w:rsidRPr="00000000">
        <w:rPr>
          <w:rtl w:val="0"/>
        </w:rPr>
        <w:t xml:space="preserve"> performance, gouvernance, données et coordination.</w:t>
      </w:r>
    </w:p>
    <w:p w:rsidR="00000000" w:rsidDel="00000000" w:rsidP="00000000" w:rsidRDefault="00000000" w:rsidRPr="00000000" w14:paraId="000002BF">
      <w:pPr>
        <w:numPr>
          <w:ilvl w:val="0"/>
          <w:numId w:val="6"/>
        </w:numPr>
        <w:spacing w:after="240" w:before="0" w:beforeAutospacing="0" w:lineRule="auto"/>
        <w:ind w:left="720" w:hanging="360"/>
      </w:pPr>
      <w:r w:rsidDel="00000000" w:rsidR="00000000" w:rsidRPr="00000000">
        <w:rPr>
          <w:b w:val="1"/>
          <w:bCs w:val="1"/>
          <w:rtl w:val="0"/>
        </w:rPr>
        <w:t xml:space="preserve">Priorité 3 — complémentaire :</w:t>
      </w:r>
      <w:r w:rsidDel="00000000" w:rsidR="00000000" w:rsidRPr="00000000">
        <w:rPr>
          <w:rtl w:val="0"/>
        </w:rPr>
        <w:t xml:space="preserve"> benchmark international détaillé et nouveaux instruments.</w:t>
      </w:r>
    </w:p>
    <w:p w:rsidR="00000000" w:rsidDel="00000000" w:rsidP="00000000" w:rsidRDefault="00000000" w:rsidRPr="00000000" w14:paraId="000002C0">
      <w:pPr>
        <w:spacing w:after="240" w:before="240" w:lineRule="auto"/>
        <w:rPr/>
      </w:pPr>
      <w:r w:rsidDel="00000000" w:rsidR="00000000" w:rsidRPr="00000000">
        <w:rPr>
          <w:rtl w:val="0"/>
        </w:rPr>
        <w:t xml:space="preserve">Le cœur du travail doit rester centré sur cette question :</w:t>
      </w:r>
    </w:p>
    <w:p w:rsidR="00000000" w:rsidDel="00000000" w:rsidP="00000000" w:rsidRDefault="00000000" w:rsidRPr="00000000" w14:paraId="000002C1">
      <w:pPr>
        <w:spacing w:after="240" w:before="240" w:lineRule="auto"/>
        <w:ind w:left="600" w:right="600" w:firstLine="0"/>
        <w:rPr>
          <w:b w:val="1"/>
          <w:bCs w:val="1"/>
        </w:rPr>
      </w:pPr>
      <w:r w:rsidDel="00000000" w:rsidR="00000000" w:rsidRPr="00000000">
        <w:rPr>
          <w:b w:val="1"/>
          <w:bCs w:val="1"/>
          <w:rtl w:val="0"/>
        </w:rPr>
        <w:t xml:space="preserve">Les mécanismes disponibles permettent-ils réellement aux startups tunisiennes d’obtenir, au bon moment, le financement adapté à leur stade de développement ?</w:t>
      </w:r>
    </w:p>
    <w:p w:rsidR="00000000" w:rsidDel="00000000" w:rsidP="00000000" w:rsidRDefault="00000000" w:rsidRPr="00000000" w14:paraId="000002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gh0oxryb9IAIKTY1NgUYkfJoGLO1pmMa/edit?usp=sharing&amp;ouid=10438179433430541781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7dYffCyH0OEQrtAj3c585LFIaw==">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