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right"/>
        <w:bidi w:val="1"/>
      </w:pPr>
      <w:r>
        <w:rPr>
          <w:rFonts w:ascii="Noto Naskh Arabic" w:hAnsi="Noto Naskh Arabic" w:cs="Noto Naskh Arabic" w:eastAsia="Noto Naskh Arabic"/>
          <w:b/>
          <w:color w:val="A41C24"/>
          <w:sz w:val="44"/>
        </w:rPr>
        <w:t>وثيقة مواصفات تطبيق إدارة شبكة فلاش نت</w:t>
      </w:r>
    </w:p>
    <w:p>
      <w:pPr>
        <w:jc w:val="right"/>
        <w:bidi w:val="1"/>
      </w:pPr>
      <w:r>
        <w:rPr>
          <w:rFonts w:ascii="Noto Naskh Arabic" w:hAnsi="Noto Naskh Arabic" w:cs="Noto Naskh Arabic" w:eastAsia="Noto Naskh Arabic"/>
          <w:b w:val="0"/>
          <w:color w:val="6E6E6E"/>
          <w:sz w:val="28"/>
        </w:rPr>
        <w:t>إصدار أولي جاهز للتنفيذ البرمجي</w:t>
      </w:r>
    </w:p>
    <w:tbl>
      <w:tblPr>
        <w:tblW w:type="auto" w:w="0"/>
        <w:jc w:val="center"/>
        <w:tblLayout w:type="fixed"/>
        <w:tblLook w:firstColumn="1" w:firstRow="1" w:lastColumn="0" w:lastRow="0" w:noHBand="0" w:noVBand="1" w:val="04A0"/>
      </w:tblPr>
      <w:tblGrid>
        <w:gridCol w:w="5100"/>
        <w:gridCol w:w="5100"/>
      </w:tblGrid>
      <w:tr>
        <w:tc>
          <w:tcPr>
            <w:tcW w:type="dxa" w:w="2268"/>
            <w:vAlign w:val="center"/>
            <w:shd w:fill="F6E7E8"/>
          </w:tcPr>
          <w:p>
            <w:pPr>
              <w:bidi w:val="1"/>
              <w:jc w:val="right"/>
            </w:pPr>
            <w:r/>
            <w:r>
              <w:rPr>
                <w:rFonts w:ascii="Noto Naskh Arabic" w:hAnsi="Noto Naskh Arabic" w:cs="Noto Naskh Arabic" w:eastAsia="Noto Naskh Arabic"/>
                <w:b/>
                <w:sz w:val="22"/>
              </w:rPr>
              <w:t>اسم الشبكة</w:t>
            </w:r>
          </w:p>
        </w:tc>
        <w:tc>
          <w:tcPr>
            <w:tcW w:type="dxa" w:w="5669"/>
            <w:vAlign w:val="center"/>
          </w:tcPr>
          <w:p>
            <w:pPr>
              <w:bidi w:val="1"/>
              <w:jc w:val="right"/>
            </w:pPr>
            <w:r/>
            <w:r>
              <w:rPr>
                <w:rFonts w:ascii="Noto Naskh Arabic" w:hAnsi="Noto Naskh Arabic" w:cs="Noto Naskh Arabic" w:eastAsia="Noto Naskh Arabic"/>
                <w:b w:val="0"/>
                <w:sz w:val="22"/>
              </w:rPr>
              <w:t>فلاش نت</w:t>
            </w:r>
          </w:p>
        </w:tc>
      </w:tr>
      <w:tr>
        <w:tc>
          <w:tcPr>
            <w:tcW w:type="dxa" w:w="2268"/>
            <w:vAlign w:val="center"/>
            <w:shd w:fill="F6E7E8"/>
          </w:tcPr>
          <w:p>
            <w:pPr>
              <w:bidi w:val="1"/>
              <w:jc w:val="right"/>
            </w:pPr>
            <w:r/>
            <w:r>
              <w:rPr>
                <w:rFonts w:ascii="Noto Naskh Arabic" w:hAnsi="Noto Naskh Arabic" w:cs="Noto Naskh Arabic" w:eastAsia="Noto Naskh Arabic"/>
                <w:b/>
                <w:sz w:val="22"/>
              </w:rPr>
              <w:t>المستخدمون الرئيسيون</w:t>
            </w:r>
          </w:p>
        </w:tc>
        <w:tc>
          <w:tcPr>
            <w:tcW w:type="dxa" w:w="5669"/>
            <w:vAlign w:val="center"/>
          </w:tcPr>
          <w:p>
            <w:pPr>
              <w:bidi w:val="1"/>
              <w:jc w:val="right"/>
            </w:pPr>
            <w:r/>
            <w:r>
              <w:rPr>
                <w:rFonts w:ascii="Noto Naskh Arabic" w:hAnsi="Noto Naskh Arabic" w:cs="Noto Naskh Arabic" w:eastAsia="Noto Naskh Arabic"/>
                <w:b w:val="0"/>
                <w:sz w:val="22"/>
              </w:rPr>
              <w:t>المالك • المسؤول المالي • المشرف • المهندس الفني</w:t>
            </w:r>
          </w:p>
        </w:tc>
      </w:tr>
      <w:tr>
        <w:tc>
          <w:tcPr>
            <w:tcW w:type="dxa" w:w="2268"/>
            <w:vAlign w:val="center"/>
            <w:shd w:fill="F6E7E8"/>
          </w:tcPr>
          <w:p>
            <w:pPr>
              <w:bidi w:val="1"/>
              <w:jc w:val="right"/>
            </w:pPr>
            <w:r/>
            <w:r>
              <w:rPr>
                <w:rFonts w:ascii="Noto Naskh Arabic" w:hAnsi="Noto Naskh Arabic" w:cs="Noto Naskh Arabic" w:eastAsia="Noto Naskh Arabic"/>
                <w:b/>
                <w:sz w:val="22"/>
              </w:rPr>
              <w:t>الملفات الجاهزة للاستيراد</w:t>
            </w:r>
          </w:p>
        </w:tc>
        <w:tc>
          <w:tcPr>
            <w:tcW w:type="dxa" w:w="5669"/>
            <w:vAlign w:val="center"/>
          </w:tcPr>
          <w:p>
            <w:pPr>
              <w:bidi w:val="1"/>
              <w:jc w:val="right"/>
            </w:pPr>
            <w:r/>
            <w:r>
              <w:rPr>
                <w:rFonts w:ascii="Noto Naskh Arabic" w:hAnsi="Noto Naskh Arabic" w:cs="Noto Naskh Arabic" w:eastAsia="Noto Naskh Arabic"/>
                <w:b w:val="0"/>
                <w:sz w:val="22"/>
              </w:rPr>
              <w:t>هوتسبوت (979 سجل) • برودباند (632 سجل) • نقاط البيع (56 سجل)</w:t>
            </w:r>
          </w:p>
        </w:tc>
      </w:tr>
      <w:tr>
        <w:tc>
          <w:tcPr>
            <w:tcW w:type="dxa" w:w="2268"/>
            <w:vAlign w:val="center"/>
            <w:shd w:fill="F6E7E8"/>
          </w:tcPr>
          <w:p>
            <w:pPr>
              <w:bidi w:val="1"/>
              <w:jc w:val="right"/>
            </w:pPr>
            <w:r/>
            <w:r>
              <w:rPr>
                <w:rFonts w:ascii="Noto Naskh Arabic" w:hAnsi="Noto Naskh Arabic" w:cs="Noto Naskh Arabic" w:eastAsia="Noto Naskh Arabic"/>
                <w:b/>
                <w:sz w:val="22"/>
              </w:rPr>
              <w:t>هدف الوثيقة</w:t>
            </w:r>
          </w:p>
        </w:tc>
        <w:tc>
          <w:tcPr>
            <w:tcW w:type="dxa" w:w="5669"/>
            <w:vAlign w:val="center"/>
          </w:tcPr>
          <w:p>
            <w:pPr>
              <w:bidi w:val="1"/>
              <w:jc w:val="right"/>
            </w:pPr>
            <w:r/>
            <w:r>
              <w:rPr>
                <w:rFonts w:ascii="Noto Naskh Arabic" w:hAnsi="Noto Naskh Arabic" w:cs="Noto Naskh Arabic" w:eastAsia="Noto Naskh Arabic"/>
                <w:b w:val="0"/>
                <w:sz w:val="22"/>
              </w:rPr>
              <w:t>تثبيت المتطلبات الوظيفية وقاعدة البيانات وسير العمل قبل التنفيذ</w:t>
            </w:r>
          </w:p>
        </w:tc>
      </w:tr>
    </w:tbl>
    <w:p/>
    <w:p>
      <w:pPr>
        <w:bidi w:val="1"/>
        <w:spacing w:after="80" w:before="0" w:line="300" w:lineRule="auto"/>
        <w:jc w:val="right"/>
      </w:pPr>
      <w:r>
        <w:rPr>
          <w:rFonts w:ascii="Noto Naskh Arabic" w:hAnsi="Noto Naskh Arabic" w:cs="Noto Naskh Arabic" w:eastAsia="Noto Naskh Arabic"/>
          <w:b w:val="0"/>
          <w:sz w:val="22"/>
        </w:rPr>
        <w:t>هذه الوثيقة تجمع جميع النقاط التي تم الاتفاق عليها لتكون مرجعًا واضحًا للمصمم والمبرمج قبل البدء بالتنفيذ، مع تضمين بنية البيانات الحالية المطلوب استيرادها من ملفات الإكسل الجاهزة.</w:t>
      </w:r>
    </w:p>
    <w:p>
      <w:r>
        <w:br w:type="page"/>
      </w:r>
    </w:p>
    <w:p>
      <w:pPr>
        <w:keepNext/>
        <w:bidi w:val="1"/>
        <w:spacing w:after="160" w:before="160" w:line="300" w:lineRule="auto"/>
        <w:jc w:val="right"/>
      </w:pPr>
      <w:r>
        <w:rPr>
          <w:rFonts w:ascii="Noto Naskh Arabic" w:hAnsi="Noto Naskh Arabic" w:cs="Noto Naskh Arabic" w:eastAsia="Noto Naskh Arabic"/>
          <w:b/>
          <w:color w:val="A82121"/>
          <w:sz w:val="30"/>
        </w:rPr>
        <w:t>1) ملخص تنفيذي</w:t>
      </w:r>
    </w:p>
    <w:p>
      <w:pPr>
        <w:bidi w:val="1"/>
        <w:spacing w:after="80" w:before="0" w:line="300" w:lineRule="auto"/>
        <w:jc w:val="right"/>
      </w:pPr>
      <w:r>
        <w:rPr>
          <w:rFonts w:ascii="Noto Naskh Arabic" w:hAnsi="Noto Naskh Arabic" w:cs="Noto Naskh Arabic" w:eastAsia="Noto Naskh Arabic"/>
          <w:b w:val="0"/>
          <w:sz w:val="22"/>
        </w:rPr>
        <w:t>• النظام المطلوب هو تطبيق تشغيل وإدارة لشبكة فلاش نت، ويركز على الإدارة اليومية، المتابعة التشغيلية، المحاسبة الأساسية، إدارة العهد، إدارة قواعد البيانات، وتذاكر الإصلاح والتركيب.</w:t>
      </w:r>
    </w:p>
    <w:p>
      <w:pPr>
        <w:bidi w:val="1"/>
        <w:spacing w:after="80" w:before="0" w:line="300" w:lineRule="auto"/>
        <w:jc w:val="right"/>
      </w:pPr>
      <w:r>
        <w:rPr>
          <w:rFonts w:ascii="Noto Naskh Arabic" w:hAnsi="Noto Naskh Arabic" w:cs="Noto Naskh Arabic" w:eastAsia="Noto Naskh Arabic"/>
          <w:b w:val="0"/>
          <w:sz w:val="22"/>
        </w:rPr>
        <w:t>• التطبيق ليس مجرد سجل بيانات؛ بل منصة عمل يومي تربط بين المالك، والمسؤول المالي، والمشرف، والمهندسين الفنيين، مع صلاحيات واضحة لكل دور.</w:t>
      </w:r>
    </w:p>
    <w:p>
      <w:pPr>
        <w:bidi w:val="1"/>
        <w:spacing w:after="80" w:before="0" w:line="300" w:lineRule="auto"/>
        <w:jc w:val="right"/>
      </w:pPr>
      <w:r>
        <w:rPr>
          <w:rFonts w:ascii="Noto Naskh Arabic" w:hAnsi="Noto Naskh Arabic" w:cs="Noto Naskh Arabic" w:eastAsia="Noto Naskh Arabic"/>
          <w:b w:val="0"/>
          <w:sz w:val="22"/>
        </w:rPr>
        <w:t>• يعتمد النظام على استيراد قواعد البيانات الحالية كما هي من ملفات الإكسل، ثم الاستمرار من نقطة التوقف الحالية دون إعادة إدخال البيانات من الصفر.</w:t>
      </w:r>
    </w:p>
    <w:p>
      <w:pPr>
        <w:bidi w:val="1"/>
        <w:spacing w:after="80" w:before="0" w:line="300" w:lineRule="auto"/>
        <w:jc w:val="right"/>
      </w:pPr>
      <w:r>
        <w:rPr>
          <w:rFonts w:ascii="Noto Naskh Arabic" w:hAnsi="Noto Naskh Arabic" w:cs="Noto Naskh Arabic" w:eastAsia="Noto Naskh Arabic"/>
          <w:b w:val="0"/>
          <w:sz w:val="22"/>
        </w:rPr>
        <w:t>• الواجهة الأساسية للمالك تكون رقابية ومختصرة، أما المسؤول المالي والمشرف والمهندس الفني فتكون واجهاتهم تنفيذية ومصممة لسرعة العمل على الجوال.</w:t>
      </w:r>
    </w:p>
    <w:p>
      <w:pPr>
        <w:keepNext/>
        <w:bidi w:val="1"/>
        <w:spacing w:after="160" w:before="160" w:line="300" w:lineRule="auto"/>
        <w:jc w:val="right"/>
      </w:pPr>
      <w:r>
        <w:rPr>
          <w:rFonts w:ascii="Noto Naskh Arabic" w:hAnsi="Noto Naskh Arabic" w:cs="Noto Naskh Arabic" w:eastAsia="Noto Naskh Arabic"/>
          <w:b/>
          <w:color w:val="A82121"/>
          <w:sz w:val="30"/>
        </w:rPr>
        <w:t>2) هوية الشبكة والأسعار المعتمدة</w:t>
      </w:r>
    </w:p>
    <w:p>
      <w:pPr>
        <w:bidi w:val="1"/>
        <w:spacing w:after="80" w:before="0" w:line="300" w:lineRule="auto"/>
        <w:jc w:val="right"/>
      </w:pPr>
      <w:r>
        <w:rPr>
          <w:rFonts w:ascii="Noto Naskh Arabic" w:hAnsi="Noto Naskh Arabic" w:cs="Noto Naskh Arabic" w:eastAsia="Noto Naskh Arabic"/>
          <w:b w:val="0"/>
          <w:sz w:val="22"/>
        </w:rPr>
        <w:t>اسم الشبكة الرسمي داخل التطبيق: فلاش نت.</w:t>
      </w:r>
    </w:p>
    <w:p>
      <w:pPr>
        <w:keepNext/>
        <w:bidi w:val="1"/>
        <w:spacing w:after="80" w:before="120" w:line="300" w:lineRule="auto"/>
        <w:jc w:val="right"/>
      </w:pPr>
      <w:r>
        <w:rPr>
          <w:rFonts w:ascii="Noto Naskh Arabic" w:hAnsi="Noto Naskh Arabic" w:cs="Noto Naskh Arabic" w:eastAsia="Noto Naskh Arabic"/>
          <w:b/>
          <w:color w:val="781E1E"/>
          <w:sz w:val="25"/>
        </w:rPr>
        <w:t>أسعار الكروت المعتمدة للمحاسبة</w:t>
      </w:r>
    </w:p>
    <w:tbl>
      <w:tblPr>
        <w:tblW w:type="auto" w:w="0"/>
        <w:jc w:val="center"/>
        <w:tblLayout w:type="fixed"/>
        <w:tblLook w:firstColumn="1" w:firstRow="1" w:lastColumn="0" w:lastRow="0" w:noHBand="0" w:noVBand="1" w:val="04A0"/>
      </w:tblPr>
      <w:tblGrid>
        <w:gridCol w:w="2268"/>
        <w:gridCol w:w="4535"/>
      </w:tblGrid>
      <w:tr>
        <w:tc>
          <w:tcPr>
            <w:tcW w:type="dxa" w:w="5100"/>
            <w:vAlign w:val="center"/>
            <w:shd w:fill="B71C1C"/>
          </w:tcPr>
          <w:p>
            <w:pPr>
              <w:bidi w:val="1"/>
              <w:jc w:val="center"/>
            </w:pPr>
            <w:r/>
            <w:r>
              <w:rPr>
                <w:rFonts w:ascii="Noto Naskh Arabic" w:hAnsi="Noto Naskh Arabic" w:cs="Noto Naskh Arabic" w:eastAsia="Noto Naskh Arabic"/>
                <w:b/>
                <w:color w:val="FFFFFF"/>
                <w:sz w:val="22"/>
              </w:rPr>
              <w:t>فئة الكرت</w:t>
            </w:r>
          </w:p>
        </w:tc>
        <w:tc>
          <w:tcPr>
            <w:tcW w:type="dxa" w:w="5100"/>
            <w:vAlign w:val="center"/>
            <w:shd w:fill="B71C1C"/>
          </w:tcPr>
          <w:p>
            <w:pPr>
              <w:bidi w:val="1"/>
              <w:jc w:val="center"/>
            </w:pPr>
            <w:r/>
            <w:r>
              <w:rPr>
                <w:rFonts w:ascii="Noto Naskh Arabic" w:hAnsi="Noto Naskh Arabic" w:cs="Noto Naskh Arabic" w:eastAsia="Noto Naskh Arabic"/>
                <w:b/>
                <w:color w:val="FFFFFF"/>
                <w:sz w:val="22"/>
              </w:rPr>
              <w:t>القيمة المحاسبية المعتمدة</w:t>
            </w:r>
          </w:p>
        </w:tc>
      </w:tr>
      <w:tr>
        <w:tc>
          <w:tcPr>
            <w:tcW w:type="dxa" w:w="5100"/>
            <w:vAlign w:val="center"/>
            <w:shd w:fill="F9F2F2"/>
          </w:tcPr>
          <w:p>
            <w:pPr>
              <w:bidi w:val="1"/>
              <w:jc w:val="center"/>
            </w:pPr>
            <w:r/>
            <w:r>
              <w:rPr>
                <w:rFonts w:ascii="Noto Naskh Arabic" w:hAnsi="Noto Naskh Arabic" w:cs="Noto Naskh Arabic" w:eastAsia="Noto Naskh Arabic"/>
                <w:b/>
                <w:sz w:val="22"/>
              </w:rPr>
              <w:t>200</w:t>
            </w:r>
          </w:p>
        </w:tc>
        <w:tc>
          <w:tcPr>
            <w:tcW w:type="dxa" w:w="5100"/>
            <w:vAlign w:val="center"/>
          </w:tcPr>
          <w:p>
            <w:pPr>
              <w:bidi w:val="1"/>
              <w:jc w:val="center"/>
            </w:pPr>
            <w:r/>
            <w:r>
              <w:rPr>
                <w:rFonts w:ascii="Noto Naskh Arabic" w:hAnsi="Noto Naskh Arabic" w:cs="Noto Naskh Arabic" w:eastAsia="Noto Naskh Arabic"/>
                <w:b w:val="0"/>
                <w:sz w:val="22"/>
              </w:rPr>
              <w:t>180 ريال</w:t>
            </w:r>
          </w:p>
        </w:tc>
      </w:tr>
      <w:tr>
        <w:tc>
          <w:tcPr>
            <w:tcW w:type="dxa" w:w="5100"/>
            <w:vAlign w:val="center"/>
            <w:shd w:fill="F9F2F2"/>
          </w:tcPr>
          <w:p>
            <w:pPr>
              <w:bidi w:val="1"/>
              <w:jc w:val="center"/>
            </w:pPr>
            <w:r/>
            <w:r>
              <w:rPr>
                <w:rFonts w:ascii="Noto Naskh Arabic" w:hAnsi="Noto Naskh Arabic" w:cs="Noto Naskh Arabic" w:eastAsia="Noto Naskh Arabic"/>
                <w:b/>
                <w:sz w:val="22"/>
              </w:rPr>
              <w:t>300</w:t>
            </w:r>
          </w:p>
        </w:tc>
        <w:tc>
          <w:tcPr>
            <w:tcW w:type="dxa" w:w="5100"/>
            <w:vAlign w:val="center"/>
          </w:tcPr>
          <w:p>
            <w:pPr>
              <w:bidi w:val="1"/>
              <w:jc w:val="center"/>
            </w:pPr>
            <w:r/>
            <w:r>
              <w:rPr>
                <w:rFonts w:ascii="Noto Naskh Arabic" w:hAnsi="Noto Naskh Arabic" w:cs="Noto Naskh Arabic" w:eastAsia="Noto Naskh Arabic"/>
                <w:b w:val="0"/>
                <w:sz w:val="22"/>
              </w:rPr>
              <w:t>270 ريال</w:t>
            </w:r>
          </w:p>
        </w:tc>
      </w:tr>
      <w:tr>
        <w:tc>
          <w:tcPr>
            <w:tcW w:type="dxa" w:w="5100"/>
            <w:vAlign w:val="center"/>
            <w:shd w:fill="F9F2F2"/>
          </w:tcPr>
          <w:p>
            <w:pPr>
              <w:bidi w:val="1"/>
              <w:jc w:val="center"/>
            </w:pPr>
            <w:r/>
            <w:r>
              <w:rPr>
                <w:rFonts w:ascii="Noto Naskh Arabic" w:hAnsi="Noto Naskh Arabic" w:cs="Noto Naskh Arabic" w:eastAsia="Noto Naskh Arabic"/>
                <w:b/>
                <w:sz w:val="22"/>
              </w:rPr>
              <w:t>500</w:t>
            </w:r>
          </w:p>
        </w:tc>
        <w:tc>
          <w:tcPr>
            <w:tcW w:type="dxa" w:w="5100"/>
            <w:vAlign w:val="center"/>
          </w:tcPr>
          <w:p>
            <w:pPr>
              <w:bidi w:val="1"/>
              <w:jc w:val="center"/>
            </w:pPr>
            <w:r/>
            <w:r>
              <w:rPr>
                <w:rFonts w:ascii="Noto Naskh Arabic" w:hAnsi="Noto Naskh Arabic" w:cs="Noto Naskh Arabic" w:eastAsia="Noto Naskh Arabic"/>
                <w:b w:val="0"/>
                <w:sz w:val="22"/>
              </w:rPr>
              <w:t>450 ريال</w:t>
            </w:r>
          </w:p>
        </w:tc>
      </w:tr>
      <w:tr>
        <w:tc>
          <w:tcPr>
            <w:tcW w:type="dxa" w:w="5100"/>
            <w:vAlign w:val="center"/>
            <w:shd w:fill="F9F2F2"/>
          </w:tcPr>
          <w:p>
            <w:pPr>
              <w:bidi w:val="1"/>
              <w:jc w:val="center"/>
            </w:pPr>
            <w:r/>
            <w:r>
              <w:rPr>
                <w:rFonts w:ascii="Noto Naskh Arabic" w:hAnsi="Noto Naskh Arabic" w:cs="Noto Naskh Arabic" w:eastAsia="Noto Naskh Arabic"/>
                <w:b/>
                <w:sz w:val="22"/>
              </w:rPr>
              <w:t>1000</w:t>
            </w:r>
          </w:p>
        </w:tc>
        <w:tc>
          <w:tcPr>
            <w:tcW w:type="dxa" w:w="5100"/>
            <w:vAlign w:val="center"/>
          </w:tcPr>
          <w:p>
            <w:pPr>
              <w:bidi w:val="1"/>
              <w:jc w:val="center"/>
            </w:pPr>
            <w:r/>
            <w:r>
              <w:rPr>
                <w:rFonts w:ascii="Noto Naskh Arabic" w:hAnsi="Noto Naskh Arabic" w:cs="Noto Naskh Arabic" w:eastAsia="Noto Naskh Arabic"/>
                <w:b w:val="0"/>
                <w:sz w:val="22"/>
              </w:rPr>
              <w:t>900 ريال</w:t>
            </w:r>
          </w:p>
        </w:tc>
      </w:tr>
      <w:tr>
        <w:tc>
          <w:tcPr>
            <w:tcW w:type="dxa" w:w="5100"/>
            <w:vAlign w:val="center"/>
            <w:shd w:fill="F9F2F2"/>
          </w:tcPr>
          <w:p>
            <w:pPr>
              <w:bidi w:val="1"/>
              <w:jc w:val="center"/>
            </w:pPr>
            <w:r/>
            <w:r>
              <w:rPr>
                <w:rFonts w:ascii="Noto Naskh Arabic" w:hAnsi="Noto Naskh Arabic" w:cs="Noto Naskh Arabic" w:eastAsia="Noto Naskh Arabic"/>
                <w:b/>
                <w:sz w:val="22"/>
              </w:rPr>
              <w:t>2000</w:t>
            </w:r>
          </w:p>
        </w:tc>
        <w:tc>
          <w:tcPr>
            <w:tcW w:type="dxa" w:w="5100"/>
            <w:vAlign w:val="center"/>
          </w:tcPr>
          <w:p>
            <w:pPr>
              <w:bidi w:val="1"/>
              <w:jc w:val="center"/>
            </w:pPr>
            <w:r/>
            <w:r>
              <w:rPr>
                <w:rFonts w:ascii="Noto Naskh Arabic" w:hAnsi="Noto Naskh Arabic" w:cs="Noto Naskh Arabic" w:eastAsia="Noto Naskh Arabic"/>
                <w:b w:val="0"/>
                <w:sz w:val="22"/>
              </w:rPr>
              <w:t>1800 ريال</w:t>
            </w:r>
          </w:p>
        </w:tc>
      </w:tr>
      <w:tr>
        <w:tc>
          <w:tcPr>
            <w:tcW w:type="dxa" w:w="5100"/>
            <w:vAlign w:val="center"/>
            <w:shd w:fill="F9F2F2"/>
          </w:tcPr>
          <w:p>
            <w:pPr>
              <w:bidi w:val="1"/>
              <w:jc w:val="center"/>
            </w:pPr>
            <w:r/>
            <w:r>
              <w:rPr>
                <w:rFonts w:ascii="Noto Naskh Arabic" w:hAnsi="Noto Naskh Arabic" w:cs="Noto Naskh Arabic" w:eastAsia="Noto Naskh Arabic"/>
                <w:b/>
                <w:sz w:val="22"/>
              </w:rPr>
              <w:t>3000</w:t>
            </w:r>
          </w:p>
        </w:tc>
        <w:tc>
          <w:tcPr>
            <w:tcW w:type="dxa" w:w="5100"/>
            <w:vAlign w:val="center"/>
          </w:tcPr>
          <w:p>
            <w:pPr>
              <w:bidi w:val="1"/>
              <w:jc w:val="center"/>
            </w:pPr>
            <w:r/>
            <w:r>
              <w:rPr>
                <w:rFonts w:ascii="Noto Naskh Arabic" w:hAnsi="Noto Naskh Arabic" w:cs="Noto Naskh Arabic" w:eastAsia="Noto Naskh Arabic"/>
                <w:b w:val="0"/>
                <w:sz w:val="22"/>
              </w:rPr>
              <w:t>2700 ريال</w:t>
            </w:r>
          </w:p>
        </w:tc>
      </w:tr>
      <w:tr>
        <w:tc>
          <w:tcPr>
            <w:tcW w:type="dxa" w:w="5100"/>
            <w:vAlign w:val="center"/>
            <w:shd w:fill="F9F2F2"/>
          </w:tcPr>
          <w:p>
            <w:pPr>
              <w:bidi w:val="1"/>
              <w:jc w:val="center"/>
            </w:pPr>
            <w:r/>
            <w:r>
              <w:rPr>
                <w:rFonts w:ascii="Noto Naskh Arabic" w:hAnsi="Noto Naskh Arabic" w:cs="Noto Naskh Arabic" w:eastAsia="Noto Naskh Arabic"/>
                <w:b/>
                <w:sz w:val="22"/>
              </w:rPr>
              <w:t>5000</w:t>
            </w:r>
          </w:p>
        </w:tc>
        <w:tc>
          <w:tcPr>
            <w:tcW w:type="dxa" w:w="5100"/>
            <w:vAlign w:val="center"/>
          </w:tcPr>
          <w:p>
            <w:pPr>
              <w:bidi w:val="1"/>
              <w:jc w:val="center"/>
            </w:pPr>
            <w:r/>
            <w:r>
              <w:rPr>
                <w:rFonts w:ascii="Noto Naskh Arabic" w:hAnsi="Noto Naskh Arabic" w:cs="Noto Naskh Arabic" w:eastAsia="Noto Naskh Arabic"/>
                <w:b w:val="0"/>
                <w:sz w:val="22"/>
              </w:rPr>
              <w:t>5000 ريال</w:t>
            </w:r>
          </w:p>
        </w:tc>
      </w:tr>
      <w:tr>
        <w:tc>
          <w:tcPr>
            <w:tcW w:type="dxa" w:w="5100"/>
            <w:vAlign w:val="center"/>
            <w:shd w:fill="F9F2F2"/>
          </w:tcPr>
          <w:p>
            <w:pPr>
              <w:bidi w:val="1"/>
              <w:jc w:val="center"/>
            </w:pPr>
            <w:r/>
            <w:r>
              <w:rPr>
                <w:rFonts w:ascii="Noto Naskh Arabic" w:hAnsi="Noto Naskh Arabic" w:cs="Noto Naskh Arabic" w:eastAsia="Noto Naskh Arabic"/>
                <w:b/>
                <w:sz w:val="22"/>
              </w:rPr>
              <w:t>9000</w:t>
            </w:r>
          </w:p>
        </w:tc>
        <w:tc>
          <w:tcPr>
            <w:tcW w:type="dxa" w:w="5100"/>
            <w:vAlign w:val="center"/>
          </w:tcPr>
          <w:p>
            <w:pPr>
              <w:bidi w:val="1"/>
              <w:jc w:val="center"/>
            </w:pPr>
            <w:r/>
            <w:r>
              <w:rPr>
                <w:rFonts w:ascii="Noto Naskh Arabic" w:hAnsi="Noto Naskh Arabic" w:cs="Noto Naskh Arabic" w:eastAsia="Noto Naskh Arabic"/>
                <w:b w:val="0"/>
                <w:sz w:val="22"/>
              </w:rPr>
              <w:t>9000 ريال</w:t>
            </w:r>
          </w:p>
        </w:tc>
      </w:tr>
    </w:tbl>
    <w:p>
      <w:pPr>
        <w:bidi w:val="1"/>
        <w:spacing w:after="80" w:before="0" w:line="300" w:lineRule="auto"/>
        <w:jc w:val="right"/>
      </w:pPr>
      <w:r>
        <w:rPr>
          <w:rFonts w:ascii="Noto Naskh Arabic" w:hAnsi="Noto Naskh Arabic" w:cs="Noto Naskh Arabic" w:eastAsia="Noto Naskh Arabic"/>
          <w:b w:val="0"/>
          <w:color w:val="5A5A5A"/>
          <w:sz w:val="21"/>
        </w:rPr>
        <w:t>تستخدم هذه الأسعار في إضافة العهدة، وفي احتساب قيمة الكروت عند تسليمها للمسؤول المالي من قبل المالك.</w:t>
      </w:r>
    </w:p>
    <w:p>
      <w:r>
        <w:br w:type="page"/>
      </w:r>
    </w:p>
    <w:p>
      <w:pPr>
        <w:keepNext/>
        <w:bidi w:val="1"/>
        <w:spacing w:after="160" w:before="160" w:line="300" w:lineRule="auto"/>
        <w:jc w:val="right"/>
      </w:pPr>
      <w:r>
        <w:rPr>
          <w:rFonts w:ascii="Noto Naskh Arabic" w:hAnsi="Noto Naskh Arabic" w:cs="Noto Naskh Arabic" w:eastAsia="Noto Naskh Arabic"/>
          <w:b/>
          <w:color w:val="A82121"/>
          <w:sz w:val="30"/>
        </w:rPr>
        <w:t>3) البيانات الحالية المطلوب استيرادها</w:t>
      </w:r>
    </w:p>
    <w:p>
      <w:pPr>
        <w:bidi w:val="1"/>
        <w:spacing w:after="80" w:before="0" w:line="300" w:lineRule="auto"/>
        <w:jc w:val="right"/>
      </w:pPr>
      <w:r>
        <w:rPr>
          <w:rFonts w:ascii="Noto Naskh Arabic" w:hAnsi="Noto Naskh Arabic" w:cs="Noto Naskh Arabic" w:eastAsia="Noto Naskh Arabic"/>
          <w:b w:val="0"/>
          <w:sz w:val="22"/>
        </w:rPr>
        <w:t>يجب على المبرمج استيراد الملفات الحالية إلى قاعدة البيانات الداخلية للتطبيق قبل بدء التشغيل الفعلي. الهدف هو البدء من الوضع الحالي للشبكة، وليس إنشاء نظام فارغ.</w:t>
      </w:r>
    </w:p>
    <w:tbl>
      <w:tblPr>
        <w:tblW w:type="auto" w:w="0"/>
        <w:jc w:val="center"/>
        <w:tblLayout w:type="fixed"/>
        <w:tblLook w:firstColumn="1" w:firstRow="1" w:lastColumn="0" w:lastRow="0" w:noHBand="0" w:noVBand="1" w:val="04A0"/>
      </w:tblPr>
      <w:tblGrid>
        <w:gridCol w:w="2550"/>
        <w:gridCol w:w="2550"/>
        <w:gridCol w:w="2550"/>
        <w:gridCol w:w="2550"/>
      </w:tblGrid>
      <w:tr>
        <w:tc>
          <w:tcPr>
            <w:tcW w:type="dxa" w:w="2268"/>
            <w:vAlign w:val="center"/>
            <w:shd w:fill="8D1F25"/>
          </w:tcPr>
          <w:p>
            <w:pPr>
              <w:bidi w:val="1"/>
              <w:jc w:val="center"/>
            </w:pPr>
            <w:r/>
            <w:r>
              <w:rPr>
                <w:rFonts w:ascii="Noto Naskh Arabic" w:hAnsi="Noto Naskh Arabic" w:cs="Noto Naskh Arabic" w:eastAsia="Noto Naskh Arabic"/>
                <w:b/>
                <w:color w:val="FFFFFF"/>
                <w:sz w:val="21"/>
              </w:rPr>
              <w:t>الملف</w:t>
            </w:r>
          </w:p>
        </w:tc>
        <w:tc>
          <w:tcPr>
            <w:tcW w:type="dxa" w:w="1701"/>
            <w:vAlign w:val="center"/>
            <w:shd w:fill="8D1F25"/>
          </w:tcPr>
          <w:p>
            <w:pPr>
              <w:bidi w:val="1"/>
              <w:jc w:val="center"/>
            </w:pPr>
            <w:r/>
            <w:r>
              <w:rPr>
                <w:rFonts w:ascii="Noto Naskh Arabic" w:hAnsi="Noto Naskh Arabic" w:cs="Noto Naskh Arabic" w:eastAsia="Noto Naskh Arabic"/>
                <w:b/>
                <w:color w:val="FFFFFF"/>
                <w:sz w:val="21"/>
              </w:rPr>
              <w:t>عدد السجلات</w:t>
            </w:r>
          </w:p>
        </w:tc>
        <w:tc>
          <w:tcPr>
            <w:tcW w:type="dxa" w:w="2268"/>
            <w:vAlign w:val="center"/>
            <w:shd w:fill="8D1F25"/>
          </w:tcPr>
          <w:p>
            <w:pPr>
              <w:bidi w:val="1"/>
              <w:jc w:val="center"/>
            </w:pPr>
            <w:r/>
            <w:r>
              <w:rPr>
                <w:rFonts w:ascii="Noto Naskh Arabic" w:hAnsi="Noto Naskh Arabic" w:cs="Noto Naskh Arabic" w:eastAsia="Noto Naskh Arabic"/>
                <w:b/>
                <w:color w:val="FFFFFF"/>
                <w:sz w:val="21"/>
              </w:rPr>
              <w:t>ورقة العمل</w:t>
            </w:r>
          </w:p>
        </w:tc>
        <w:tc>
          <w:tcPr>
            <w:tcW w:type="dxa" w:w="2835"/>
            <w:vAlign w:val="center"/>
            <w:shd w:fill="8D1F25"/>
          </w:tcPr>
          <w:p>
            <w:pPr>
              <w:bidi w:val="1"/>
              <w:jc w:val="center"/>
            </w:pPr>
            <w:r/>
            <w:r>
              <w:rPr>
                <w:rFonts w:ascii="Noto Naskh Arabic" w:hAnsi="Noto Naskh Arabic" w:cs="Noto Naskh Arabic" w:eastAsia="Noto Naskh Arabic"/>
                <w:b/>
                <w:color w:val="FFFFFF"/>
                <w:sz w:val="21"/>
              </w:rPr>
              <w:t>ملاحظات الاستيراد</w:t>
            </w:r>
          </w:p>
        </w:tc>
      </w:tr>
      <w:tr>
        <w:tc>
          <w:tcPr>
            <w:tcW w:type="dxa" w:w="2268"/>
            <w:vAlign w:val="center"/>
          </w:tcPr>
          <w:p>
            <w:pPr>
              <w:bidi w:val="1"/>
              <w:jc w:val="right"/>
            </w:pPr>
            <w:r/>
            <w:r>
              <w:rPr>
                <w:rFonts w:ascii="Noto Naskh Arabic" w:hAnsi="Noto Naskh Arabic" w:cs="Noto Naskh Arabic" w:eastAsia="Noto Naskh Arabic"/>
                <w:b w:val="0"/>
                <w:sz w:val="21"/>
              </w:rPr>
              <w:t>هوتسبوت</w:t>
            </w:r>
          </w:p>
        </w:tc>
        <w:tc>
          <w:tcPr>
            <w:tcW w:type="dxa" w:w="1701"/>
            <w:vAlign w:val="center"/>
          </w:tcPr>
          <w:p>
            <w:pPr>
              <w:bidi w:val="1"/>
              <w:jc w:val="right"/>
            </w:pPr>
            <w:r/>
            <w:r>
              <w:rPr>
                <w:rFonts w:ascii="Noto Naskh Arabic" w:hAnsi="Noto Naskh Arabic" w:cs="Noto Naskh Arabic" w:eastAsia="Noto Naskh Arabic"/>
                <w:b w:val="0"/>
                <w:sz w:val="21"/>
              </w:rPr>
              <w:t>979</w:t>
            </w:r>
          </w:p>
        </w:tc>
        <w:tc>
          <w:tcPr>
            <w:tcW w:type="dxa" w:w="2268"/>
            <w:vAlign w:val="center"/>
          </w:tcPr>
          <w:p>
            <w:pPr>
              <w:bidi w:val="1"/>
              <w:jc w:val="right"/>
            </w:pPr>
            <w:r/>
            <w:r>
              <w:rPr>
                <w:rFonts w:ascii="Noto Naskh Arabic" w:hAnsi="Noto Naskh Arabic" w:cs="Noto Naskh Arabic" w:eastAsia="Noto Naskh Arabic"/>
                <w:b w:val="0"/>
                <w:sz w:val="21"/>
              </w:rPr>
              <w:t>نقاط البث هوتسبوت</w:t>
            </w:r>
          </w:p>
        </w:tc>
        <w:tc>
          <w:tcPr>
            <w:tcW w:type="dxa" w:w="2835"/>
            <w:vAlign w:val="center"/>
          </w:tcPr>
          <w:p>
            <w:pPr>
              <w:bidi w:val="1"/>
              <w:jc w:val="right"/>
            </w:pPr>
            <w:r/>
            <w:r>
              <w:rPr>
                <w:rFonts w:ascii="Noto Naskh Arabic" w:hAnsi="Noto Naskh Arabic" w:cs="Noto Naskh Arabic" w:eastAsia="Noto Naskh Arabic"/>
                <w:b w:val="0"/>
                <w:sz w:val="21"/>
              </w:rPr>
              <w:t>يتم حفظ النوع داخلي أو خارجي ضمن نفس التبويب</w:t>
            </w:r>
          </w:p>
        </w:tc>
      </w:tr>
      <w:tr>
        <w:tc>
          <w:tcPr>
            <w:tcW w:type="dxa" w:w="2268"/>
            <w:vAlign w:val="center"/>
          </w:tcPr>
          <w:p>
            <w:pPr>
              <w:bidi w:val="1"/>
              <w:jc w:val="right"/>
            </w:pPr>
            <w:r/>
            <w:r>
              <w:rPr>
                <w:rFonts w:ascii="Noto Naskh Arabic" w:hAnsi="Noto Naskh Arabic" w:cs="Noto Naskh Arabic" w:eastAsia="Noto Naskh Arabic"/>
                <w:b w:val="0"/>
                <w:sz w:val="21"/>
              </w:rPr>
              <w:t>برودباند</w:t>
            </w:r>
          </w:p>
        </w:tc>
        <w:tc>
          <w:tcPr>
            <w:tcW w:type="dxa" w:w="1701"/>
            <w:vAlign w:val="center"/>
          </w:tcPr>
          <w:p>
            <w:pPr>
              <w:bidi w:val="1"/>
              <w:jc w:val="right"/>
            </w:pPr>
            <w:r/>
            <w:r>
              <w:rPr>
                <w:rFonts w:ascii="Noto Naskh Arabic" w:hAnsi="Noto Naskh Arabic" w:cs="Noto Naskh Arabic" w:eastAsia="Noto Naskh Arabic"/>
                <w:b w:val="0"/>
                <w:sz w:val="21"/>
              </w:rPr>
              <w:t>632</w:t>
            </w:r>
          </w:p>
        </w:tc>
        <w:tc>
          <w:tcPr>
            <w:tcW w:type="dxa" w:w="2268"/>
            <w:vAlign w:val="center"/>
          </w:tcPr>
          <w:p>
            <w:pPr>
              <w:bidi w:val="1"/>
              <w:jc w:val="right"/>
            </w:pPr>
            <w:r/>
            <w:r>
              <w:rPr>
                <w:rFonts w:ascii="Noto Naskh Arabic" w:hAnsi="Noto Naskh Arabic" w:cs="Noto Naskh Arabic" w:eastAsia="Noto Naskh Arabic"/>
                <w:b w:val="0"/>
                <w:sz w:val="21"/>
              </w:rPr>
              <w:t>نقاط البث HOTSPOT</w:t>
            </w:r>
          </w:p>
        </w:tc>
        <w:tc>
          <w:tcPr>
            <w:tcW w:type="dxa" w:w="2835"/>
            <w:vAlign w:val="center"/>
          </w:tcPr>
          <w:p>
            <w:pPr>
              <w:bidi w:val="1"/>
              <w:jc w:val="right"/>
            </w:pPr>
            <w:r/>
            <w:r>
              <w:rPr>
                <w:rFonts w:ascii="Noto Naskh Arabic" w:hAnsi="Noto Naskh Arabic" w:cs="Noto Naskh Arabic" w:eastAsia="Noto Naskh Arabic"/>
                <w:b w:val="0"/>
                <w:sz w:val="21"/>
              </w:rPr>
              <w:t>أهم حقل مرئي في القوائم هو اسم الاشتراك</w:t>
            </w:r>
          </w:p>
        </w:tc>
      </w:tr>
      <w:tr>
        <w:tc>
          <w:tcPr>
            <w:tcW w:type="dxa" w:w="2268"/>
            <w:vAlign w:val="center"/>
          </w:tcPr>
          <w:p>
            <w:pPr>
              <w:bidi w:val="1"/>
              <w:jc w:val="right"/>
            </w:pPr>
            <w:r/>
            <w:r>
              <w:rPr>
                <w:rFonts w:ascii="Noto Naskh Arabic" w:hAnsi="Noto Naskh Arabic" w:cs="Noto Naskh Arabic" w:eastAsia="Noto Naskh Arabic"/>
                <w:b w:val="0"/>
                <w:sz w:val="21"/>
              </w:rPr>
              <w:t>نقاط البيع</w:t>
            </w:r>
          </w:p>
        </w:tc>
        <w:tc>
          <w:tcPr>
            <w:tcW w:type="dxa" w:w="1701"/>
            <w:vAlign w:val="center"/>
          </w:tcPr>
          <w:p>
            <w:pPr>
              <w:bidi w:val="1"/>
              <w:jc w:val="right"/>
            </w:pPr>
            <w:r/>
            <w:r>
              <w:rPr>
                <w:rFonts w:ascii="Noto Naskh Arabic" w:hAnsi="Noto Naskh Arabic" w:cs="Noto Naskh Arabic" w:eastAsia="Noto Naskh Arabic"/>
                <w:b w:val="0"/>
                <w:sz w:val="21"/>
              </w:rPr>
              <w:t>56</w:t>
            </w:r>
          </w:p>
        </w:tc>
        <w:tc>
          <w:tcPr>
            <w:tcW w:type="dxa" w:w="2268"/>
            <w:vAlign w:val="center"/>
          </w:tcPr>
          <w:p>
            <w:pPr>
              <w:bidi w:val="1"/>
              <w:jc w:val="right"/>
            </w:pPr>
            <w:r/>
            <w:r>
              <w:rPr>
                <w:rFonts w:ascii="Noto Naskh Arabic" w:hAnsi="Noto Naskh Arabic" w:cs="Noto Naskh Arabic" w:eastAsia="Noto Naskh Arabic"/>
                <w:b w:val="0"/>
                <w:sz w:val="21"/>
              </w:rPr>
              <w:t>نقاط البيع</w:t>
            </w:r>
          </w:p>
        </w:tc>
        <w:tc>
          <w:tcPr>
            <w:tcW w:type="dxa" w:w="2835"/>
            <w:vAlign w:val="center"/>
          </w:tcPr>
          <w:p>
            <w:pPr>
              <w:bidi w:val="1"/>
              <w:jc w:val="right"/>
            </w:pPr>
            <w:r/>
            <w:r>
              <w:rPr>
                <w:rFonts w:ascii="Noto Naskh Arabic" w:hAnsi="Noto Naskh Arabic" w:cs="Noto Naskh Arabic" w:eastAsia="Noto Naskh Arabic"/>
                <w:b w:val="0"/>
                <w:sz w:val="21"/>
              </w:rPr>
              <w:t>المديونية القديمة حقل معلوماتي فقط ولا يدخل محاسبيًا</w:t>
            </w:r>
          </w:p>
        </w:tc>
      </w:tr>
    </w:tbl>
    <w:p>
      <w:pPr>
        <w:keepNext/>
        <w:bidi w:val="1"/>
        <w:spacing w:after="80" w:before="120" w:line="300" w:lineRule="auto"/>
        <w:jc w:val="right"/>
      </w:pPr>
      <w:r>
        <w:rPr>
          <w:rFonts w:ascii="Noto Naskh Arabic" w:hAnsi="Noto Naskh Arabic" w:cs="Noto Naskh Arabic" w:eastAsia="Noto Naskh Arabic"/>
          <w:b/>
          <w:color w:val="781E1E"/>
          <w:sz w:val="25"/>
        </w:rPr>
        <w:t>حقول الهوتسبوت بعد التوحيد</w:t>
      </w:r>
    </w:p>
    <w:p>
      <w:pPr>
        <w:bidi w:val="1"/>
        <w:spacing w:after="80" w:before="0" w:line="300" w:lineRule="auto"/>
        <w:jc w:val="right"/>
      </w:pPr>
      <w:r>
        <w:rPr>
          <w:rFonts w:ascii="Noto Naskh Arabic" w:hAnsi="Noto Naskh Arabic" w:cs="Noto Naskh Arabic" w:eastAsia="Noto Naskh Arabic"/>
          <w:b w:val="0"/>
          <w:sz w:val="21"/>
        </w:rPr>
        <w:t>• الرقم — اسم الشبكة — اسم الجهاز — نوع البث (داخلي/خارجي) — وصف الموقع — رابط أو دبوس الموقع — اسم المشترك إن وجد — رقم الجوال — الرسوم — ملكية الجهاز — الكهرباء — عنوان IP — الحالة.</w:t>
      </w:r>
    </w:p>
    <w:p>
      <w:pPr>
        <w:bidi w:val="1"/>
        <w:spacing w:after="80" w:before="0" w:line="300" w:lineRule="auto"/>
        <w:jc w:val="right"/>
      </w:pPr>
      <w:r>
        <w:rPr>
          <w:rFonts w:ascii="Noto Naskh Arabic" w:hAnsi="Noto Naskh Arabic" w:cs="Noto Naskh Arabic" w:eastAsia="Noto Naskh Arabic"/>
          <w:b w:val="0"/>
          <w:sz w:val="21"/>
        </w:rPr>
        <w:t>• تضاف للحالة ألوان واضحة: جاهز، فارغ، نشط، نشط غير مكتمل، متوقف.</w:t>
      </w:r>
    </w:p>
    <w:p>
      <w:pPr>
        <w:keepNext/>
        <w:bidi w:val="1"/>
        <w:spacing w:after="80" w:before="120" w:line="300" w:lineRule="auto"/>
        <w:jc w:val="right"/>
      </w:pPr>
      <w:r>
        <w:rPr>
          <w:rFonts w:ascii="Noto Naskh Arabic" w:hAnsi="Noto Naskh Arabic" w:cs="Noto Naskh Arabic" w:eastAsia="Noto Naskh Arabic"/>
          <w:b/>
          <w:color w:val="781E1E"/>
          <w:sz w:val="25"/>
        </w:rPr>
        <w:t>حقول البرودباند بعد التوحيد</w:t>
      </w:r>
    </w:p>
    <w:p>
      <w:pPr>
        <w:bidi w:val="1"/>
        <w:spacing w:after="80" w:before="0" w:line="300" w:lineRule="auto"/>
        <w:jc w:val="right"/>
      </w:pPr>
      <w:r>
        <w:rPr>
          <w:rFonts w:ascii="Noto Naskh Arabic" w:hAnsi="Noto Naskh Arabic" w:cs="Noto Naskh Arabic" w:eastAsia="Noto Naskh Arabic"/>
          <w:b w:val="0"/>
          <w:sz w:val="21"/>
        </w:rPr>
        <w:t>• الرقم — اسم الشبكة — اسم المشترك — وصف الموقع — اسم الاشتراك — اسم الجهاز — رابط أو دبوس الموقع — رقم الجوال — الرسوم — ملكية الجهاز — الحالة.</w:t>
      </w:r>
    </w:p>
    <w:p>
      <w:pPr>
        <w:bidi w:val="1"/>
        <w:spacing w:after="80" w:before="0" w:line="300" w:lineRule="auto"/>
        <w:jc w:val="right"/>
      </w:pPr>
      <w:r>
        <w:rPr>
          <w:rFonts w:ascii="Noto Naskh Arabic" w:hAnsi="Noto Naskh Arabic" w:cs="Noto Naskh Arabic" w:eastAsia="Noto Naskh Arabic"/>
          <w:b w:val="0"/>
          <w:sz w:val="21"/>
        </w:rPr>
        <w:t>• اسم الاشتراك هو المرجع الأهم في القوائم، مثل: andls123.</w:t>
      </w:r>
    </w:p>
    <w:p>
      <w:pPr>
        <w:keepNext/>
        <w:bidi w:val="1"/>
        <w:spacing w:after="80" w:before="120" w:line="300" w:lineRule="auto"/>
        <w:jc w:val="right"/>
      </w:pPr>
      <w:r>
        <w:rPr>
          <w:rFonts w:ascii="Noto Naskh Arabic" w:hAnsi="Noto Naskh Arabic" w:cs="Noto Naskh Arabic" w:eastAsia="Noto Naskh Arabic"/>
          <w:b/>
          <w:color w:val="781E1E"/>
          <w:sz w:val="25"/>
        </w:rPr>
        <w:t>حقول نقاط البيع بعد التوحيد</w:t>
      </w:r>
    </w:p>
    <w:p>
      <w:pPr>
        <w:bidi w:val="1"/>
        <w:spacing w:after="80" w:before="0" w:line="300" w:lineRule="auto"/>
        <w:jc w:val="right"/>
      </w:pPr>
      <w:r>
        <w:rPr>
          <w:rFonts w:ascii="Noto Naskh Arabic" w:hAnsi="Noto Naskh Arabic" w:cs="Noto Naskh Arabic" w:eastAsia="Noto Naskh Arabic"/>
          <w:b w:val="0"/>
          <w:sz w:val="21"/>
        </w:rPr>
        <w:t>• الرقم — اسم نقطة البيع — اسم صاحب نقطة البيع — رقم صاحب نقطة البيع — وصف الموقع — الموقع بخرائط جوجل — إجمالي المديونية القديمة — ملاحظات.</w:t>
      </w:r>
    </w:p>
    <w:p>
      <w:pPr>
        <w:bidi w:val="1"/>
        <w:spacing w:after="80" w:before="0" w:line="300" w:lineRule="auto"/>
        <w:jc w:val="right"/>
      </w:pPr>
      <w:r>
        <w:rPr>
          <w:rFonts w:ascii="Noto Naskh Arabic" w:hAnsi="Noto Naskh Arabic" w:cs="Noto Naskh Arabic" w:eastAsia="Noto Naskh Arabic"/>
          <w:b w:val="0"/>
          <w:sz w:val="21"/>
        </w:rPr>
        <w:t>• إجمالي المديونية القديمة يبقى حقلًا معلوماتيًا فقط ولا يتغير من السلف الجديدة داخل النظام.</w:t>
      </w:r>
    </w:p>
    <w:p>
      <w:r>
        <w:br w:type="page"/>
      </w:r>
    </w:p>
    <w:p>
      <w:pPr>
        <w:keepNext/>
        <w:bidi w:val="1"/>
        <w:spacing w:after="160" w:before="160" w:line="300" w:lineRule="auto"/>
        <w:jc w:val="right"/>
      </w:pPr>
      <w:r>
        <w:rPr>
          <w:rFonts w:ascii="Noto Naskh Arabic" w:hAnsi="Noto Naskh Arabic" w:cs="Noto Naskh Arabic" w:eastAsia="Noto Naskh Arabic"/>
          <w:b/>
          <w:color w:val="A82121"/>
          <w:sz w:val="30"/>
        </w:rPr>
        <w:t>4) المستخدمون والصلاحيات</w:t>
      </w:r>
    </w:p>
    <w:tbl>
      <w:tblPr>
        <w:tblW w:type="auto" w:w="0"/>
        <w:jc w:val="center"/>
        <w:tblLayout w:type="fixed"/>
        <w:tblLook w:firstColumn="1" w:firstRow="1" w:lastColumn="0" w:lastRow="0" w:noHBand="0" w:noVBand="1" w:val="04A0"/>
      </w:tblPr>
      <w:tblGrid>
        <w:gridCol w:w="2268"/>
        <w:gridCol w:w="6236"/>
      </w:tblGrid>
      <w:tr>
        <w:tc>
          <w:tcPr>
            <w:tcW w:type="dxa" w:w="5100"/>
            <w:vAlign w:val="center"/>
            <w:shd w:fill="B71C1C"/>
          </w:tcPr>
          <w:p>
            <w:pPr>
              <w:bidi w:val="1"/>
              <w:jc w:val="center"/>
            </w:pPr>
            <w:r/>
            <w:r>
              <w:rPr>
                <w:rFonts w:ascii="Noto Naskh Arabic" w:hAnsi="Noto Naskh Arabic" w:cs="Noto Naskh Arabic" w:eastAsia="Noto Naskh Arabic"/>
                <w:b/>
                <w:color w:val="FFFFFF"/>
                <w:sz w:val="22"/>
              </w:rPr>
              <w:t>الدور</w:t>
            </w:r>
          </w:p>
        </w:tc>
        <w:tc>
          <w:tcPr>
            <w:tcW w:type="dxa" w:w="5100"/>
            <w:vAlign w:val="center"/>
            <w:shd w:fill="B71C1C"/>
          </w:tcPr>
          <w:p>
            <w:pPr>
              <w:bidi w:val="1"/>
              <w:jc w:val="center"/>
            </w:pPr>
            <w:r/>
            <w:r>
              <w:rPr>
                <w:rFonts w:ascii="Noto Naskh Arabic" w:hAnsi="Noto Naskh Arabic" w:cs="Noto Naskh Arabic" w:eastAsia="Noto Naskh Arabic"/>
                <w:b/>
                <w:color w:val="FFFFFF"/>
                <w:sz w:val="22"/>
              </w:rPr>
              <w:t>الوظيفة الأساسية</w:t>
            </w:r>
          </w:p>
        </w:tc>
      </w:tr>
      <w:tr>
        <w:tc>
          <w:tcPr>
            <w:tcW w:type="dxa" w:w="5100"/>
            <w:vAlign w:val="center"/>
            <w:shd w:fill="F8EFEF"/>
          </w:tcPr>
          <w:p>
            <w:pPr>
              <w:bidi w:val="1"/>
              <w:jc w:val="right"/>
            </w:pPr>
            <w:r/>
            <w:r>
              <w:rPr>
                <w:rFonts w:ascii="Noto Naskh Arabic" w:hAnsi="Noto Naskh Arabic" w:cs="Noto Naskh Arabic" w:eastAsia="Noto Naskh Arabic"/>
                <w:b/>
                <w:sz w:val="22"/>
              </w:rPr>
              <w:t>المالك</w:t>
            </w:r>
          </w:p>
        </w:tc>
        <w:tc>
          <w:tcPr>
            <w:tcW w:type="dxa" w:w="5100"/>
            <w:vAlign w:val="center"/>
          </w:tcPr>
          <w:p>
            <w:pPr>
              <w:bidi w:val="1"/>
              <w:jc w:val="right"/>
            </w:pPr>
            <w:r/>
            <w:r>
              <w:rPr>
                <w:rFonts w:ascii="Noto Naskh Arabic" w:hAnsi="Noto Naskh Arabic" w:cs="Noto Naskh Arabic" w:eastAsia="Noto Naskh Arabic"/>
                <w:b w:val="0"/>
                <w:sz w:val="21"/>
              </w:rPr>
              <w:t>متابعة شاملة، إضافة عهدة للمسؤول المالي، إضافة مهام لأي مستخدم، إدارة الفريق، عرض المبيعات والمصروفات والربح، ومراقبة الأرقام الرئيسية.</w:t>
            </w:r>
          </w:p>
        </w:tc>
      </w:tr>
      <w:tr>
        <w:tc>
          <w:tcPr>
            <w:tcW w:type="dxa" w:w="5100"/>
            <w:vAlign w:val="center"/>
            <w:shd w:fill="F8EFEF"/>
          </w:tcPr>
          <w:p>
            <w:pPr>
              <w:bidi w:val="1"/>
              <w:jc w:val="right"/>
            </w:pPr>
            <w:r/>
            <w:r>
              <w:rPr>
                <w:rFonts w:ascii="Noto Naskh Arabic" w:hAnsi="Noto Naskh Arabic" w:cs="Noto Naskh Arabic" w:eastAsia="Noto Naskh Arabic"/>
                <w:b/>
                <w:sz w:val="22"/>
              </w:rPr>
              <w:t>المسؤول المالي</w:t>
            </w:r>
          </w:p>
        </w:tc>
        <w:tc>
          <w:tcPr>
            <w:tcW w:type="dxa" w:w="5100"/>
            <w:vAlign w:val="center"/>
          </w:tcPr>
          <w:p>
            <w:pPr>
              <w:bidi w:val="1"/>
              <w:jc w:val="right"/>
            </w:pPr>
            <w:r/>
            <w:r>
              <w:rPr>
                <w:rFonts w:ascii="Noto Naskh Arabic" w:hAnsi="Noto Naskh Arabic" w:cs="Noto Naskh Arabic" w:eastAsia="Noto Naskh Arabic"/>
                <w:b w:val="0"/>
                <w:sz w:val="21"/>
              </w:rPr>
              <w:t>إدارة الصندوق، البيع، التحصيل، الصرف، إدارة المبيعات/العهد، ديون/سلف، المصروفات، نقاط البيع، والمتابعة اليومية.</w:t>
            </w:r>
          </w:p>
        </w:tc>
      </w:tr>
      <w:tr>
        <w:tc>
          <w:tcPr>
            <w:tcW w:type="dxa" w:w="5100"/>
            <w:vAlign w:val="center"/>
            <w:shd w:fill="F8EFEF"/>
          </w:tcPr>
          <w:p>
            <w:pPr>
              <w:bidi w:val="1"/>
              <w:jc w:val="right"/>
            </w:pPr>
            <w:r/>
            <w:r>
              <w:rPr>
                <w:rFonts w:ascii="Noto Naskh Arabic" w:hAnsi="Noto Naskh Arabic" w:cs="Noto Naskh Arabic" w:eastAsia="Noto Naskh Arabic"/>
                <w:b/>
                <w:sz w:val="22"/>
              </w:rPr>
              <w:t>المشرف</w:t>
            </w:r>
          </w:p>
        </w:tc>
        <w:tc>
          <w:tcPr>
            <w:tcW w:type="dxa" w:w="5100"/>
            <w:vAlign w:val="center"/>
          </w:tcPr>
          <w:p>
            <w:pPr>
              <w:bidi w:val="1"/>
              <w:jc w:val="right"/>
            </w:pPr>
            <w:r/>
            <w:r>
              <w:rPr>
                <w:rFonts w:ascii="Noto Naskh Arabic" w:hAnsi="Noto Naskh Arabic" w:cs="Noto Naskh Arabic" w:eastAsia="Noto Naskh Arabic"/>
                <w:b w:val="0"/>
                <w:sz w:val="21"/>
              </w:rPr>
              <w:t>استقبال الطلبات، الإصلاح، تذاكر التركيب، طلبات الشراء، متابعة المهام، قاعدة البيانات، إدارة المهندسين، توريد قيمة الاشتراكات، والجرد على المسؤول المالي.</w:t>
            </w:r>
          </w:p>
        </w:tc>
      </w:tr>
      <w:tr>
        <w:tc>
          <w:tcPr>
            <w:tcW w:type="dxa" w:w="5100"/>
            <w:vAlign w:val="center"/>
            <w:shd w:fill="F8EFEF"/>
          </w:tcPr>
          <w:p>
            <w:pPr>
              <w:bidi w:val="1"/>
              <w:jc w:val="right"/>
            </w:pPr>
            <w:r/>
            <w:r>
              <w:rPr>
                <w:rFonts w:ascii="Noto Naskh Arabic" w:hAnsi="Noto Naskh Arabic" w:cs="Noto Naskh Arabic" w:eastAsia="Noto Naskh Arabic"/>
                <w:b/>
                <w:sz w:val="22"/>
              </w:rPr>
              <w:t>المهندس الفني</w:t>
            </w:r>
          </w:p>
        </w:tc>
        <w:tc>
          <w:tcPr>
            <w:tcW w:type="dxa" w:w="5100"/>
            <w:vAlign w:val="center"/>
          </w:tcPr>
          <w:p>
            <w:pPr>
              <w:bidi w:val="1"/>
              <w:jc w:val="right"/>
            </w:pPr>
            <w:r/>
            <w:r>
              <w:rPr>
                <w:rFonts w:ascii="Noto Naskh Arabic" w:hAnsi="Noto Naskh Arabic" w:cs="Noto Naskh Arabic" w:eastAsia="Noto Naskh Arabic"/>
                <w:b w:val="0"/>
                <w:sz w:val="21"/>
              </w:rPr>
              <w:t>استلام المهام الجديدة، بدء التنفيذ، إنهاء التنفيذ، رفع الصور والملاحظات، والاتصال بالعميل أو نسخ الموقع من داخل المهمة.</w:t>
            </w:r>
          </w:p>
        </w:tc>
      </w:tr>
    </w:tbl>
    <w:p>
      <w:r>
        <w:br w:type="page"/>
      </w:r>
    </w:p>
    <w:p>
      <w:pPr>
        <w:keepNext/>
        <w:bidi w:val="1"/>
        <w:spacing w:after="160" w:before="160" w:line="300" w:lineRule="auto"/>
        <w:jc w:val="right"/>
      </w:pPr>
      <w:r>
        <w:rPr>
          <w:rFonts w:ascii="Noto Naskh Arabic" w:hAnsi="Noto Naskh Arabic" w:cs="Noto Naskh Arabic" w:eastAsia="Noto Naskh Arabic"/>
          <w:b/>
          <w:color w:val="A82121"/>
          <w:sz w:val="30"/>
        </w:rPr>
        <w:t>5) واجهة المالك</w:t>
      </w:r>
    </w:p>
    <w:p>
      <w:pPr>
        <w:bidi w:val="1"/>
        <w:spacing w:after="80" w:before="0" w:line="300" w:lineRule="auto"/>
        <w:jc w:val="right"/>
      </w:pPr>
      <w:r>
        <w:rPr>
          <w:rFonts w:ascii="Noto Naskh Arabic" w:hAnsi="Noto Naskh Arabic" w:cs="Noto Naskh Arabic" w:eastAsia="Noto Naskh Arabic"/>
          <w:b w:val="0"/>
          <w:sz w:val="22"/>
        </w:rPr>
        <w:t>واجهة المالك هي لوحة المتابعة العليا. الهدف منها المراقبة وإصدار القرارات وليس تنفيذ الأعمال اليومية التفصيلية.</w:t>
      </w:r>
    </w:p>
    <w:p>
      <w:pPr>
        <w:keepNext/>
        <w:bidi w:val="1"/>
        <w:spacing w:after="80" w:before="120" w:line="300" w:lineRule="auto"/>
        <w:jc w:val="right"/>
      </w:pPr>
      <w:r>
        <w:rPr>
          <w:rFonts w:ascii="Noto Naskh Arabic" w:hAnsi="Noto Naskh Arabic" w:cs="Noto Naskh Arabic" w:eastAsia="Noto Naskh Arabic"/>
          <w:b/>
          <w:color w:val="781E1E"/>
          <w:sz w:val="25"/>
        </w:rPr>
        <w:t>الشكل العام</w:t>
      </w:r>
    </w:p>
    <w:p>
      <w:pPr>
        <w:bidi w:val="1"/>
        <w:spacing w:after="80" w:before="0" w:line="300" w:lineRule="auto"/>
        <w:jc w:val="right"/>
      </w:pPr>
      <w:r>
        <w:rPr>
          <w:rFonts w:ascii="Noto Naskh Arabic" w:hAnsi="Noto Naskh Arabic" w:cs="Noto Naskh Arabic" w:eastAsia="Noto Naskh Arabic"/>
          <w:b w:val="0"/>
          <w:sz w:val="22"/>
        </w:rPr>
        <w:t>• سطر تعريف بسيط أعلى الصفحة: مالك الشبكة — فهد الهندي.</w:t>
      </w:r>
    </w:p>
    <w:p>
      <w:pPr>
        <w:bidi w:val="1"/>
        <w:spacing w:after="80" w:before="0" w:line="300" w:lineRule="auto"/>
        <w:jc w:val="right"/>
      </w:pPr>
      <w:r>
        <w:rPr>
          <w:rFonts w:ascii="Noto Naskh Arabic" w:hAnsi="Noto Naskh Arabic" w:cs="Noto Naskh Arabic" w:eastAsia="Noto Naskh Arabic"/>
          <w:b w:val="0"/>
          <w:sz w:val="22"/>
        </w:rPr>
        <w:t>• أول وأبرز بطاقة في الصفحة: النقد الموجود في صندوق المسؤول المالي.</w:t>
      </w:r>
    </w:p>
    <w:p>
      <w:pPr>
        <w:bidi w:val="1"/>
        <w:spacing w:after="80" w:before="0" w:line="300" w:lineRule="auto"/>
        <w:jc w:val="right"/>
      </w:pPr>
      <w:r>
        <w:rPr>
          <w:rFonts w:ascii="Noto Naskh Arabic" w:hAnsi="Noto Naskh Arabic" w:cs="Noto Naskh Arabic" w:eastAsia="Noto Naskh Arabic"/>
          <w:b w:val="0"/>
          <w:sz w:val="22"/>
        </w:rPr>
        <w:t>• أسفلها بطاقات متابعة أساسية، ويمكن تحسينها لاحقًا، مثل: إجمالي العهدة، إجمالي السلف، إجمالي قيمة الكروت، إجمالي نقاط البيع.</w:t>
      </w:r>
    </w:p>
    <w:p>
      <w:pPr>
        <w:keepNext/>
        <w:bidi w:val="1"/>
        <w:spacing w:after="80" w:before="120" w:line="300" w:lineRule="auto"/>
        <w:jc w:val="right"/>
      </w:pPr>
      <w:r>
        <w:rPr>
          <w:rFonts w:ascii="Noto Naskh Arabic" w:hAnsi="Noto Naskh Arabic" w:cs="Noto Naskh Arabic" w:eastAsia="Noto Naskh Arabic"/>
          <w:b/>
          <w:color w:val="781E1E"/>
          <w:sz w:val="25"/>
        </w:rPr>
        <w:t>الأزرار الأساسية</w:t>
      </w:r>
    </w:p>
    <w:p>
      <w:pPr>
        <w:bidi w:val="1"/>
        <w:spacing w:after="80" w:before="0" w:line="300" w:lineRule="auto"/>
        <w:jc w:val="right"/>
      </w:pPr>
      <w:r>
        <w:rPr>
          <w:rFonts w:ascii="Noto Naskh Arabic" w:hAnsi="Noto Naskh Arabic" w:cs="Noto Naskh Arabic" w:eastAsia="Noto Naskh Arabic"/>
          <w:b w:val="0"/>
          <w:sz w:val="22"/>
        </w:rPr>
        <w:t>• إضافة عهدة: يضيف المالك للمسؤول المالي عهدة كروت أو نقد. عند اختيار كروت يتم تحديد الفئة والعدد، ويحسب النظام القيمة تلقائيًا وفق الأسعار المعتمدة.</w:t>
      </w:r>
    </w:p>
    <w:p>
      <w:pPr>
        <w:bidi w:val="1"/>
        <w:spacing w:after="80" w:before="0" w:line="300" w:lineRule="auto"/>
        <w:jc w:val="right"/>
      </w:pPr>
      <w:r>
        <w:rPr>
          <w:rFonts w:ascii="Noto Naskh Arabic" w:hAnsi="Noto Naskh Arabic" w:cs="Noto Naskh Arabic" w:eastAsia="Noto Naskh Arabic"/>
          <w:b w:val="0"/>
          <w:sz w:val="22"/>
        </w:rPr>
        <w:t>• إضافة مهمة: يحدد المالك الجهة المستهدفة (المسؤول المالي أو المشرف أو المهندس الفني) ثم يكتب وصف المهمة، فتظهر مباشرة في واجهة الشخص المحدد.</w:t>
      </w:r>
    </w:p>
    <w:p>
      <w:pPr>
        <w:bidi w:val="1"/>
        <w:spacing w:after="80" w:before="0" w:line="300" w:lineRule="auto"/>
        <w:jc w:val="right"/>
      </w:pPr>
      <w:r>
        <w:rPr>
          <w:rFonts w:ascii="Noto Naskh Arabic" w:hAnsi="Noto Naskh Arabic" w:cs="Noto Naskh Arabic" w:eastAsia="Noto Naskh Arabic"/>
          <w:b w:val="0"/>
          <w:sz w:val="22"/>
        </w:rPr>
        <w:t>• إدارة الفريق: إضافة وتعديل وتنشيط وتعطيل المسؤول المالي أو المشرف أو المهندسين الفنيين.</w:t>
      </w:r>
    </w:p>
    <w:p>
      <w:pPr>
        <w:bidi w:val="1"/>
        <w:spacing w:after="80" w:before="0" w:line="300" w:lineRule="auto"/>
        <w:jc w:val="right"/>
      </w:pPr>
      <w:r>
        <w:rPr>
          <w:rFonts w:ascii="Noto Naskh Arabic" w:hAnsi="Noto Naskh Arabic" w:cs="Noto Naskh Arabic" w:eastAsia="Noto Naskh Arabic"/>
          <w:b w:val="0"/>
          <w:sz w:val="22"/>
        </w:rPr>
        <w:t>• المبيعات — المصروفات — الربح: صفحات رقابية شاملة للعرض والمتابعة.</w:t>
      </w:r>
    </w:p>
    <w:p>
      <w:r>
        <w:br w:type="page"/>
      </w:r>
    </w:p>
    <w:p>
      <w:pPr>
        <w:keepNext/>
        <w:bidi w:val="1"/>
        <w:spacing w:after="160" w:before="160" w:line="300" w:lineRule="auto"/>
        <w:jc w:val="right"/>
      </w:pPr>
      <w:r>
        <w:rPr>
          <w:rFonts w:ascii="Noto Naskh Arabic" w:hAnsi="Noto Naskh Arabic" w:cs="Noto Naskh Arabic" w:eastAsia="Noto Naskh Arabic"/>
          <w:b/>
          <w:color w:val="A82121"/>
          <w:sz w:val="30"/>
        </w:rPr>
        <w:t>6) واجهة المسؤول المالي</w:t>
      </w:r>
    </w:p>
    <w:p>
      <w:pPr>
        <w:keepNext/>
        <w:bidi w:val="1"/>
        <w:spacing w:after="80" w:before="120" w:line="300" w:lineRule="auto"/>
        <w:jc w:val="right"/>
      </w:pPr>
      <w:r>
        <w:rPr>
          <w:rFonts w:ascii="Noto Naskh Arabic" w:hAnsi="Noto Naskh Arabic" w:cs="Noto Naskh Arabic" w:eastAsia="Noto Naskh Arabic"/>
          <w:b/>
          <w:color w:val="781E1E"/>
          <w:sz w:val="25"/>
        </w:rPr>
        <w:t>الشاشة الرئيسية</w:t>
      </w:r>
    </w:p>
    <w:p>
      <w:pPr>
        <w:bidi w:val="1"/>
        <w:spacing w:after="80" w:before="0" w:line="300" w:lineRule="auto"/>
        <w:jc w:val="right"/>
      </w:pPr>
      <w:r>
        <w:rPr>
          <w:rFonts w:ascii="Noto Naskh Arabic" w:hAnsi="Noto Naskh Arabic" w:cs="Noto Naskh Arabic" w:eastAsia="Noto Naskh Arabic"/>
          <w:b w:val="0"/>
          <w:sz w:val="22"/>
        </w:rPr>
        <w:t>• سطر تعريف بسيط أعلى الصفحة: المسؤول المالي — اسم المستخدم.</w:t>
      </w:r>
    </w:p>
    <w:p>
      <w:pPr>
        <w:bidi w:val="1"/>
        <w:spacing w:after="80" w:before="0" w:line="300" w:lineRule="auto"/>
        <w:jc w:val="right"/>
      </w:pPr>
      <w:r>
        <w:rPr>
          <w:rFonts w:ascii="Noto Naskh Arabic" w:hAnsi="Noto Naskh Arabic" w:cs="Noto Naskh Arabic" w:eastAsia="Noto Naskh Arabic"/>
          <w:b w:val="0"/>
          <w:sz w:val="22"/>
        </w:rPr>
        <w:t>• كروت المعلومات المعتمدة: إجمالي ما عليه — إجمالي السلف — الصندوق النقدي — إجمالي العهدة — إجمالي الكروت.</w:t>
      </w:r>
    </w:p>
    <w:p>
      <w:pPr>
        <w:bidi w:val="1"/>
        <w:spacing w:after="80" w:before="0" w:line="300" w:lineRule="auto"/>
        <w:jc w:val="right"/>
      </w:pPr>
      <w:r>
        <w:rPr>
          <w:rFonts w:ascii="Noto Naskh Arabic" w:hAnsi="Noto Naskh Arabic" w:cs="Noto Naskh Arabic" w:eastAsia="Noto Naskh Arabic"/>
          <w:b w:val="0"/>
          <w:sz w:val="22"/>
        </w:rPr>
        <w:t>• ترتيب الكروت: بطاقة إجمالي ما عليه في صف مستقل، ثم صف إجمالي السلف والصندوق النقدي، ثم صف إجمالي العهدة وإجمالي الكروت.</w:t>
      </w:r>
    </w:p>
    <w:p>
      <w:pPr>
        <w:keepNext/>
        <w:bidi w:val="1"/>
        <w:spacing w:after="80" w:before="120" w:line="300" w:lineRule="auto"/>
        <w:jc w:val="right"/>
      </w:pPr>
      <w:r>
        <w:rPr>
          <w:rFonts w:ascii="Noto Naskh Arabic" w:hAnsi="Noto Naskh Arabic" w:cs="Noto Naskh Arabic" w:eastAsia="Noto Naskh Arabic"/>
          <w:b/>
          <w:color w:val="781E1E"/>
          <w:sz w:val="25"/>
        </w:rPr>
        <w:t>أزرار التشغيل</w:t>
      </w:r>
    </w:p>
    <w:p>
      <w:pPr>
        <w:bidi w:val="1"/>
        <w:spacing w:after="80" w:before="0" w:line="300" w:lineRule="auto"/>
        <w:jc w:val="right"/>
      </w:pPr>
      <w:r>
        <w:rPr>
          <w:rFonts w:ascii="Noto Naskh Arabic" w:hAnsi="Noto Naskh Arabic" w:cs="Noto Naskh Arabic" w:eastAsia="Noto Naskh Arabic"/>
          <w:b w:val="0"/>
          <w:sz w:val="22"/>
        </w:rPr>
        <w:t>• الصف الأول: صرف — تحصيل — بيع.</w:t>
      </w:r>
    </w:p>
    <w:p>
      <w:pPr>
        <w:bidi w:val="1"/>
        <w:spacing w:after="80" w:before="0" w:line="300" w:lineRule="auto"/>
        <w:jc w:val="right"/>
      </w:pPr>
      <w:r>
        <w:rPr>
          <w:rFonts w:ascii="Noto Naskh Arabic" w:hAnsi="Noto Naskh Arabic" w:cs="Noto Naskh Arabic" w:eastAsia="Noto Naskh Arabic"/>
          <w:b w:val="0"/>
          <w:sz w:val="22"/>
        </w:rPr>
        <w:t>• الصف الثاني: إدارة المبيعات — إدارة نقاط البيع.</w:t>
      </w:r>
    </w:p>
    <w:p>
      <w:pPr>
        <w:bidi w:val="1"/>
        <w:spacing w:after="80" w:before="0" w:line="300" w:lineRule="auto"/>
        <w:jc w:val="right"/>
      </w:pPr>
      <w:r>
        <w:rPr>
          <w:rFonts w:ascii="Noto Naskh Arabic" w:hAnsi="Noto Naskh Arabic" w:cs="Noto Naskh Arabic" w:eastAsia="Noto Naskh Arabic"/>
          <w:b w:val="0"/>
          <w:sz w:val="22"/>
        </w:rPr>
        <w:t>• الصف الثالث: المصاريف — ديون/سلف — المبيعات.</w:t>
      </w:r>
    </w:p>
    <w:p>
      <w:pPr>
        <w:bidi w:val="1"/>
        <w:spacing w:after="80" w:before="0" w:line="300" w:lineRule="auto"/>
        <w:jc w:val="right"/>
      </w:pPr>
      <w:r>
        <w:rPr>
          <w:rFonts w:ascii="Noto Naskh Arabic" w:hAnsi="Noto Naskh Arabic" w:cs="Noto Naskh Arabic" w:eastAsia="Noto Naskh Arabic"/>
          <w:b w:val="0"/>
          <w:sz w:val="22"/>
        </w:rPr>
        <w:t>• أسفل الأزرار تظهر قائمة المشتريات المطلوبة، وتعرض الطلبات غير المنفذة المرسلة من المشرف.</w:t>
      </w:r>
    </w:p>
    <w:p>
      <w:pPr>
        <w:keepNext/>
        <w:bidi w:val="1"/>
        <w:spacing w:after="80" w:before="120" w:line="300" w:lineRule="auto"/>
        <w:jc w:val="right"/>
      </w:pPr>
      <w:r>
        <w:rPr>
          <w:rFonts w:ascii="Noto Naskh Arabic" w:hAnsi="Noto Naskh Arabic" w:cs="Noto Naskh Arabic" w:eastAsia="Noto Naskh Arabic"/>
          <w:b/>
          <w:color w:val="781E1E"/>
          <w:sz w:val="25"/>
        </w:rPr>
        <w:t>شاشة الصرف</w:t>
      </w:r>
    </w:p>
    <w:p>
      <w:pPr>
        <w:bidi w:val="1"/>
        <w:spacing w:after="80" w:before="0" w:line="300" w:lineRule="auto"/>
        <w:jc w:val="right"/>
      </w:pPr>
      <w:r>
        <w:rPr>
          <w:rFonts w:ascii="Noto Naskh Arabic" w:hAnsi="Noto Naskh Arabic" w:cs="Noto Naskh Arabic" w:eastAsia="Noto Naskh Arabic"/>
          <w:b w:val="0"/>
          <w:sz w:val="22"/>
        </w:rPr>
        <w:t>• أنواع الصرف: مصروف يومي — التزام شهري — مشتريات.</w:t>
      </w:r>
    </w:p>
    <w:p>
      <w:pPr>
        <w:bidi w:val="1"/>
        <w:spacing w:after="80" w:before="0" w:line="300" w:lineRule="auto"/>
        <w:jc w:val="right"/>
      </w:pPr>
      <w:r>
        <w:rPr>
          <w:rFonts w:ascii="Noto Naskh Arabic" w:hAnsi="Noto Naskh Arabic" w:cs="Noto Naskh Arabic" w:eastAsia="Noto Naskh Arabic"/>
          <w:b w:val="0"/>
          <w:sz w:val="22"/>
        </w:rPr>
        <w:t>• طريقة الدفع في الصرف: نقد أو دين فقط. النقد يخصم من الصندوق، والدين لا يخصم ويسجل في قائمة الديون لأن الشبكة ستدفع لاحقًا.</w:t>
      </w:r>
    </w:p>
    <w:p>
      <w:pPr>
        <w:bidi w:val="1"/>
        <w:spacing w:after="80" w:before="0" w:line="300" w:lineRule="auto"/>
        <w:jc w:val="right"/>
      </w:pPr>
      <w:r>
        <w:rPr>
          <w:rFonts w:ascii="Noto Naskh Arabic" w:hAnsi="Noto Naskh Arabic" w:cs="Noto Naskh Arabic" w:eastAsia="Noto Naskh Arabic"/>
          <w:b w:val="0"/>
          <w:sz w:val="22"/>
        </w:rPr>
        <w:t>• في المشتريات يمكن الشراء من القائمة المطلوبة أو شراء مباشر، مع إمكانية إضافة صورة فاتورة من الكاميرا.</w:t>
      </w:r>
    </w:p>
    <w:p>
      <w:pPr>
        <w:keepNext/>
        <w:bidi w:val="1"/>
        <w:spacing w:after="80" w:before="120" w:line="300" w:lineRule="auto"/>
        <w:jc w:val="right"/>
      </w:pPr>
      <w:r>
        <w:rPr>
          <w:rFonts w:ascii="Noto Naskh Arabic" w:hAnsi="Noto Naskh Arabic" w:cs="Noto Naskh Arabic" w:eastAsia="Noto Naskh Arabic"/>
          <w:b/>
          <w:color w:val="781E1E"/>
          <w:sz w:val="25"/>
        </w:rPr>
        <w:t>شاشة البيع</w:t>
      </w:r>
    </w:p>
    <w:p>
      <w:pPr>
        <w:bidi w:val="1"/>
        <w:spacing w:after="80" w:before="0" w:line="300" w:lineRule="auto"/>
        <w:jc w:val="right"/>
      </w:pPr>
      <w:r>
        <w:rPr>
          <w:rFonts w:ascii="Noto Naskh Arabic" w:hAnsi="Noto Naskh Arabic" w:cs="Noto Naskh Arabic" w:eastAsia="Noto Naskh Arabic"/>
          <w:b w:val="0"/>
          <w:sz w:val="22"/>
        </w:rPr>
        <w:t>• نوع العملية: كروت أو برودباند.</w:t>
      </w:r>
    </w:p>
    <w:p>
      <w:pPr>
        <w:bidi w:val="1"/>
        <w:spacing w:after="80" w:before="0" w:line="300" w:lineRule="auto"/>
        <w:jc w:val="right"/>
      </w:pPr>
      <w:r>
        <w:rPr>
          <w:rFonts w:ascii="Noto Naskh Arabic" w:hAnsi="Noto Naskh Arabic" w:cs="Noto Naskh Arabic" w:eastAsia="Noto Naskh Arabic"/>
          <w:b w:val="0"/>
          <w:sz w:val="22"/>
        </w:rPr>
        <w:t>• الكروت تعامل كمخزون مالي إجمالي واحد، ولا يطلب تحديد الفئة وقت البيع من المسؤول المالي.</w:t>
      </w:r>
    </w:p>
    <w:p>
      <w:pPr>
        <w:bidi w:val="1"/>
        <w:spacing w:after="80" w:before="0" w:line="300" w:lineRule="auto"/>
        <w:jc w:val="right"/>
      </w:pPr>
      <w:r>
        <w:rPr>
          <w:rFonts w:ascii="Noto Naskh Arabic" w:hAnsi="Noto Naskh Arabic" w:cs="Noto Naskh Arabic" w:eastAsia="Noto Naskh Arabic"/>
          <w:b w:val="0"/>
          <w:sz w:val="22"/>
        </w:rPr>
        <w:t>• طريقة الدفع في البيع: نقد أو سلفة. النقد يزيد الصندوق، والسلفة لا تزيد الصندوق وتسجل ضمن السلف.</w:t>
      </w:r>
    </w:p>
    <w:p>
      <w:pPr>
        <w:keepNext/>
        <w:bidi w:val="1"/>
        <w:spacing w:after="80" w:before="120" w:line="300" w:lineRule="auto"/>
        <w:jc w:val="right"/>
      </w:pPr>
      <w:r>
        <w:rPr>
          <w:rFonts w:ascii="Noto Naskh Arabic" w:hAnsi="Noto Naskh Arabic" w:cs="Noto Naskh Arabic" w:eastAsia="Noto Naskh Arabic"/>
          <w:b/>
          <w:color w:val="781E1E"/>
          <w:sz w:val="25"/>
        </w:rPr>
        <w:t>التحصيل وديون/سلف</w:t>
      </w:r>
    </w:p>
    <w:p>
      <w:pPr>
        <w:bidi w:val="1"/>
        <w:spacing w:after="80" w:before="0" w:line="300" w:lineRule="auto"/>
        <w:jc w:val="right"/>
      </w:pPr>
      <w:r>
        <w:rPr>
          <w:rFonts w:ascii="Noto Naskh Arabic" w:hAnsi="Noto Naskh Arabic" w:cs="Noto Naskh Arabic" w:eastAsia="Noto Naskh Arabic"/>
          <w:b w:val="0"/>
          <w:sz w:val="22"/>
        </w:rPr>
        <w:t>• شاشة التحصيل تنقسم إلى: تحصيل سلفة أو سداد دين.</w:t>
      </w:r>
    </w:p>
    <w:p>
      <w:pPr>
        <w:bidi w:val="1"/>
        <w:spacing w:after="80" w:before="0" w:line="300" w:lineRule="auto"/>
        <w:jc w:val="right"/>
      </w:pPr>
      <w:r>
        <w:rPr>
          <w:rFonts w:ascii="Noto Naskh Arabic" w:hAnsi="Noto Naskh Arabic" w:cs="Noto Naskh Arabic" w:eastAsia="Noto Naskh Arabic"/>
          <w:b w:val="0"/>
          <w:sz w:val="22"/>
        </w:rPr>
        <w:t>• في السلف تعرض الجهة، وإجمالي عليه، والمسدّد، والمتبقي، مع زر تحصيل سلفة.</w:t>
      </w:r>
    </w:p>
    <w:p>
      <w:pPr>
        <w:bidi w:val="1"/>
        <w:spacing w:after="80" w:before="0" w:line="300" w:lineRule="auto"/>
        <w:jc w:val="right"/>
      </w:pPr>
      <w:r>
        <w:rPr>
          <w:rFonts w:ascii="Noto Naskh Arabic" w:hAnsi="Noto Naskh Arabic" w:cs="Noto Naskh Arabic" w:eastAsia="Noto Naskh Arabic"/>
          <w:b w:val="0"/>
          <w:sz w:val="22"/>
        </w:rPr>
        <w:t>• في الديون تعرض الجهة، وإجمالي علينا، والمسدّد، والمتبقي، مع زر سداد دين.</w:t>
      </w:r>
    </w:p>
    <w:p>
      <w:pPr>
        <w:bidi w:val="1"/>
        <w:spacing w:after="80" w:before="0" w:line="300" w:lineRule="auto"/>
        <w:jc w:val="right"/>
      </w:pPr>
      <w:r>
        <w:rPr>
          <w:rFonts w:ascii="Noto Naskh Arabic" w:hAnsi="Noto Naskh Arabic" w:cs="Noto Naskh Arabic" w:eastAsia="Noto Naskh Arabic"/>
          <w:b w:val="0"/>
          <w:sz w:val="22"/>
        </w:rPr>
        <w:t>• يعرض في تبويب السلف مؤشر إجمالي السلف، وفي تبويب الديون مؤشر إجمالي الديون، مع بحث بالاسم وترتيب من الأكبر مبلغًا أولًا.</w:t>
      </w:r>
    </w:p>
    <w:p>
      <w:pPr>
        <w:keepNext/>
        <w:bidi w:val="1"/>
        <w:spacing w:after="80" w:before="120" w:line="300" w:lineRule="auto"/>
        <w:jc w:val="right"/>
      </w:pPr>
      <w:r>
        <w:rPr>
          <w:rFonts w:ascii="Noto Naskh Arabic" w:hAnsi="Noto Naskh Arabic" w:cs="Noto Naskh Arabic" w:eastAsia="Noto Naskh Arabic"/>
          <w:b/>
          <w:color w:val="781E1E"/>
          <w:sz w:val="25"/>
        </w:rPr>
        <w:t>إدارة المبيعات / العهد</w:t>
      </w:r>
    </w:p>
    <w:p>
      <w:pPr>
        <w:bidi w:val="1"/>
        <w:spacing w:after="80" w:before="0" w:line="300" w:lineRule="auto"/>
        <w:jc w:val="right"/>
      </w:pPr>
      <w:r>
        <w:rPr>
          <w:rFonts w:ascii="Noto Naskh Arabic" w:hAnsi="Noto Naskh Arabic" w:cs="Noto Naskh Arabic" w:eastAsia="Noto Naskh Arabic"/>
          <w:b w:val="0"/>
          <w:sz w:val="22"/>
        </w:rPr>
        <w:t>• تسليم عهدة: اسم المستلم كتابة مباشرة، وقيمة العهدة، وملاحظات، والتاريخ تلقائي.</w:t>
      </w:r>
    </w:p>
    <w:p>
      <w:pPr>
        <w:bidi w:val="1"/>
        <w:spacing w:after="80" w:before="0" w:line="300" w:lineRule="auto"/>
        <w:jc w:val="right"/>
      </w:pPr>
      <w:r>
        <w:rPr>
          <w:rFonts w:ascii="Noto Naskh Arabic" w:hAnsi="Noto Naskh Arabic" w:cs="Noto Naskh Arabic" w:eastAsia="Noto Naskh Arabic"/>
          <w:b w:val="0"/>
          <w:sz w:val="22"/>
        </w:rPr>
        <w:t>• عند حفظ تسليم العهدة تخصم القيمة مباشرة من إجمالي الكروت وتضاف كعهدة مفتوحة على المستلم.</w:t>
      </w:r>
    </w:p>
    <w:p>
      <w:pPr>
        <w:bidi w:val="1"/>
        <w:spacing w:after="80" w:before="0" w:line="300" w:lineRule="auto"/>
        <w:jc w:val="right"/>
      </w:pPr>
      <w:r>
        <w:rPr>
          <w:rFonts w:ascii="Noto Naskh Arabic" w:hAnsi="Noto Naskh Arabic" w:cs="Noto Naskh Arabic" w:eastAsia="Noto Naskh Arabic"/>
          <w:b w:val="0"/>
          <w:sz w:val="22"/>
        </w:rPr>
        <w:t>• استلام عهدة: يظهر المتبقي عليه، ويدخل المستخدم المبلغ المستلم نقدًا وإجمالي قيمة الكروت المرتجعة.</w:t>
      </w:r>
    </w:p>
    <w:p>
      <w:pPr>
        <w:bidi w:val="1"/>
        <w:spacing w:after="80" w:before="0" w:line="300" w:lineRule="auto"/>
        <w:jc w:val="right"/>
      </w:pPr>
      <w:r>
        <w:rPr>
          <w:rFonts w:ascii="Noto Naskh Arabic" w:hAnsi="Noto Naskh Arabic" w:cs="Noto Naskh Arabic" w:eastAsia="Noto Naskh Arabic"/>
          <w:b w:val="0"/>
          <w:sz w:val="22"/>
        </w:rPr>
        <w:t>• النقد المستلم من عهدة المندوب يزيد الصندوق ويسجل مبيعات باسم المندوب، والكروت المرتجعة تعود لإجمالي الكروت.</w:t>
      </w:r>
    </w:p>
    <w:p>
      <w:pPr>
        <w:bidi w:val="1"/>
        <w:spacing w:after="80" w:before="0" w:line="300" w:lineRule="auto"/>
        <w:jc w:val="right"/>
      </w:pPr>
      <w:r>
        <w:rPr>
          <w:rFonts w:ascii="Noto Naskh Arabic" w:hAnsi="Noto Naskh Arabic" w:cs="Noto Naskh Arabic" w:eastAsia="Noto Naskh Arabic"/>
          <w:b w:val="0"/>
          <w:sz w:val="22"/>
        </w:rPr>
        <w:t>• قائمة العهد تعرض المفتوحة فقط.</w:t>
      </w:r>
    </w:p>
    <w:p>
      <w:r>
        <w:br w:type="page"/>
      </w:r>
    </w:p>
    <w:p>
      <w:pPr>
        <w:keepNext/>
        <w:bidi w:val="1"/>
        <w:spacing w:after="160" w:before="160" w:line="300" w:lineRule="auto"/>
        <w:jc w:val="right"/>
      </w:pPr>
      <w:r>
        <w:rPr>
          <w:rFonts w:ascii="Noto Naskh Arabic" w:hAnsi="Noto Naskh Arabic" w:cs="Noto Naskh Arabic" w:eastAsia="Noto Naskh Arabic"/>
          <w:b/>
          <w:color w:val="A82121"/>
          <w:sz w:val="30"/>
        </w:rPr>
        <w:t>7) شاشة المبيعات والمصاريف والربح</w:t>
      </w:r>
    </w:p>
    <w:p>
      <w:pPr>
        <w:keepNext/>
        <w:bidi w:val="1"/>
        <w:spacing w:after="80" w:before="120" w:line="300" w:lineRule="auto"/>
        <w:jc w:val="right"/>
      </w:pPr>
      <w:r>
        <w:rPr>
          <w:rFonts w:ascii="Noto Naskh Arabic" w:hAnsi="Noto Naskh Arabic" w:cs="Noto Naskh Arabic" w:eastAsia="Noto Naskh Arabic"/>
          <w:b/>
          <w:color w:val="781E1E"/>
          <w:sz w:val="25"/>
        </w:rPr>
        <w:t>شاشة المبيعات</w:t>
      </w:r>
    </w:p>
    <w:p>
      <w:pPr>
        <w:bidi w:val="1"/>
        <w:spacing w:after="80" w:before="0" w:line="300" w:lineRule="auto"/>
        <w:jc w:val="right"/>
      </w:pPr>
      <w:r>
        <w:rPr>
          <w:rFonts w:ascii="Noto Naskh Arabic" w:hAnsi="Noto Naskh Arabic" w:cs="Noto Naskh Arabic" w:eastAsia="Noto Naskh Arabic"/>
          <w:b w:val="0"/>
          <w:sz w:val="22"/>
        </w:rPr>
        <w:t>• الفلتر الافتراضي هو الشهر، ويمكن التبديل إلى اليوم أو الأسبوع أو فترة مخصصة.</w:t>
      </w:r>
    </w:p>
    <w:p>
      <w:pPr>
        <w:bidi w:val="1"/>
        <w:spacing w:after="80" w:before="0" w:line="300" w:lineRule="auto"/>
        <w:jc w:val="right"/>
      </w:pPr>
      <w:r>
        <w:rPr>
          <w:rFonts w:ascii="Noto Naskh Arabic" w:hAnsi="Noto Naskh Arabic" w:cs="Noto Naskh Arabic" w:eastAsia="Noto Naskh Arabic"/>
          <w:b w:val="0"/>
          <w:sz w:val="22"/>
        </w:rPr>
        <w:t>• المؤشرات أعلى الشاشة تتغير حسب الفلتر: إجمالي المبيعات — النقد — السلفة.</w:t>
      </w:r>
    </w:p>
    <w:p>
      <w:pPr>
        <w:bidi w:val="1"/>
        <w:spacing w:after="80" w:before="0" w:line="300" w:lineRule="auto"/>
        <w:jc w:val="right"/>
      </w:pPr>
      <w:r>
        <w:rPr>
          <w:rFonts w:ascii="Noto Naskh Arabic" w:hAnsi="Noto Naskh Arabic" w:cs="Noto Naskh Arabic" w:eastAsia="Noto Naskh Arabic"/>
          <w:b w:val="0"/>
          <w:sz w:val="22"/>
        </w:rPr>
        <w:t>• ترتيب السجلات: أحدث عملية أولًا.</w:t>
      </w:r>
    </w:p>
    <w:p>
      <w:pPr>
        <w:bidi w:val="1"/>
        <w:spacing w:after="80" w:before="0" w:line="300" w:lineRule="auto"/>
        <w:jc w:val="right"/>
      </w:pPr>
      <w:r>
        <w:rPr>
          <w:rFonts w:ascii="Noto Naskh Arabic" w:hAnsi="Noto Naskh Arabic" w:cs="Noto Naskh Arabic" w:eastAsia="Noto Naskh Arabic"/>
          <w:b w:val="0"/>
          <w:sz w:val="22"/>
        </w:rPr>
        <w:t>• تظهر في السجل المختصر: الجهة، النوع، المبلغ، طريقة الدفع، التاريخ والوقت، مع زر تفاصيل.</w:t>
      </w:r>
    </w:p>
    <w:p>
      <w:pPr>
        <w:keepNext/>
        <w:bidi w:val="1"/>
        <w:spacing w:after="80" w:before="120" w:line="300" w:lineRule="auto"/>
        <w:jc w:val="right"/>
      </w:pPr>
      <w:r>
        <w:rPr>
          <w:rFonts w:ascii="Noto Naskh Arabic" w:hAnsi="Noto Naskh Arabic" w:cs="Noto Naskh Arabic" w:eastAsia="Noto Naskh Arabic"/>
          <w:b/>
          <w:color w:val="781E1E"/>
          <w:sz w:val="25"/>
        </w:rPr>
        <w:t>شاشة المصروفات</w:t>
      </w:r>
    </w:p>
    <w:p>
      <w:pPr>
        <w:bidi w:val="1"/>
        <w:spacing w:after="80" w:before="0" w:line="300" w:lineRule="auto"/>
        <w:jc w:val="right"/>
      </w:pPr>
      <w:r>
        <w:rPr>
          <w:rFonts w:ascii="Noto Naskh Arabic" w:hAnsi="Noto Naskh Arabic" w:cs="Noto Naskh Arabic" w:eastAsia="Noto Naskh Arabic"/>
          <w:b w:val="0"/>
          <w:sz w:val="22"/>
        </w:rPr>
        <w:t>• مشابهة لشاشة المبيعات: فلتر يوم/أسبوع/شهر/مخصص، ومؤشر إجمالي المصروفات حسب الفلتر.</w:t>
      </w:r>
    </w:p>
    <w:p>
      <w:pPr>
        <w:bidi w:val="1"/>
        <w:spacing w:after="80" w:before="0" w:line="300" w:lineRule="auto"/>
        <w:jc w:val="right"/>
      </w:pPr>
      <w:r>
        <w:rPr>
          <w:rFonts w:ascii="Noto Naskh Arabic" w:hAnsi="Noto Naskh Arabic" w:cs="Noto Naskh Arabic" w:eastAsia="Noto Naskh Arabic"/>
          <w:b w:val="0"/>
          <w:sz w:val="22"/>
        </w:rPr>
        <w:t>• السجل المختصر يعرض الجهة أو اسم المصروف، نوع الصرف، المبلغ، طريقة الدفع، التاريخ، مع أزرار تفاصيل وتعديل وحذف.</w:t>
      </w:r>
    </w:p>
    <w:p>
      <w:pPr>
        <w:bidi w:val="1"/>
        <w:spacing w:after="80" w:before="0" w:line="300" w:lineRule="auto"/>
        <w:jc w:val="right"/>
      </w:pPr>
      <w:r>
        <w:rPr>
          <w:rFonts w:ascii="Noto Naskh Arabic" w:hAnsi="Noto Naskh Arabic" w:cs="Noto Naskh Arabic" w:eastAsia="Noto Naskh Arabic"/>
          <w:b w:val="0"/>
          <w:sz w:val="22"/>
        </w:rPr>
        <w:t>• داخل الشاشة زر: إدارة قوالب المصاريف والالتزامات.</w:t>
      </w:r>
    </w:p>
    <w:p>
      <w:pPr>
        <w:keepNext/>
        <w:bidi w:val="1"/>
        <w:spacing w:after="80" w:before="120" w:line="300" w:lineRule="auto"/>
        <w:jc w:val="right"/>
      </w:pPr>
      <w:r>
        <w:rPr>
          <w:rFonts w:ascii="Noto Naskh Arabic" w:hAnsi="Noto Naskh Arabic" w:cs="Noto Naskh Arabic" w:eastAsia="Noto Naskh Arabic"/>
          <w:b/>
          <w:color w:val="781E1E"/>
          <w:sz w:val="25"/>
        </w:rPr>
        <w:t>إدارة قوالب المصاريف والالتزامات</w:t>
      </w:r>
    </w:p>
    <w:p>
      <w:pPr>
        <w:bidi w:val="1"/>
        <w:spacing w:after="80" w:before="0" w:line="300" w:lineRule="auto"/>
        <w:jc w:val="right"/>
      </w:pPr>
      <w:r>
        <w:rPr>
          <w:rFonts w:ascii="Noto Naskh Arabic" w:hAnsi="Noto Naskh Arabic" w:cs="Noto Naskh Arabic" w:eastAsia="Noto Naskh Arabic"/>
          <w:b w:val="0"/>
          <w:sz w:val="22"/>
        </w:rPr>
        <w:t>• قوالب المصاريف: إضافة وتعديل وحذف اسم القالب فقط.</w:t>
      </w:r>
    </w:p>
    <w:p>
      <w:pPr>
        <w:bidi w:val="1"/>
        <w:spacing w:after="80" w:before="0" w:line="300" w:lineRule="auto"/>
        <w:jc w:val="right"/>
      </w:pPr>
      <w:r>
        <w:rPr>
          <w:rFonts w:ascii="Noto Naskh Arabic" w:hAnsi="Noto Naskh Arabic" w:cs="Noto Naskh Arabic" w:eastAsia="Noto Naskh Arabic"/>
          <w:b w:val="0"/>
          <w:sz w:val="22"/>
        </w:rPr>
        <w:t>• الالتزامات: اسم الالتزام — موعد الالتزام — الحالة (دائم أو منتهي).</w:t>
      </w:r>
    </w:p>
    <w:p>
      <w:pPr>
        <w:bidi w:val="1"/>
        <w:spacing w:after="80" w:before="0" w:line="300" w:lineRule="auto"/>
        <w:jc w:val="right"/>
      </w:pPr>
      <w:r>
        <w:rPr>
          <w:rFonts w:ascii="Noto Naskh Arabic" w:hAnsi="Noto Naskh Arabic" w:cs="Noto Naskh Arabic" w:eastAsia="Noto Naskh Arabic"/>
          <w:b w:val="0"/>
          <w:sz w:val="22"/>
        </w:rPr>
        <w:t>• إذا كان الالتزام منتهيًا، يسجل قيمة القسط الشهري والإجمالي الكلي، مثل جمعيات أو أقساط بنك.</w:t>
      </w:r>
    </w:p>
    <w:p>
      <w:pPr>
        <w:bidi w:val="1"/>
        <w:spacing w:after="80" w:before="0" w:line="300" w:lineRule="auto"/>
        <w:jc w:val="right"/>
      </w:pPr>
      <w:r>
        <w:rPr>
          <w:rFonts w:ascii="Noto Naskh Arabic" w:hAnsi="Noto Naskh Arabic" w:cs="Noto Naskh Arabic" w:eastAsia="Noto Naskh Arabic"/>
          <w:b w:val="0"/>
          <w:sz w:val="22"/>
        </w:rPr>
        <w:t>• يوجد قسم مستقل باسم قائمة الالتزامات يعرض المنتهية وغير المنتهية مع مؤشر إجمالي الالتزامات.</w:t>
      </w:r>
    </w:p>
    <w:p>
      <w:r>
        <w:br w:type="page"/>
      </w:r>
    </w:p>
    <w:p>
      <w:pPr>
        <w:keepNext/>
        <w:bidi w:val="1"/>
        <w:spacing w:after="160" w:before="160" w:line="300" w:lineRule="auto"/>
        <w:jc w:val="right"/>
      </w:pPr>
      <w:r>
        <w:rPr>
          <w:rFonts w:ascii="Noto Naskh Arabic" w:hAnsi="Noto Naskh Arabic" w:cs="Noto Naskh Arabic" w:eastAsia="Noto Naskh Arabic"/>
          <w:b/>
          <w:color w:val="A82121"/>
          <w:sz w:val="30"/>
        </w:rPr>
        <w:t>8) واجهة المشرف</w:t>
      </w:r>
    </w:p>
    <w:p>
      <w:pPr>
        <w:keepNext/>
        <w:bidi w:val="1"/>
        <w:spacing w:after="80" w:before="120" w:line="300" w:lineRule="auto"/>
        <w:jc w:val="right"/>
      </w:pPr>
      <w:r>
        <w:rPr>
          <w:rFonts w:ascii="Noto Naskh Arabic" w:hAnsi="Noto Naskh Arabic" w:cs="Noto Naskh Arabic" w:eastAsia="Noto Naskh Arabic"/>
          <w:b/>
          <w:color w:val="781E1E"/>
          <w:sz w:val="25"/>
        </w:rPr>
        <w:t>الشاشة الرئيسية</w:t>
      </w:r>
    </w:p>
    <w:p>
      <w:pPr>
        <w:bidi w:val="1"/>
        <w:spacing w:after="80" w:before="0" w:line="300" w:lineRule="auto"/>
        <w:jc w:val="right"/>
      </w:pPr>
      <w:r>
        <w:rPr>
          <w:rFonts w:ascii="Noto Naskh Arabic" w:hAnsi="Noto Naskh Arabic" w:cs="Noto Naskh Arabic" w:eastAsia="Noto Naskh Arabic"/>
          <w:b w:val="0"/>
          <w:sz w:val="22"/>
        </w:rPr>
        <w:t>• سطر تعريف: المشرف — اسم المشرف.</w:t>
      </w:r>
    </w:p>
    <w:p>
      <w:pPr>
        <w:bidi w:val="1"/>
        <w:spacing w:after="80" w:before="0" w:line="300" w:lineRule="auto"/>
        <w:jc w:val="right"/>
      </w:pPr>
      <w:r>
        <w:rPr>
          <w:rFonts w:ascii="Noto Naskh Arabic" w:hAnsi="Noto Naskh Arabic" w:cs="Noto Naskh Arabic" w:eastAsia="Noto Naskh Arabic"/>
          <w:b w:val="0"/>
          <w:sz w:val="22"/>
        </w:rPr>
        <w:t>• تحت الاسم مباشرة مؤشر صغير لقيمة الاشتراكات التي استلمها المشرف ولم يوردها بعد للمسؤول المالي. هذا المؤشر يجمع اشتراكات الهوتسبوت والبرودباند.</w:t>
      </w:r>
    </w:p>
    <w:p>
      <w:pPr>
        <w:bidi w:val="1"/>
        <w:spacing w:after="80" w:before="0" w:line="300" w:lineRule="auto"/>
        <w:jc w:val="right"/>
      </w:pPr>
      <w:r>
        <w:rPr>
          <w:rFonts w:ascii="Noto Naskh Arabic" w:hAnsi="Noto Naskh Arabic" w:cs="Noto Naskh Arabic" w:eastAsia="Noto Naskh Arabic"/>
          <w:b w:val="0"/>
          <w:sz w:val="22"/>
        </w:rPr>
        <w:t>• بطاقات المعلومات: مهام المالك — مهام السحب — الإصلاح — التركيبات الجديدة.</w:t>
      </w:r>
    </w:p>
    <w:p>
      <w:pPr>
        <w:bidi w:val="1"/>
        <w:spacing w:after="80" w:before="0" w:line="300" w:lineRule="auto"/>
        <w:jc w:val="right"/>
      </w:pPr>
      <w:r>
        <w:rPr>
          <w:rFonts w:ascii="Noto Naskh Arabic" w:hAnsi="Noto Naskh Arabic" w:cs="Noto Naskh Arabic" w:eastAsia="Noto Naskh Arabic"/>
          <w:b w:val="0"/>
          <w:sz w:val="22"/>
        </w:rPr>
        <w:t>• الأزرار مقسمة إلى ثلاثة أقسام: إضافة المهام (إصلاح — تركيب جديد — شراء)، الإدارة (قاعدة البيانات — إدارة المهندسين الفنيين — متابعة المهام)، خاص بالمسؤول المالي (تسليم قيمة الاشتراكات — جرد على المسؤول المالي).</w:t>
      </w:r>
    </w:p>
    <w:p>
      <w:pPr>
        <w:bidi w:val="1"/>
        <w:spacing w:after="80" w:before="0" w:line="300" w:lineRule="auto"/>
        <w:jc w:val="right"/>
      </w:pPr>
      <w:r>
        <w:rPr>
          <w:rFonts w:ascii="Noto Naskh Arabic" w:hAnsi="Noto Naskh Arabic" w:cs="Noto Naskh Arabic" w:eastAsia="Noto Naskh Arabic"/>
          <w:b w:val="0"/>
          <w:sz w:val="22"/>
        </w:rPr>
        <w:t>• بعد الأزرار تظهر: طلبات الشراء، ثم مهام المالك، ثم آخر خمس مهام غير مكتملة، ثم مهام السحب غير المكتملة.</w:t>
      </w:r>
    </w:p>
    <w:p>
      <w:pPr>
        <w:keepNext/>
        <w:bidi w:val="1"/>
        <w:spacing w:after="80" w:before="120" w:line="300" w:lineRule="auto"/>
        <w:jc w:val="right"/>
      </w:pPr>
      <w:r>
        <w:rPr>
          <w:rFonts w:ascii="Noto Naskh Arabic" w:hAnsi="Noto Naskh Arabic" w:cs="Noto Naskh Arabic" w:eastAsia="Noto Naskh Arabic"/>
          <w:b/>
          <w:color w:val="781E1E"/>
          <w:sz w:val="25"/>
        </w:rPr>
        <w:t>زر إصلاح</w:t>
      </w:r>
    </w:p>
    <w:p>
      <w:pPr>
        <w:bidi w:val="1"/>
        <w:spacing w:after="80" w:before="0" w:line="300" w:lineRule="auto"/>
        <w:jc w:val="right"/>
      </w:pPr>
      <w:r>
        <w:rPr>
          <w:rFonts w:ascii="Noto Naskh Arabic" w:hAnsi="Noto Naskh Arabic" w:cs="Noto Naskh Arabic" w:eastAsia="Noto Naskh Arabic"/>
          <w:b w:val="0"/>
          <w:sz w:val="22"/>
        </w:rPr>
        <w:t>• يعتمد الإدخال على رقم الخدمة فقط: رقم مثل 30 للهوتسبوت أو p30 للبرودباند.</w:t>
      </w:r>
    </w:p>
    <w:p>
      <w:pPr>
        <w:bidi w:val="1"/>
        <w:spacing w:after="80" w:before="0" w:line="300" w:lineRule="auto"/>
        <w:jc w:val="right"/>
      </w:pPr>
      <w:r>
        <w:rPr>
          <w:rFonts w:ascii="Noto Naskh Arabic" w:hAnsi="Noto Naskh Arabic" w:cs="Noto Naskh Arabic" w:eastAsia="Noto Naskh Arabic"/>
          <w:b w:val="0"/>
          <w:sz w:val="22"/>
        </w:rPr>
        <w:t>• يوجد رمز صغير لجلب البيانات من قاعدة البيانات. إذا وجدت البيانات تملأ الحقول تلقائيًا، وإذا لم توجد يسمح بالإدخال اليدوي.</w:t>
      </w:r>
    </w:p>
    <w:p>
      <w:pPr>
        <w:bidi w:val="1"/>
        <w:spacing w:after="80" w:before="0" w:line="300" w:lineRule="auto"/>
        <w:jc w:val="right"/>
      </w:pPr>
      <w:r>
        <w:rPr>
          <w:rFonts w:ascii="Noto Naskh Arabic" w:hAnsi="Noto Naskh Arabic" w:cs="Noto Naskh Arabic" w:eastAsia="Noto Naskh Arabic"/>
          <w:b w:val="0"/>
          <w:sz w:val="22"/>
        </w:rPr>
        <w:t>• النظام يميز تلقائيًا بين الهوتسبوت الداخلي والهوتسبوت الخارجي والبرودباند، ويعرض الحقول المناسبة لكل حالة.</w:t>
      </w:r>
    </w:p>
    <w:p>
      <w:pPr>
        <w:bidi w:val="1"/>
        <w:spacing w:after="80" w:before="0" w:line="300" w:lineRule="auto"/>
        <w:jc w:val="right"/>
      </w:pPr>
      <w:r>
        <w:rPr>
          <w:rFonts w:ascii="Noto Naskh Arabic" w:hAnsi="Noto Naskh Arabic" w:cs="Noto Naskh Arabic" w:eastAsia="Noto Naskh Arabic"/>
          <w:b w:val="0"/>
          <w:sz w:val="22"/>
        </w:rPr>
        <w:t>• وصف المشكلة اختياري، وكذلك الصورة. إسناد المهمة افتراضيًا إلى الكل، ويمكن تخصيصها لفني محدد.</w:t>
      </w:r>
    </w:p>
    <w:p>
      <w:pPr>
        <w:keepNext/>
        <w:bidi w:val="1"/>
        <w:spacing w:after="80" w:before="120" w:line="300" w:lineRule="auto"/>
        <w:jc w:val="right"/>
      </w:pPr>
      <w:r>
        <w:rPr>
          <w:rFonts w:ascii="Noto Naskh Arabic" w:hAnsi="Noto Naskh Arabic" w:cs="Noto Naskh Arabic" w:eastAsia="Noto Naskh Arabic"/>
          <w:b/>
          <w:color w:val="781E1E"/>
          <w:sz w:val="25"/>
        </w:rPr>
        <w:t>زر تركيب جديد — نظام التذاكر</w:t>
      </w:r>
    </w:p>
    <w:p>
      <w:pPr>
        <w:bidi w:val="1"/>
        <w:spacing w:after="80" w:before="0" w:line="300" w:lineRule="auto"/>
        <w:jc w:val="right"/>
      </w:pPr>
      <w:r>
        <w:rPr>
          <w:rFonts w:ascii="Noto Naskh Arabic" w:hAnsi="Noto Naskh Arabic" w:cs="Noto Naskh Arabic" w:eastAsia="Noto Naskh Arabic"/>
          <w:b w:val="0"/>
          <w:sz w:val="22"/>
        </w:rPr>
        <w:t>• عند فتح زر تركيب جديد تظهر أربع خيارات: إنشاء تذكرة جديدة — قائمة التذاكر الجديدة — قائمة الجاري تنفيذها — المؤرشفة والمكتملة.</w:t>
      </w:r>
    </w:p>
    <w:p>
      <w:pPr>
        <w:bidi w:val="1"/>
        <w:spacing w:after="80" w:before="0" w:line="300" w:lineRule="auto"/>
        <w:jc w:val="right"/>
      </w:pPr>
      <w:r>
        <w:rPr>
          <w:rFonts w:ascii="Noto Naskh Arabic" w:hAnsi="Noto Naskh Arabic" w:cs="Noto Naskh Arabic" w:eastAsia="Noto Naskh Arabic"/>
          <w:b w:val="0"/>
          <w:sz w:val="22"/>
        </w:rPr>
        <w:t>• في إنشاء التذكرة يبدأ المشرف بتحديد النوع: داخلي أو خارجي. إذا كان داخليًا يحدد هوتسبوت أو برودباند.</w:t>
      </w:r>
    </w:p>
    <w:p>
      <w:pPr>
        <w:bidi w:val="1"/>
        <w:spacing w:after="80" w:before="0" w:line="300" w:lineRule="auto"/>
        <w:jc w:val="right"/>
      </w:pPr>
      <w:r>
        <w:rPr>
          <w:rFonts w:ascii="Noto Naskh Arabic" w:hAnsi="Noto Naskh Arabic" w:cs="Noto Naskh Arabic" w:eastAsia="Noto Naskh Arabic"/>
          <w:b w:val="0"/>
          <w:sz w:val="22"/>
        </w:rPr>
        <w:t>• داخلي — هوتسبوت: اسم العميل، رقم الجوال، الموقع الأولي، قيمة الاشتراك. إذا تركت القيمة فارغة تعتبر بدون اشتراك، وإذا سجل مبلغ يضاف إلى مؤشر قيمة الاشتراكات.</w:t>
      </w:r>
    </w:p>
    <w:p>
      <w:pPr>
        <w:bidi w:val="1"/>
        <w:spacing w:after="80" w:before="0" w:line="300" w:lineRule="auto"/>
        <w:jc w:val="right"/>
      </w:pPr>
      <w:r>
        <w:rPr>
          <w:rFonts w:ascii="Noto Naskh Arabic" w:hAnsi="Noto Naskh Arabic" w:cs="Noto Naskh Arabic" w:eastAsia="Noto Naskh Arabic"/>
          <w:b w:val="0"/>
          <w:sz w:val="22"/>
        </w:rPr>
        <w:t>• داخلي — برودباند: اسم العميل، رقم الجوال، وصف الموقع، دبوس الموقع. ثم تحفظ كتذكرة تركيب.</w:t>
      </w:r>
    </w:p>
    <w:p>
      <w:pPr>
        <w:bidi w:val="1"/>
        <w:spacing w:after="80" w:before="0" w:line="300" w:lineRule="auto"/>
        <w:jc w:val="right"/>
      </w:pPr>
      <w:r>
        <w:rPr>
          <w:rFonts w:ascii="Noto Naskh Arabic" w:hAnsi="Noto Naskh Arabic" w:cs="Noto Naskh Arabic" w:eastAsia="Noto Naskh Arabic"/>
          <w:b w:val="0"/>
          <w:sz w:val="22"/>
        </w:rPr>
        <w:t>• خارجي: وصف الموقع إلزامي، ورابط أو دبوس الموقع اختياري، وصورة الموقع اختيارية.</w:t>
      </w:r>
    </w:p>
    <w:p>
      <w:pPr>
        <w:bidi w:val="1"/>
        <w:spacing w:after="80" w:before="0" w:line="300" w:lineRule="auto"/>
        <w:jc w:val="right"/>
      </w:pPr>
      <w:r>
        <w:rPr>
          <w:rFonts w:ascii="Noto Naskh Arabic" w:hAnsi="Noto Naskh Arabic" w:cs="Noto Naskh Arabic" w:eastAsia="Noto Naskh Arabic"/>
          <w:b w:val="0"/>
          <w:sz w:val="22"/>
        </w:rPr>
        <w:t>• في التذاكر الجديدة يظهر زر تجهيز. تجهيز التذكرة يختلف حسب النوع: داخلي هوتسبوت، داخلي برودباند، أو خارجي.</w:t>
      </w:r>
    </w:p>
    <w:p>
      <w:pPr>
        <w:bidi w:val="1"/>
        <w:spacing w:after="80" w:before="0" w:line="300" w:lineRule="auto"/>
        <w:jc w:val="right"/>
      </w:pPr>
      <w:r>
        <w:rPr>
          <w:rFonts w:ascii="Noto Naskh Arabic" w:hAnsi="Noto Naskh Arabic" w:cs="Noto Naskh Arabic" w:eastAsia="Noto Naskh Arabic"/>
          <w:b w:val="0"/>
          <w:sz w:val="22"/>
        </w:rPr>
        <w:t>• أكشن تجهيز الهوتسبوت الداخلي يشمل: تأكيد الموقع، تسليم الجهاز، رفع صورة العقد، وإمكانية إضافة نقاط بث خارجية وسيطة قبل تنفيذ تركيب العميل.</w:t>
      </w:r>
    </w:p>
    <w:p>
      <w:pPr>
        <w:bidi w:val="1"/>
        <w:spacing w:after="80" w:before="0" w:line="300" w:lineRule="auto"/>
        <w:jc w:val="right"/>
      </w:pPr>
      <w:r>
        <w:rPr>
          <w:rFonts w:ascii="Noto Naskh Arabic" w:hAnsi="Noto Naskh Arabic" w:cs="Noto Naskh Arabic" w:eastAsia="Noto Naskh Arabic"/>
          <w:b w:val="0"/>
          <w:sz w:val="22"/>
        </w:rPr>
        <w:t>• أكشن تجهيز البرودباند يشمل: قيمة إدخال الخدمة، تأكيد الموقع، اسم اشتراك البرودباند، قيمة اشتراك الإنترنت، اسم الجهاز، رقم الجهاز، وصورة العقد، مع خيار إضافة نقطة داخلية هوتسبوت إذا لزم.</w:t>
      </w:r>
    </w:p>
    <w:p>
      <w:pPr>
        <w:bidi w:val="1"/>
        <w:spacing w:after="80" w:before="0" w:line="300" w:lineRule="auto"/>
        <w:jc w:val="right"/>
      </w:pPr>
      <w:r>
        <w:rPr>
          <w:rFonts w:ascii="Noto Naskh Arabic" w:hAnsi="Noto Naskh Arabic" w:cs="Noto Naskh Arabic" w:eastAsia="Noto Naskh Arabic"/>
          <w:b w:val="0"/>
          <w:sz w:val="22"/>
        </w:rPr>
        <w:t>• أكشن تجهيز الخارجي يشمل: اسم المهندس الفني، اسم الجهاز، رقم الجهاز، وأي نقطة وسيطة إن وجدت.</w:t>
      </w:r>
    </w:p>
    <w:p>
      <w:pPr>
        <w:bidi w:val="1"/>
        <w:spacing w:after="80" w:before="0" w:line="300" w:lineRule="auto"/>
        <w:jc w:val="right"/>
      </w:pPr>
      <w:r>
        <w:rPr>
          <w:rFonts w:ascii="Noto Naskh Arabic" w:hAnsi="Noto Naskh Arabic" w:cs="Noto Naskh Arabic" w:eastAsia="Noto Naskh Arabic"/>
          <w:b w:val="0"/>
          <w:sz w:val="22"/>
        </w:rPr>
        <w:t>• بعد إنهاء الفني للمهمة يتحول الزر من تجهيز إلى أرشفة، وعند الأرشفة يراجع المشرف جميع البيانات ويؤكد حفظها في قواعد البيانات المناسبة.</w:t>
      </w:r>
    </w:p>
    <w:p>
      <w:pPr>
        <w:keepNext/>
        <w:bidi w:val="1"/>
        <w:spacing w:after="80" w:before="120" w:line="300" w:lineRule="auto"/>
        <w:jc w:val="right"/>
      </w:pPr>
      <w:r>
        <w:rPr>
          <w:rFonts w:ascii="Noto Naskh Arabic" w:hAnsi="Noto Naskh Arabic" w:cs="Noto Naskh Arabic" w:eastAsia="Noto Naskh Arabic"/>
          <w:b/>
          <w:color w:val="781E1E"/>
          <w:sz w:val="25"/>
        </w:rPr>
        <w:t>زر شراء</w:t>
      </w:r>
    </w:p>
    <w:p>
      <w:pPr>
        <w:bidi w:val="1"/>
        <w:spacing w:after="80" w:before="0" w:line="300" w:lineRule="auto"/>
        <w:jc w:val="right"/>
      </w:pPr>
      <w:r>
        <w:rPr>
          <w:rFonts w:ascii="Noto Naskh Arabic" w:hAnsi="Noto Naskh Arabic" w:cs="Noto Naskh Arabic" w:eastAsia="Noto Naskh Arabic"/>
          <w:b w:val="0"/>
          <w:sz w:val="22"/>
        </w:rPr>
        <w:t>يستخدم المشرف هذا الزر لإنشاء طلب شراء فقط، وليس لتنفيذ شراء مالي. يسجل اسم الصنف والكمية ووصفًا مختصرًا والأولوية والملاحظات، ثم يظهر الطلب في قائمته وفي قائمة المشتريات المطلوبة عند المسؤول المالي حتى يتم تنفيذه.</w:t>
      </w:r>
    </w:p>
    <w:p>
      <w:pPr>
        <w:keepNext/>
        <w:bidi w:val="1"/>
        <w:spacing w:after="80" w:before="120" w:line="300" w:lineRule="auto"/>
        <w:jc w:val="right"/>
      </w:pPr>
      <w:r>
        <w:rPr>
          <w:rFonts w:ascii="Noto Naskh Arabic" w:hAnsi="Noto Naskh Arabic" w:cs="Noto Naskh Arabic" w:eastAsia="Noto Naskh Arabic"/>
          <w:b/>
          <w:color w:val="781E1E"/>
          <w:sz w:val="25"/>
        </w:rPr>
        <w:t>قاعدة البيانات للمشرف</w:t>
      </w:r>
    </w:p>
    <w:p>
      <w:pPr>
        <w:bidi w:val="1"/>
        <w:spacing w:after="80" w:before="0" w:line="300" w:lineRule="auto"/>
        <w:jc w:val="right"/>
      </w:pPr>
      <w:r>
        <w:rPr>
          <w:rFonts w:ascii="Noto Naskh Arabic" w:hAnsi="Noto Naskh Arabic" w:cs="Noto Naskh Arabic" w:eastAsia="Noto Naskh Arabic"/>
          <w:b w:val="0"/>
          <w:sz w:val="22"/>
        </w:rPr>
        <w:t>• تنقسم إلى تبويبين فقط: هوتسبوت وبرودباند.</w:t>
      </w:r>
    </w:p>
    <w:p>
      <w:pPr>
        <w:bidi w:val="1"/>
        <w:spacing w:after="80" w:before="0" w:line="300" w:lineRule="auto"/>
        <w:jc w:val="right"/>
      </w:pPr>
      <w:r>
        <w:rPr>
          <w:rFonts w:ascii="Noto Naskh Arabic" w:hAnsi="Noto Naskh Arabic" w:cs="Noto Naskh Arabic" w:eastAsia="Noto Naskh Arabic"/>
          <w:b w:val="0"/>
          <w:sz w:val="22"/>
        </w:rPr>
        <w:t>• في الهوتسبوت يكون الترتيب تسلسليًا حسب الرقم: فلاش 1 ثم فلاش 2 ثم فلاش 3 ... إلخ.</w:t>
      </w:r>
    </w:p>
    <w:p>
      <w:pPr>
        <w:bidi w:val="1"/>
        <w:spacing w:after="80" w:before="0" w:line="300" w:lineRule="auto"/>
        <w:jc w:val="right"/>
      </w:pPr>
      <w:r>
        <w:rPr>
          <w:rFonts w:ascii="Noto Naskh Arabic" w:hAnsi="Noto Naskh Arabic" w:cs="Noto Naskh Arabic" w:eastAsia="Noto Naskh Arabic"/>
          <w:b w:val="0"/>
          <w:sz w:val="22"/>
        </w:rPr>
        <w:t>• في البرودباند يكون أهم حقل في العرض هو اسم الاشتراك.</w:t>
      </w:r>
    </w:p>
    <w:p>
      <w:pPr>
        <w:bidi w:val="1"/>
        <w:spacing w:after="80" w:before="0" w:line="300" w:lineRule="auto"/>
        <w:jc w:val="right"/>
      </w:pPr>
      <w:r>
        <w:rPr>
          <w:rFonts w:ascii="Noto Naskh Arabic" w:hAnsi="Noto Naskh Arabic" w:cs="Noto Naskh Arabic" w:eastAsia="Noto Naskh Arabic"/>
          <w:b w:val="0"/>
          <w:sz w:val="22"/>
        </w:rPr>
        <w:t>• العمليات المتاحة: إضافة — بحث — عرض — تعديل.</w:t>
      </w:r>
    </w:p>
    <w:p>
      <w:pPr>
        <w:bidi w:val="1"/>
        <w:spacing w:after="80" w:before="0" w:line="300" w:lineRule="auto"/>
        <w:jc w:val="right"/>
      </w:pPr>
      <w:r>
        <w:rPr>
          <w:rFonts w:ascii="Noto Naskh Arabic" w:hAnsi="Noto Naskh Arabic" w:cs="Noto Naskh Arabic" w:eastAsia="Noto Naskh Arabic"/>
          <w:b w:val="0"/>
          <w:sz w:val="22"/>
        </w:rPr>
        <w:t>• في التفاصيل يكون رقم الجوال قابلًا للاتصال، ورابط الموقع قابلًا للنسخ والفتح. كما يطبق نظام الحالة على الهوتسبوت والبرودباند مع ألوان واضحة.</w:t>
      </w:r>
    </w:p>
    <w:p>
      <w:pPr>
        <w:keepNext/>
        <w:bidi w:val="1"/>
        <w:spacing w:after="80" w:before="120" w:line="300" w:lineRule="auto"/>
        <w:jc w:val="right"/>
      </w:pPr>
      <w:r>
        <w:rPr>
          <w:rFonts w:ascii="Noto Naskh Arabic" w:hAnsi="Noto Naskh Arabic" w:cs="Noto Naskh Arabic" w:eastAsia="Noto Naskh Arabic"/>
          <w:b/>
          <w:color w:val="781E1E"/>
          <w:sz w:val="25"/>
        </w:rPr>
        <w:t>إدارة المهندسين الفنيين</w:t>
      </w:r>
    </w:p>
    <w:p>
      <w:pPr>
        <w:bidi w:val="1"/>
        <w:spacing w:after="80" w:before="0" w:line="300" w:lineRule="auto"/>
        <w:jc w:val="right"/>
      </w:pPr>
      <w:r>
        <w:rPr>
          <w:rFonts w:ascii="Noto Naskh Arabic" w:hAnsi="Noto Naskh Arabic" w:cs="Noto Naskh Arabic" w:eastAsia="Noto Naskh Arabic"/>
          <w:b w:val="0"/>
          <w:sz w:val="22"/>
        </w:rPr>
        <w:t>إضافة وتعديل وتعطيل المهندسين فقط، مع ظهور النشطين منهم في قوائم توزيع المهام.</w:t>
      </w:r>
    </w:p>
    <w:p>
      <w:pPr>
        <w:keepNext/>
        <w:bidi w:val="1"/>
        <w:spacing w:after="80" w:before="120" w:line="300" w:lineRule="auto"/>
        <w:jc w:val="right"/>
      </w:pPr>
      <w:r>
        <w:rPr>
          <w:rFonts w:ascii="Noto Naskh Arabic" w:hAnsi="Noto Naskh Arabic" w:cs="Noto Naskh Arabic" w:eastAsia="Noto Naskh Arabic"/>
          <w:b/>
          <w:color w:val="781E1E"/>
          <w:sz w:val="25"/>
        </w:rPr>
        <w:t>تسليم قيمة الاشتراكات وجرد على المسؤول المالي</w:t>
      </w:r>
    </w:p>
    <w:p>
      <w:pPr>
        <w:bidi w:val="1"/>
        <w:spacing w:after="80" w:before="0" w:line="300" w:lineRule="auto"/>
        <w:jc w:val="right"/>
      </w:pPr>
      <w:r>
        <w:rPr>
          <w:rFonts w:ascii="Noto Naskh Arabic" w:hAnsi="Noto Naskh Arabic" w:cs="Noto Naskh Arabic" w:eastAsia="Noto Naskh Arabic"/>
          <w:b w:val="0"/>
          <w:sz w:val="22"/>
        </w:rPr>
        <w:t>• عند توريد المشرف لقيمة الاشتراكات تخصم من مؤشر قيمة الاشتراكات لديه، وتتسجل عملية توريد في النظام، وتضاف إلى عهدة المسؤول المالي.</w:t>
      </w:r>
    </w:p>
    <w:p>
      <w:pPr>
        <w:bidi w:val="1"/>
        <w:spacing w:after="80" w:before="0" w:line="300" w:lineRule="auto"/>
        <w:jc w:val="right"/>
      </w:pPr>
      <w:r>
        <w:rPr>
          <w:rFonts w:ascii="Noto Naskh Arabic" w:hAnsi="Noto Naskh Arabic" w:cs="Noto Naskh Arabic" w:eastAsia="Noto Naskh Arabic"/>
          <w:b w:val="0"/>
          <w:sz w:val="22"/>
        </w:rPr>
        <w:t>• في الجرد على المسؤول المالي يعرض النظام القيم المسجلة: النقد — الكروت — القحطاني — السلف — إجمالي العهدة.</w:t>
      </w:r>
    </w:p>
    <w:p>
      <w:pPr>
        <w:bidi w:val="1"/>
        <w:spacing w:after="80" w:before="0" w:line="300" w:lineRule="auto"/>
        <w:jc w:val="right"/>
      </w:pPr>
      <w:r>
        <w:rPr>
          <w:rFonts w:ascii="Noto Naskh Arabic" w:hAnsi="Noto Naskh Arabic" w:cs="Noto Naskh Arabic" w:eastAsia="Noto Naskh Arabic"/>
          <w:b w:val="0"/>
          <w:sz w:val="22"/>
        </w:rPr>
        <w:t>• يدخل المشرف القيم الفعلية فقط، ثم يحسب النظام الفرق تلقائيًا ويحدد هل يوجد عجز أو زيادة وفي أي قسم.</w:t>
      </w:r>
    </w:p>
    <w:p>
      <w:pPr>
        <w:bidi w:val="1"/>
        <w:spacing w:after="80" w:before="0" w:line="300" w:lineRule="auto"/>
        <w:jc w:val="right"/>
      </w:pPr>
      <w:r>
        <w:rPr>
          <w:rFonts w:ascii="Noto Naskh Arabic" w:hAnsi="Noto Naskh Arabic" w:cs="Noto Naskh Arabic" w:eastAsia="Noto Naskh Arabic"/>
          <w:b w:val="0"/>
          <w:sz w:val="22"/>
        </w:rPr>
        <w:t>• إذا وجد عجز يسجل على المسؤول المالي ضمن سجل التقييم ويرسل تقريره إلى المالك لاتخاذ القرار. أما الزيادة فترسل أيضًا للمالك للمراجعة.</w:t>
      </w:r>
    </w:p>
    <w:p>
      <w:r>
        <w:br w:type="page"/>
      </w:r>
    </w:p>
    <w:p>
      <w:pPr>
        <w:keepNext/>
        <w:bidi w:val="1"/>
        <w:spacing w:after="160" w:before="160" w:line="300" w:lineRule="auto"/>
        <w:jc w:val="right"/>
      </w:pPr>
      <w:r>
        <w:rPr>
          <w:rFonts w:ascii="Noto Naskh Arabic" w:hAnsi="Noto Naskh Arabic" w:cs="Noto Naskh Arabic" w:eastAsia="Noto Naskh Arabic"/>
          <w:b/>
          <w:color w:val="A82121"/>
          <w:sz w:val="30"/>
        </w:rPr>
        <w:t>9) واجهة المهندس الفني</w:t>
      </w:r>
    </w:p>
    <w:p>
      <w:pPr>
        <w:bidi w:val="1"/>
        <w:spacing w:after="80" w:before="0" w:line="300" w:lineRule="auto"/>
        <w:jc w:val="right"/>
      </w:pPr>
      <w:r>
        <w:rPr>
          <w:rFonts w:ascii="Noto Naskh Arabic" w:hAnsi="Noto Naskh Arabic" w:cs="Noto Naskh Arabic" w:eastAsia="Noto Naskh Arabic"/>
          <w:b w:val="0"/>
          <w:sz w:val="22"/>
        </w:rPr>
        <w:t>• واجهة بسيطة وسريعة جدًا للجوال.</w:t>
      </w:r>
    </w:p>
    <w:p>
      <w:pPr>
        <w:bidi w:val="1"/>
        <w:spacing w:after="80" w:before="0" w:line="300" w:lineRule="auto"/>
        <w:jc w:val="right"/>
      </w:pPr>
      <w:r>
        <w:rPr>
          <w:rFonts w:ascii="Noto Naskh Arabic" w:hAnsi="Noto Naskh Arabic" w:cs="Noto Naskh Arabic" w:eastAsia="Noto Naskh Arabic"/>
          <w:b w:val="0"/>
          <w:sz w:val="22"/>
        </w:rPr>
        <w:t>• أعلى الصفحة: المهندس الفني — اسم المستخدم.</w:t>
      </w:r>
    </w:p>
    <w:p>
      <w:pPr>
        <w:bidi w:val="1"/>
        <w:spacing w:after="80" w:before="0" w:line="300" w:lineRule="auto"/>
        <w:jc w:val="right"/>
      </w:pPr>
      <w:r>
        <w:rPr>
          <w:rFonts w:ascii="Noto Naskh Arabic" w:hAnsi="Noto Naskh Arabic" w:cs="Noto Naskh Arabic" w:eastAsia="Noto Naskh Arabic"/>
          <w:b w:val="0"/>
          <w:sz w:val="22"/>
        </w:rPr>
        <w:t>• بطاقات سريعة: مهامي الجديدة — مهامي الجاري تنفيذها — مهامي المكتملة اليوم.</w:t>
      </w:r>
    </w:p>
    <w:p>
      <w:pPr>
        <w:bidi w:val="1"/>
        <w:spacing w:after="80" w:before="0" w:line="300" w:lineRule="auto"/>
        <w:jc w:val="right"/>
      </w:pPr>
      <w:r>
        <w:rPr>
          <w:rFonts w:ascii="Noto Naskh Arabic" w:hAnsi="Noto Naskh Arabic" w:cs="Noto Naskh Arabic" w:eastAsia="Noto Naskh Arabic"/>
          <w:b w:val="0"/>
          <w:sz w:val="22"/>
        </w:rPr>
        <w:t>• تبويبات رئيسية: الجديدة — الجاري — المكتملة، والافتراضي الجديدة.</w:t>
      </w:r>
    </w:p>
    <w:p>
      <w:pPr>
        <w:bidi w:val="1"/>
        <w:spacing w:after="80" w:before="0" w:line="300" w:lineRule="auto"/>
        <w:jc w:val="right"/>
      </w:pPr>
      <w:r>
        <w:rPr>
          <w:rFonts w:ascii="Noto Naskh Arabic" w:hAnsi="Noto Naskh Arabic" w:cs="Noto Naskh Arabic" w:eastAsia="Noto Naskh Arabic"/>
          <w:b w:val="0"/>
          <w:sz w:val="22"/>
        </w:rPr>
        <w:t>• في كل مهمة تظهر أهم البيانات فقط: نوع المهمة، الرقم أو الخدمة، الاسم إن وجد، الموقع، رقم الجوال، وزر اتصال وزر نسخ الموقع.</w:t>
      </w:r>
    </w:p>
    <w:p>
      <w:pPr>
        <w:bidi w:val="1"/>
        <w:spacing w:after="80" w:before="0" w:line="300" w:lineRule="auto"/>
        <w:jc w:val="right"/>
      </w:pPr>
      <w:r>
        <w:rPr>
          <w:rFonts w:ascii="Noto Naskh Arabic" w:hAnsi="Noto Naskh Arabic" w:cs="Noto Naskh Arabic" w:eastAsia="Noto Naskh Arabic"/>
          <w:b w:val="0"/>
          <w:sz w:val="22"/>
        </w:rPr>
        <w:t>• عند الضغط على بدء التنفيذ تنتقل المهمة إلى الجاري، وعند الضغط على تم التنفيذ يمكن إضافة ملاحظات ورفع صورة، ثم تتحول إلى مكتملة أو تصبح جاهزة للأرشفة عند المشرف حسب نوع المهمة.</w:t>
      </w:r>
    </w:p>
    <w:p>
      <w:pPr>
        <w:bidi w:val="1"/>
        <w:spacing w:after="80" w:before="0" w:line="300" w:lineRule="auto"/>
        <w:jc w:val="right"/>
      </w:pPr>
      <w:r>
        <w:rPr>
          <w:rFonts w:ascii="Noto Naskh Arabic" w:hAnsi="Noto Naskh Arabic" w:cs="Noto Naskh Arabic" w:eastAsia="Noto Naskh Arabic"/>
          <w:b w:val="0"/>
          <w:sz w:val="22"/>
        </w:rPr>
        <w:t>• لا يرى المهندس أي بيانات مالية أو صلاحيات غير ميدانية.</w:t>
      </w:r>
    </w:p>
    <w:p>
      <w:r>
        <w:br w:type="page"/>
      </w:r>
    </w:p>
    <w:p>
      <w:pPr>
        <w:keepNext/>
        <w:bidi w:val="1"/>
        <w:spacing w:after="160" w:before="160" w:line="300" w:lineRule="auto"/>
        <w:jc w:val="right"/>
      </w:pPr>
      <w:r>
        <w:rPr>
          <w:rFonts w:ascii="Noto Naskh Arabic" w:hAnsi="Noto Naskh Arabic" w:cs="Noto Naskh Arabic" w:eastAsia="Noto Naskh Arabic"/>
          <w:b/>
          <w:color w:val="A82121"/>
          <w:sz w:val="30"/>
        </w:rPr>
        <w:t>10) نظام الحالات والألوان</w:t>
      </w:r>
    </w:p>
    <w:p>
      <w:pPr>
        <w:bidi w:val="1"/>
        <w:spacing w:after="80" w:before="0" w:line="300" w:lineRule="auto"/>
        <w:jc w:val="right"/>
      </w:pPr>
      <w:r>
        <w:rPr>
          <w:rFonts w:ascii="Noto Naskh Arabic" w:hAnsi="Noto Naskh Arabic" w:cs="Noto Naskh Arabic" w:eastAsia="Noto Naskh Arabic"/>
          <w:b w:val="0"/>
          <w:sz w:val="22"/>
        </w:rPr>
        <w:t>يطبق على الهوتسبوت والبرودباند على حد سواء.</w:t>
      </w:r>
    </w:p>
    <w:tbl>
      <w:tblPr>
        <w:tblW w:type="auto" w:w="0"/>
        <w:jc w:val="center"/>
        <w:tblLayout w:type="fixed"/>
        <w:tblLook w:firstColumn="1" w:firstRow="1" w:lastColumn="0" w:lastRow="0" w:noHBand="0" w:noVBand="1" w:val="04A0"/>
      </w:tblPr>
      <w:tblGrid>
        <w:gridCol w:w="3400"/>
        <w:gridCol w:w="3400"/>
        <w:gridCol w:w="3400"/>
      </w:tblGrid>
      <w:tr>
        <w:tc>
          <w:tcPr>
            <w:tcW w:type="dxa" w:w="1417"/>
            <w:vAlign w:val="center"/>
            <w:shd w:fill="8D1F25"/>
          </w:tcPr>
          <w:p>
            <w:pPr>
              <w:bidi w:val="1"/>
              <w:jc w:val="center"/>
            </w:pPr>
            <w:r/>
            <w:r>
              <w:rPr>
                <w:rFonts w:ascii="Noto Naskh Arabic" w:hAnsi="Noto Naskh Arabic" w:cs="Noto Naskh Arabic" w:eastAsia="Noto Naskh Arabic"/>
                <w:b/>
                <w:color w:val="FFFFFF"/>
                <w:sz w:val="22"/>
              </w:rPr>
              <w:t>اللون</w:t>
            </w:r>
          </w:p>
        </w:tc>
        <w:tc>
          <w:tcPr>
            <w:tcW w:type="dxa" w:w="1984"/>
            <w:vAlign w:val="center"/>
            <w:shd w:fill="8D1F25"/>
          </w:tcPr>
          <w:p>
            <w:pPr>
              <w:bidi w:val="1"/>
              <w:jc w:val="center"/>
            </w:pPr>
            <w:r/>
            <w:r>
              <w:rPr>
                <w:rFonts w:ascii="Noto Naskh Arabic" w:hAnsi="Noto Naskh Arabic" w:cs="Noto Naskh Arabic" w:eastAsia="Noto Naskh Arabic"/>
                <w:b/>
                <w:color w:val="FFFFFF"/>
                <w:sz w:val="22"/>
              </w:rPr>
              <w:t>الحالة</w:t>
            </w:r>
          </w:p>
        </w:tc>
        <w:tc>
          <w:tcPr>
            <w:tcW w:type="dxa" w:w="5102"/>
            <w:vAlign w:val="center"/>
            <w:shd w:fill="8D1F25"/>
          </w:tcPr>
          <w:p>
            <w:pPr>
              <w:bidi w:val="1"/>
              <w:jc w:val="center"/>
            </w:pPr>
            <w:r/>
            <w:r>
              <w:rPr>
                <w:rFonts w:ascii="Noto Naskh Arabic" w:hAnsi="Noto Naskh Arabic" w:cs="Noto Naskh Arabic" w:eastAsia="Noto Naskh Arabic"/>
                <w:b/>
                <w:color w:val="FFFFFF"/>
                <w:sz w:val="22"/>
              </w:rPr>
              <w:t>الوصف</w:t>
            </w:r>
          </w:p>
        </w:tc>
      </w:tr>
      <w:tr>
        <w:tc>
          <w:tcPr>
            <w:tcW w:type="dxa" w:w="1417"/>
            <w:vAlign w:val="center"/>
          </w:tcPr>
          <w:p>
            <w:pPr>
              <w:bidi w:val="1"/>
              <w:jc w:val="right"/>
            </w:pPr>
            <w:r/>
            <w:r>
              <w:rPr>
                <w:rFonts w:ascii="Noto Naskh Arabic" w:hAnsi="Noto Naskh Arabic" w:cs="Noto Naskh Arabic" w:eastAsia="Noto Naskh Arabic"/>
                <w:b w:val="0"/>
                <w:sz w:val="21"/>
              </w:rPr>
              <w:t>أزرق</w:t>
            </w:r>
          </w:p>
        </w:tc>
        <w:tc>
          <w:tcPr>
            <w:tcW w:type="dxa" w:w="1984"/>
            <w:vAlign w:val="center"/>
          </w:tcPr>
          <w:p>
            <w:pPr>
              <w:bidi w:val="1"/>
              <w:jc w:val="right"/>
            </w:pPr>
            <w:r/>
            <w:r>
              <w:rPr>
                <w:rFonts w:ascii="Noto Naskh Arabic" w:hAnsi="Noto Naskh Arabic" w:cs="Noto Naskh Arabic" w:eastAsia="Noto Naskh Arabic"/>
                <w:b w:val="0"/>
                <w:sz w:val="21"/>
              </w:rPr>
              <w:t>نشط</w:t>
            </w:r>
          </w:p>
        </w:tc>
        <w:tc>
          <w:tcPr>
            <w:tcW w:type="dxa" w:w="5102"/>
            <w:vAlign w:val="center"/>
          </w:tcPr>
          <w:p>
            <w:pPr>
              <w:bidi w:val="1"/>
              <w:jc w:val="right"/>
            </w:pPr>
            <w:r/>
            <w:r>
              <w:rPr>
                <w:rFonts w:ascii="Noto Naskh Arabic" w:hAnsi="Noto Naskh Arabic" w:cs="Noto Naskh Arabic" w:eastAsia="Noto Naskh Arabic"/>
                <w:b w:val="0"/>
                <w:sz w:val="21"/>
              </w:rPr>
              <w:t>عميل موجود، الخدمة تعمل، والبيانات مكتملة.</w:t>
            </w:r>
          </w:p>
        </w:tc>
      </w:tr>
      <w:tr>
        <w:tc>
          <w:tcPr>
            <w:tcW w:type="dxa" w:w="1417"/>
            <w:vAlign w:val="center"/>
          </w:tcPr>
          <w:p>
            <w:pPr>
              <w:bidi w:val="1"/>
              <w:jc w:val="right"/>
            </w:pPr>
            <w:r/>
            <w:r>
              <w:rPr>
                <w:rFonts w:ascii="Noto Naskh Arabic" w:hAnsi="Noto Naskh Arabic" w:cs="Noto Naskh Arabic" w:eastAsia="Noto Naskh Arabic"/>
                <w:b w:val="0"/>
                <w:sz w:val="21"/>
              </w:rPr>
              <w:t>أصفر</w:t>
            </w:r>
          </w:p>
        </w:tc>
        <w:tc>
          <w:tcPr>
            <w:tcW w:type="dxa" w:w="1984"/>
            <w:vAlign w:val="center"/>
          </w:tcPr>
          <w:p>
            <w:pPr>
              <w:bidi w:val="1"/>
              <w:jc w:val="right"/>
            </w:pPr>
            <w:r/>
            <w:r>
              <w:rPr>
                <w:rFonts w:ascii="Noto Naskh Arabic" w:hAnsi="Noto Naskh Arabic" w:cs="Noto Naskh Arabic" w:eastAsia="Noto Naskh Arabic"/>
                <w:b w:val="0"/>
                <w:sz w:val="21"/>
              </w:rPr>
              <w:t>نشط غير مكتمل</w:t>
            </w:r>
          </w:p>
        </w:tc>
        <w:tc>
          <w:tcPr>
            <w:tcW w:type="dxa" w:w="5102"/>
            <w:vAlign w:val="center"/>
          </w:tcPr>
          <w:p>
            <w:pPr>
              <w:bidi w:val="1"/>
              <w:jc w:val="right"/>
            </w:pPr>
            <w:r/>
            <w:r>
              <w:rPr>
                <w:rFonts w:ascii="Noto Naskh Arabic" w:hAnsi="Noto Naskh Arabic" w:cs="Noto Naskh Arabic" w:eastAsia="Noto Naskh Arabic"/>
                <w:b w:val="0"/>
                <w:sz w:val="21"/>
              </w:rPr>
              <w:t>هناك استخدام أو عميل لكن البيانات ناقصة أو غير مؤرشفة بالكامل.</w:t>
            </w:r>
          </w:p>
        </w:tc>
      </w:tr>
      <w:tr>
        <w:tc>
          <w:tcPr>
            <w:tcW w:type="dxa" w:w="1417"/>
            <w:vAlign w:val="center"/>
          </w:tcPr>
          <w:p>
            <w:pPr>
              <w:bidi w:val="1"/>
              <w:jc w:val="right"/>
            </w:pPr>
            <w:r/>
            <w:r>
              <w:rPr>
                <w:rFonts w:ascii="Noto Naskh Arabic" w:hAnsi="Noto Naskh Arabic" w:cs="Noto Naskh Arabic" w:eastAsia="Noto Naskh Arabic"/>
                <w:b w:val="0"/>
                <w:sz w:val="21"/>
              </w:rPr>
              <w:t>أخضر</w:t>
            </w:r>
          </w:p>
        </w:tc>
        <w:tc>
          <w:tcPr>
            <w:tcW w:type="dxa" w:w="1984"/>
            <w:vAlign w:val="center"/>
          </w:tcPr>
          <w:p>
            <w:pPr>
              <w:bidi w:val="1"/>
              <w:jc w:val="right"/>
            </w:pPr>
            <w:r/>
            <w:r>
              <w:rPr>
                <w:rFonts w:ascii="Noto Naskh Arabic" w:hAnsi="Noto Naskh Arabic" w:cs="Noto Naskh Arabic" w:eastAsia="Noto Naskh Arabic"/>
                <w:b w:val="0"/>
                <w:sz w:val="21"/>
              </w:rPr>
              <w:t>جاهز</w:t>
            </w:r>
          </w:p>
        </w:tc>
        <w:tc>
          <w:tcPr>
            <w:tcW w:type="dxa" w:w="5102"/>
            <w:vAlign w:val="center"/>
          </w:tcPr>
          <w:p>
            <w:pPr>
              <w:bidi w:val="1"/>
              <w:jc w:val="right"/>
            </w:pPr>
            <w:r/>
            <w:r>
              <w:rPr>
                <w:rFonts w:ascii="Noto Naskh Arabic" w:hAnsi="Noto Naskh Arabic" w:cs="Noto Naskh Arabic" w:eastAsia="Noto Naskh Arabic"/>
                <w:b w:val="0"/>
                <w:sz w:val="21"/>
              </w:rPr>
              <w:t>جهاز موجود ومبرمج وجاهز للتركيب ولم يربط بعد بعميل فعلي.</w:t>
            </w:r>
          </w:p>
        </w:tc>
      </w:tr>
      <w:tr>
        <w:tc>
          <w:tcPr>
            <w:tcW w:type="dxa" w:w="1417"/>
            <w:vAlign w:val="center"/>
          </w:tcPr>
          <w:p>
            <w:pPr>
              <w:bidi w:val="1"/>
              <w:jc w:val="right"/>
            </w:pPr>
            <w:r/>
            <w:r>
              <w:rPr>
                <w:rFonts w:ascii="Noto Naskh Arabic" w:hAnsi="Noto Naskh Arabic" w:cs="Noto Naskh Arabic" w:eastAsia="Noto Naskh Arabic"/>
                <w:b w:val="0"/>
                <w:sz w:val="21"/>
              </w:rPr>
              <w:t>أحمر</w:t>
            </w:r>
          </w:p>
        </w:tc>
        <w:tc>
          <w:tcPr>
            <w:tcW w:type="dxa" w:w="1984"/>
            <w:vAlign w:val="center"/>
          </w:tcPr>
          <w:p>
            <w:pPr>
              <w:bidi w:val="1"/>
              <w:jc w:val="right"/>
            </w:pPr>
            <w:r/>
            <w:r>
              <w:rPr>
                <w:rFonts w:ascii="Noto Naskh Arabic" w:hAnsi="Noto Naskh Arabic" w:cs="Noto Naskh Arabic" w:eastAsia="Noto Naskh Arabic"/>
                <w:b w:val="0"/>
                <w:sz w:val="21"/>
              </w:rPr>
              <w:t>فارغ</w:t>
            </w:r>
          </w:p>
        </w:tc>
        <w:tc>
          <w:tcPr>
            <w:tcW w:type="dxa" w:w="5102"/>
            <w:vAlign w:val="center"/>
          </w:tcPr>
          <w:p>
            <w:pPr>
              <w:bidi w:val="1"/>
              <w:jc w:val="right"/>
            </w:pPr>
            <w:r/>
            <w:r>
              <w:rPr>
                <w:rFonts w:ascii="Noto Naskh Arabic" w:hAnsi="Noto Naskh Arabic" w:cs="Noto Naskh Arabic" w:eastAsia="Noto Naskh Arabic"/>
                <w:b w:val="0"/>
                <w:sz w:val="21"/>
              </w:rPr>
              <w:t>لا يوجد جهاز ولا عميل ولا استخدام.</w:t>
            </w:r>
          </w:p>
        </w:tc>
      </w:tr>
      <w:tr>
        <w:tc>
          <w:tcPr>
            <w:tcW w:type="dxa" w:w="1417"/>
            <w:vAlign w:val="center"/>
          </w:tcPr>
          <w:p>
            <w:pPr>
              <w:bidi w:val="1"/>
              <w:jc w:val="right"/>
            </w:pPr>
            <w:r/>
            <w:r>
              <w:rPr>
                <w:rFonts w:ascii="Noto Naskh Arabic" w:hAnsi="Noto Naskh Arabic" w:cs="Noto Naskh Arabic" w:eastAsia="Noto Naskh Arabic"/>
                <w:b w:val="0"/>
                <w:sz w:val="21"/>
              </w:rPr>
              <w:t>رمادي</w:t>
            </w:r>
          </w:p>
        </w:tc>
        <w:tc>
          <w:tcPr>
            <w:tcW w:type="dxa" w:w="1984"/>
            <w:vAlign w:val="center"/>
          </w:tcPr>
          <w:p>
            <w:pPr>
              <w:bidi w:val="1"/>
              <w:jc w:val="right"/>
            </w:pPr>
            <w:r/>
            <w:r>
              <w:rPr>
                <w:rFonts w:ascii="Noto Naskh Arabic" w:hAnsi="Noto Naskh Arabic" w:cs="Noto Naskh Arabic" w:eastAsia="Noto Naskh Arabic"/>
                <w:b w:val="0"/>
                <w:sz w:val="21"/>
              </w:rPr>
              <w:t>متوقف</w:t>
            </w:r>
          </w:p>
        </w:tc>
        <w:tc>
          <w:tcPr>
            <w:tcW w:type="dxa" w:w="5102"/>
            <w:vAlign w:val="center"/>
          </w:tcPr>
          <w:p>
            <w:pPr>
              <w:bidi w:val="1"/>
              <w:jc w:val="right"/>
            </w:pPr>
            <w:r/>
            <w:r>
              <w:rPr>
                <w:rFonts w:ascii="Noto Naskh Arabic" w:hAnsi="Noto Naskh Arabic" w:cs="Noto Naskh Arabic" w:eastAsia="Noto Naskh Arabic"/>
                <w:b w:val="0"/>
                <w:sz w:val="21"/>
              </w:rPr>
              <w:t>تم السحب أو توقف العميل أو خرج السجل من الاستخدام.</w:t>
            </w:r>
          </w:p>
        </w:tc>
      </w:tr>
    </w:tbl>
    <w:p>
      <w:r>
        <w:br w:type="page"/>
      </w:r>
    </w:p>
    <w:p>
      <w:pPr>
        <w:keepNext/>
        <w:bidi w:val="1"/>
        <w:spacing w:after="160" w:before="160" w:line="300" w:lineRule="auto"/>
        <w:jc w:val="right"/>
      </w:pPr>
      <w:r>
        <w:rPr>
          <w:rFonts w:ascii="Noto Naskh Arabic" w:hAnsi="Noto Naskh Arabic" w:cs="Noto Naskh Arabic" w:eastAsia="Noto Naskh Arabic"/>
          <w:b/>
          <w:color w:val="A82121"/>
          <w:sz w:val="30"/>
        </w:rPr>
        <w:t>11) قواعد محاسبية وتشغيلية يجب على المبرمج الالتزام بها</w:t>
      </w:r>
    </w:p>
    <w:p>
      <w:pPr>
        <w:bidi w:val="1"/>
        <w:spacing w:after="80" w:before="0" w:line="300" w:lineRule="auto"/>
        <w:jc w:val="right"/>
      </w:pPr>
      <w:r>
        <w:rPr>
          <w:rFonts w:ascii="Noto Naskh Arabic" w:hAnsi="Noto Naskh Arabic" w:cs="Noto Naskh Arabic" w:eastAsia="Noto Naskh Arabic"/>
          <w:b w:val="0"/>
          <w:sz w:val="22"/>
        </w:rPr>
        <w:t>• الكروت في شاشة البيع عند المسؤول المالي تعامل كمخزون مالي إجمالي واحد، بينما إضافة العهدة من المالك للمسؤول المالي تتطلب تحديد الفئة والعدد لحساب القيمة تلقائيًا.</w:t>
      </w:r>
    </w:p>
    <w:p>
      <w:pPr>
        <w:bidi w:val="1"/>
        <w:spacing w:after="80" w:before="0" w:line="300" w:lineRule="auto"/>
        <w:jc w:val="right"/>
      </w:pPr>
      <w:r>
        <w:rPr>
          <w:rFonts w:ascii="Noto Naskh Arabic" w:hAnsi="Noto Naskh Arabic" w:cs="Noto Naskh Arabic" w:eastAsia="Noto Naskh Arabic"/>
          <w:b w:val="0"/>
          <w:sz w:val="22"/>
        </w:rPr>
        <w:t>• السلفة تعني مبلغًا لنا عند الآخرين. الدين يعني مبلغًا علينا للآخرين.</w:t>
      </w:r>
    </w:p>
    <w:p>
      <w:pPr>
        <w:bidi w:val="1"/>
        <w:spacing w:after="80" w:before="0" w:line="300" w:lineRule="auto"/>
        <w:jc w:val="right"/>
      </w:pPr>
      <w:r>
        <w:rPr>
          <w:rFonts w:ascii="Noto Naskh Arabic" w:hAnsi="Noto Naskh Arabic" w:cs="Noto Naskh Arabic" w:eastAsia="Noto Naskh Arabic"/>
          <w:b w:val="0"/>
          <w:sz w:val="22"/>
        </w:rPr>
        <w:t>• في شاشة الصرف: نقد يخصم من الصندوق، دين لا يخصم ويسجل ضمن الديون.</w:t>
      </w:r>
    </w:p>
    <w:p>
      <w:pPr>
        <w:bidi w:val="1"/>
        <w:spacing w:after="80" w:before="0" w:line="300" w:lineRule="auto"/>
        <w:jc w:val="right"/>
      </w:pPr>
      <w:r>
        <w:rPr>
          <w:rFonts w:ascii="Noto Naskh Arabic" w:hAnsi="Noto Naskh Arabic" w:cs="Noto Naskh Arabic" w:eastAsia="Noto Naskh Arabic"/>
          <w:b w:val="0"/>
          <w:sz w:val="22"/>
        </w:rPr>
        <w:t>• في شاشة البيع: نقد يزيد الصندوق، سلفة لا تزيد الصندوق وتسجل ضمن السلف.</w:t>
      </w:r>
    </w:p>
    <w:p>
      <w:pPr>
        <w:bidi w:val="1"/>
        <w:spacing w:after="80" w:before="0" w:line="300" w:lineRule="auto"/>
        <w:jc w:val="right"/>
      </w:pPr>
      <w:r>
        <w:rPr>
          <w:rFonts w:ascii="Noto Naskh Arabic" w:hAnsi="Noto Naskh Arabic" w:cs="Noto Naskh Arabic" w:eastAsia="Noto Naskh Arabic"/>
          <w:b w:val="0"/>
          <w:sz w:val="22"/>
        </w:rPr>
        <w:t>• في استلام عهدة المندوب: النقد المستلم يسجل مبيعات باسم المندوب ويزيد الصندوق، والكروت المرتجعة تعود إلى إجمالي قيمة الكروت.</w:t>
      </w:r>
    </w:p>
    <w:p>
      <w:pPr>
        <w:bidi w:val="1"/>
        <w:spacing w:after="80" w:before="0" w:line="300" w:lineRule="auto"/>
        <w:jc w:val="right"/>
      </w:pPr>
      <w:r>
        <w:rPr>
          <w:rFonts w:ascii="Noto Naskh Arabic" w:hAnsi="Noto Naskh Arabic" w:cs="Noto Naskh Arabic" w:eastAsia="Noto Naskh Arabic"/>
          <w:b w:val="0"/>
          <w:sz w:val="22"/>
        </w:rPr>
        <w:t>• نقاط البيع وبيانات البرودباند والهوتسبوت الحالية تستورد أولًا من ملفات الإكسل. أي إضافة لاحقة تكون من التطبيق.</w:t>
      </w:r>
    </w:p>
    <w:p>
      <w:pPr>
        <w:bidi w:val="1"/>
        <w:spacing w:after="80" w:before="0" w:line="300" w:lineRule="auto"/>
        <w:jc w:val="right"/>
      </w:pPr>
      <w:r>
        <w:rPr>
          <w:rFonts w:ascii="Noto Naskh Arabic" w:hAnsi="Noto Naskh Arabic" w:cs="Noto Naskh Arabic" w:eastAsia="Noto Naskh Arabic"/>
          <w:b w:val="0"/>
          <w:sz w:val="22"/>
        </w:rPr>
        <w:t>• المديونية القديمة في نقاط البيع لا تدخل في محاسبة النظام الجديد، بل تبقى كمرجع فقط.</w:t>
      </w:r>
    </w:p>
    <w:p>
      <w:pPr>
        <w:bidi w:val="1"/>
        <w:spacing w:after="80" w:before="0" w:line="300" w:lineRule="auto"/>
        <w:jc w:val="right"/>
      </w:pPr>
      <w:r>
        <w:rPr>
          <w:rFonts w:ascii="Noto Naskh Arabic" w:hAnsi="Noto Naskh Arabic" w:cs="Noto Naskh Arabic" w:eastAsia="Noto Naskh Arabic"/>
          <w:b w:val="0"/>
          <w:sz w:val="22"/>
        </w:rPr>
        <w:t>• الروابط وأرقام الهواتف في صفحات التفاصيل يجب أن تكون تفاعلية: نسخ الرابط أو فتحه، والاتصال بالرقم مباشرة.</w:t>
      </w:r>
    </w:p>
    <w:p>
      <w:pPr>
        <w:bidi w:val="1"/>
        <w:spacing w:after="80" w:before="0" w:line="300" w:lineRule="auto"/>
        <w:jc w:val="right"/>
      </w:pPr>
      <w:r>
        <w:rPr>
          <w:rFonts w:ascii="Noto Naskh Arabic" w:hAnsi="Noto Naskh Arabic" w:cs="Noto Naskh Arabic" w:eastAsia="Noto Naskh Arabic"/>
          <w:b w:val="0"/>
          <w:sz w:val="22"/>
        </w:rPr>
        <w:t>• الحذف في السجلات الحساسة يفضل أن يكون حذفًا منطقيًا أو تعطيلًا، وليس حذفًا نهائيًا.</w:t>
      </w:r>
    </w:p>
    <w:p>
      <w:pPr>
        <w:keepNext/>
        <w:bidi w:val="1"/>
        <w:spacing w:after="160" w:before="160" w:line="300" w:lineRule="auto"/>
        <w:jc w:val="right"/>
      </w:pPr>
      <w:r>
        <w:rPr>
          <w:rFonts w:ascii="Noto Naskh Arabic" w:hAnsi="Noto Naskh Arabic" w:cs="Noto Naskh Arabic" w:eastAsia="Noto Naskh Arabic"/>
          <w:b/>
          <w:color w:val="A82121"/>
          <w:sz w:val="30"/>
        </w:rPr>
        <w:t>12) أولويات التنفيذ المقترحة</w:t>
      </w:r>
    </w:p>
    <w:p>
      <w:pPr>
        <w:bidi w:val="1"/>
        <w:spacing w:after="80" w:before="0" w:line="300" w:lineRule="auto"/>
        <w:jc w:val="right"/>
      </w:pPr>
      <w:r>
        <w:rPr>
          <w:rFonts w:ascii="Noto Naskh Arabic" w:hAnsi="Noto Naskh Arabic" w:cs="Noto Naskh Arabic" w:eastAsia="Noto Naskh Arabic"/>
          <w:b w:val="0"/>
          <w:sz w:val="22"/>
        </w:rPr>
        <w:t>1. تهيئة قاعدة البيانات الأساسية واستيراد ملفات الهوتسبوت والبرودباند ونقاط البيع.</w:t>
      </w:r>
    </w:p>
    <w:p>
      <w:pPr>
        <w:bidi w:val="1"/>
        <w:spacing w:after="80" w:before="0" w:line="300" w:lineRule="auto"/>
        <w:jc w:val="right"/>
      </w:pPr>
      <w:r>
        <w:rPr>
          <w:rFonts w:ascii="Noto Naskh Arabic" w:hAnsi="Noto Naskh Arabic" w:cs="Noto Naskh Arabic" w:eastAsia="Noto Naskh Arabic"/>
          <w:b w:val="0"/>
          <w:sz w:val="22"/>
        </w:rPr>
        <w:t>2. بناء صلاحيات المستخدمين الأربعة وإدارة الفريق.</w:t>
      </w:r>
    </w:p>
    <w:p>
      <w:pPr>
        <w:bidi w:val="1"/>
        <w:spacing w:after="80" w:before="0" w:line="300" w:lineRule="auto"/>
        <w:jc w:val="right"/>
      </w:pPr>
      <w:r>
        <w:rPr>
          <w:rFonts w:ascii="Noto Naskh Arabic" w:hAnsi="Noto Naskh Arabic" w:cs="Noto Naskh Arabic" w:eastAsia="Noto Naskh Arabic"/>
          <w:b w:val="0"/>
          <w:sz w:val="22"/>
        </w:rPr>
        <w:t>3. تنفيذ واجهة المسؤول المالي بالكامل لأنها قلب النظام اليومي.</w:t>
      </w:r>
    </w:p>
    <w:p>
      <w:pPr>
        <w:bidi w:val="1"/>
        <w:spacing w:after="80" w:before="0" w:line="300" w:lineRule="auto"/>
        <w:jc w:val="right"/>
      </w:pPr>
      <w:r>
        <w:rPr>
          <w:rFonts w:ascii="Noto Naskh Arabic" w:hAnsi="Noto Naskh Arabic" w:cs="Noto Naskh Arabic" w:eastAsia="Noto Naskh Arabic"/>
          <w:b w:val="0"/>
          <w:sz w:val="22"/>
        </w:rPr>
        <w:t>4. تنفيذ واجهة المشرف مع نظام تذاكر التركيب والإصلاح وطلبات الشراء.</w:t>
      </w:r>
    </w:p>
    <w:p>
      <w:pPr>
        <w:bidi w:val="1"/>
        <w:spacing w:after="80" w:before="0" w:line="300" w:lineRule="auto"/>
        <w:jc w:val="right"/>
      </w:pPr>
      <w:r>
        <w:rPr>
          <w:rFonts w:ascii="Noto Naskh Arabic" w:hAnsi="Noto Naskh Arabic" w:cs="Noto Naskh Arabic" w:eastAsia="Noto Naskh Arabic"/>
          <w:b w:val="0"/>
          <w:sz w:val="22"/>
        </w:rPr>
        <w:t>5. تنفيذ واجهة المهندس الفني للمهام الميدانية.</w:t>
      </w:r>
    </w:p>
    <w:p>
      <w:pPr>
        <w:bidi w:val="1"/>
        <w:spacing w:after="80" w:before="0" w:line="300" w:lineRule="auto"/>
        <w:jc w:val="right"/>
      </w:pPr>
      <w:r>
        <w:rPr>
          <w:rFonts w:ascii="Noto Naskh Arabic" w:hAnsi="Noto Naskh Arabic" w:cs="Noto Naskh Arabic" w:eastAsia="Noto Naskh Arabic"/>
          <w:b w:val="0"/>
          <w:sz w:val="22"/>
        </w:rPr>
        <w:t>6. تنفيذ واجهة المالك للرقابة والقرارات.</w:t>
      </w:r>
    </w:p>
    <w:p>
      <w:pPr>
        <w:bidi w:val="1"/>
        <w:spacing w:after="80" w:before="0" w:line="300" w:lineRule="auto"/>
        <w:jc w:val="right"/>
      </w:pPr>
      <w:r>
        <w:rPr>
          <w:rFonts w:ascii="Noto Naskh Arabic" w:hAnsi="Noto Naskh Arabic" w:cs="Noto Naskh Arabic" w:eastAsia="Noto Naskh Arabic"/>
          <w:b w:val="0"/>
          <w:sz w:val="22"/>
        </w:rPr>
        <w:t>7. إضافة التقارير والتحسينات اللاحقة بعد تجربة التشغيل الأولى.</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eastAsia="Noto Naskh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