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1D35" w14:textId="77777777" w:rsidR="00DC32B9" w:rsidRPr="00066EB2" w:rsidRDefault="00DC32B9" w:rsidP="00DC32B9"/>
    <w:p w14:paraId="5AC55D62" w14:textId="77777777" w:rsidR="00DC32B9" w:rsidRDefault="00DC32B9" w:rsidP="00DC32B9">
      <w:pPr>
        <w:spacing w:after="120" w:line="240" w:lineRule="auto"/>
        <w:jc w:val="center"/>
        <w:textDirection w:val="btLr"/>
        <w:rPr>
          <w:b/>
          <w:color w:val="000000"/>
          <w:sz w:val="54"/>
          <w:szCs w:val="54"/>
        </w:rPr>
      </w:pPr>
    </w:p>
    <w:p w14:paraId="609C5E5A" w14:textId="77777777" w:rsidR="00DC32B9" w:rsidRDefault="00DC32B9" w:rsidP="00DC32B9">
      <w:pPr>
        <w:spacing w:after="120" w:line="240" w:lineRule="auto"/>
        <w:jc w:val="center"/>
        <w:textDirection w:val="btLr"/>
        <w:rPr>
          <w:b/>
          <w:color w:val="000000"/>
          <w:sz w:val="54"/>
          <w:szCs w:val="54"/>
        </w:rPr>
      </w:pPr>
    </w:p>
    <w:p w14:paraId="69DC9628" w14:textId="77777777" w:rsidR="00DC32B9" w:rsidRPr="00562018" w:rsidRDefault="00DC32B9" w:rsidP="00DC32B9">
      <w:pPr>
        <w:spacing w:after="120" w:line="240" w:lineRule="auto"/>
        <w:jc w:val="center"/>
        <w:textDirection w:val="btLr"/>
        <w:rPr>
          <w:b/>
          <w:color w:val="000000"/>
          <w:sz w:val="40"/>
          <w:szCs w:val="40"/>
        </w:rPr>
      </w:pPr>
    </w:p>
    <w:p w14:paraId="4E797936" w14:textId="60252FCF" w:rsidR="00DC32B9" w:rsidRPr="009A31D5" w:rsidRDefault="00DC32B9" w:rsidP="00DC32B9">
      <w:pPr>
        <w:spacing w:after="120" w:line="240" w:lineRule="auto"/>
        <w:jc w:val="center"/>
        <w:textDirection w:val="btLr"/>
        <w:rPr>
          <w:b/>
          <w:color w:val="000000"/>
          <w:sz w:val="54"/>
          <w:szCs w:val="54"/>
        </w:rPr>
      </w:pPr>
      <w:r>
        <w:rPr>
          <w:b/>
          <w:color w:val="000000"/>
          <w:sz w:val="54"/>
          <w:szCs w:val="54"/>
        </w:rPr>
        <w:t>Guidance Memo</w:t>
      </w:r>
      <w:r w:rsidRPr="009A31D5">
        <w:rPr>
          <w:b/>
          <w:color w:val="000000"/>
          <w:sz w:val="54"/>
          <w:szCs w:val="54"/>
        </w:rPr>
        <w:t xml:space="preserve"> Transfer Pricing</w:t>
      </w:r>
    </w:p>
    <w:p w14:paraId="647F42A3" w14:textId="77777777" w:rsidR="00DC32B9" w:rsidRDefault="00DC32B9" w:rsidP="00DC32B9">
      <w:pPr>
        <w:spacing w:after="240" w:line="240" w:lineRule="auto"/>
        <w:jc w:val="center"/>
        <w:textDirection w:val="btLr"/>
        <w:rPr>
          <w:rFonts w:asciiTheme="minorHAnsi" w:hAnsiTheme="minorHAnsi" w:cstheme="minorHAnsi"/>
          <w:bCs/>
          <w:color w:val="000000"/>
          <w:sz w:val="40"/>
        </w:rPr>
      </w:pPr>
    </w:p>
    <w:p w14:paraId="21A4D7A0" w14:textId="76C0FB8D" w:rsidR="00DC32B9" w:rsidRPr="00CB7B05" w:rsidRDefault="00DC32B9" w:rsidP="00DC32B9">
      <w:pPr>
        <w:spacing w:after="240" w:line="240" w:lineRule="auto"/>
        <w:jc w:val="center"/>
        <w:textDirection w:val="btLr"/>
        <w:rPr>
          <w:rFonts w:asciiTheme="minorHAnsi" w:hAnsiTheme="minorHAnsi" w:cstheme="minorHAnsi"/>
          <w:bCs/>
          <w:color w:val="000000"/>
          <w:sz w:val="40"/>
        </w:rPr>
      </w:pPr>
      <w:r w:rsidRPr="00CB7B05">
        <w:rPr>
          <w:rFonts w:asciiTheme="minorHAnsi" w:hAnsiTheme="minorHAnsi" w:cstheme="minorHAnsi"/>
          <w:bCs/>
          <w:color w:val="000000"/>
          <w:sz w:val="40"/>
        </w:rPr>
        <w:t>_________________________________</w:t>
      </w:r>
    </w:p>
    <w:p w14:paraId="4BF0D1BE" w14:textId="77777777" w:rsidR="00DC32B9" w:rsidRDefault="00DC32B9" w:rsidP="00DC32B9">
      <w:pPr>
        <w:spacing w:after="240" w:line="240" w:lineRule="auto"/>
        <w:textDirection w:val="btLr"/>
        <w:rPr>
          <w:b/>
          <w:color w:val="000000"/>
          <w:sz w:val="40"/>
        </w:rPr>
      </w:pPr>
    </w:p>
    <w:p w14:paraId="70AB3DD6" w14:textId="77777777" w:rsidR="00DC32B9" w:rsidRPr="009A31D5" w:rsidRDefault="00DC32B9" w:rsidP="00DC32B9">
      <w:pPr>
        <w:spacing w:after="60" w:line="240" w:lineRule="auto"/>
        <w:jc w:val="center"/>
        <w:textDirection w:val="btLr"/>
        <w:rPr>
          <w:sz w:val="34"/>
          <w:szCs w:val="34"/>
        </w:rPr>
      </w:pPr>
      <w:r w:rsidRPr="009A31D5">
        <w:rPr>
          <w:b/>
          <w:color w:val="000000"/>
          <w:sz w:val="34"/>
          <w:szCs w:val="34"/>
        </w:rPr>
        <w:t>&lt;Service Recipient /Product owner/ Licensor&gt;</w:t>
      </w:r>
    </w:p>
    <w:p w14:paraId="74703672" w14:textId="77777777" w:rsidR="00DC32B9" w:rsidRPr="009A31D5" w:rsidRDefault="00DC32B9" w:rsidP="00DC32B9">
      <w:pPr>
        <w:spacing w:afterLines="140" w:after="336" w:line="240" w:lineRule="auto"/>
        <w:jc w:val="center"/>
        <w:textDirection w:val="btLr"/>
        <w:rPr>
          <w:b/>
          <w:color w:val="000000"/>
          <w:sz w:val="34"/>
          <w:szCs w:val="34"/>
        </w:rPr>
      </w:pPr>
      <w:r w:rsidRPr="009A31D5">
        <w:rPr>
          <w:b/>
          <w:color w:val="000000"/>
          <w:sz w:val="34"/>
          <w:szCs w:val="34"/>
        </w:rPr>
        <w:t>&lt;Service Provider/Distributor/Licensee&gt;</w:t>
      </w:r>
    </w:p>
    <w:p w14:paraId="0FE5AF6C" w14:textId="77777777" w:rsidR="00DC32B9" w:rsidRPr="009A31D5" w:rsidRDefault="00DC32B9" w:rsidP="00DC32B9">
      <w:pPr>
        <w:spacing w:afterLines="120" w:after="288" w:line="240" w:lineRule="auto"/>
        <w:jc w:val="center"/>
        <w:textDirection w:val="btLr"/>
        <w:rPr>
          <w:bCs/>
          <w:color w:val="000000"/>
          <w:sz w:val="28"/>
          <w:szCs w:val="28"/>
        </w:rPr>
      </w:pPr>
      <w:r w:rsidRPr="009A31D5">
        <w:rPr>
          <w:bCs/>
          <w:color w:val="000000"/>
          <w:sz w:val="28"/>
          <w:szCs w:val="28"/>
        </w:rPr>
        <w:t>&lt;TRANSACTION TYPE&gt;</w:t>
      </w:r>
    </w:p>
    <w:p w14:paraId="79878D62" w14:textId="77777777" w:rsidR="00DC32B9" w:rsidRDefault="00DC32B9" w:rsidP="00DC32B9">
      <w:pPr>
        <w:spacing w:after="240" w:line="240" w:lineRule="auto"/>
        <w:jc w:val="center"/>
        <w:textDirection w:val="btLr"/>
        <w:rPr>
          <w:b/>
          <w:color w:val="000000"/>
          <w:sz w:val="40"/>
        </w:rPr>
      </w:pPr>
    </w:p>
    <w:p w14:paraId="6047EFEC" w14:textId="77777777" w:rsidR="00DC32B9" w:rsidRDefault="00DC32B9" w:rsidP="00DC32B9">
      <w:pPr>
        <w:spacing w:after="240" w:line="240" w:lineRule="auto"/>
        <w:jc w:val="center"/>
        <w:textDirection w:val="btLr"/>
        <w:rPr>
          <w:b/>
          <w:color w:val="000000"/>
          <w:sz w:val="40"/>
        </w:rPr>
      </w:pPr>
    </w:p>
    <w:p w14:paraId="76BCCD56" w14:textId="7BF2C440" w:rsidR="00DC32B9" w:rsidRDefault="00DC32B9" w:rsidP="00DC32B9">
      <w:pPr>
        <w:spacing w:after="240" w:line="240" w:lineRule="auto"/>
        <w:ind w:left="6480" w:firstLine="720"/>
        <w:textDirection w:val="btLr"/>
        <w:rPr>
          <w:b/>
          <w:color w:val="000000"/>
          <w:sz w:val="44"/>
          <w:szCs w:val="44"/>
        </w:rPr>
      </w:pPr>
      <w:r>
        <w:rPr>
          <w:bCs/>
          <w:color w:val="000000"/>
          <w:sz w:val="40"/>
        </w:rPr>
        <w:t xml:space="preserve">            </w:t>
      </w:r>
      <w:r w:rsidRPr="00CB7B05">
        <w:rPr>
          <w:bCs/>
          <w:color w:val="000000"/>
          <w:sz w:val="40"/>
        </w:rPr>
        <w:t>&lt;LOGO&gt;</w:t>
      </w:r>
      <w:r>
        <w:rPr>
          <w:b/>
          <w:color w:val="000000"/>
          <w:sz w:val="44"/>
          <w:szCs w:val="44"/>
        </w:rPr>
        <w:t xml:space="preserve">                                        </w:t>
      </w:r>
    </w:p>
    <w:p w14:paraId="2B63BC0A" w14:textId="615CAB54" w:rsidR="00BD07B9" w:rsidRDefault="00BD07B9" w:rsidP="00DC32B9">
      <w:pPr>
        <w:spacing w:after="0" w:line="240" w:lineRule="auto"/>
        <w:rPr>
          <w:b/>
          <w:color w:val="000000"/>
          <w:sz w:val="44"/>
          <w:szCs w:val="44"/>
        </w:rPr>
      </w:pPr>
    </w:p>
    <w:p w14:paraId="2C319510" w14:textId="77777777" w:rsidR="00BD07B9" w:rsidRDefault="00BD07B9">
      <w:pPr>
        <w:jc w:val="right"/>
        <w:rPr>
          <w:b/>
          <w:color w:val="000000"/>
          <w:sz w:val="44"/>
          <w:szCs w:val="44"/>
        </w:rPr>
      </w:pPr>
    </w:p>
    <w:p w14:paraId="2C0437D3" w14:textId="77777777" w:rsidR="00BD07B9" w:rsidRDefault="007138CC">
      <w:pPr>
        <w:spacing w:after="0" w:line="240" w:lineRule="auto"/>
        <w:rPr>
          <w:b/>
          <w:color w:val="000000"/>
          <w:sz w:val="44"/>
          <w:szCs w:val="44"/>
        </w:rPr>
      </w:pPr>
      <w:r>
        <w:br w:type="page"/>
      </w:r>
    </w:p>
    <w:p w14:paraId="38DE628F" w14:textId="77777777" w:rsidR="00BD07B9" w:rsidRDefault="007138CC">
      <w:pPr>
        <w:numPr>
          <w:ilvl w:val="0"/>
          <w:numId w:val="3"/>
        </w:numPr>
        <w:spacing w:after="240" w:line="240" w:lineRule="auto"/>
        <w:ind w:left="1080"/>
        <w:rPr>
          <w:b/>
          <w:color w:val="7F7F7F"/>
          <w:sz w:val="28"/>
          <w:szCs w:val="28"/>
        </w:rPr>
      </w:pPr>
      <w:r>
        <w:rPr>
          <w:b/>
          <w:color w:val="7F7F7F"/>
          <w:sz w:val="28"/>
          <w:szCs w:val="28"/>
        </w:rPr>
        <w:lastRenderedPageBreak/>
        <w:t>Introduction</w:t>
      </w:r>
    </w:p>
    <w:p w14:paraId="4677D7AC"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&lt;Service Recipient /Product owner/ Licensor&gt; (the “</w:t>
      </w:r>
      <w:r>
        <w:rPr>
          <w:b/>
          <w:color w:val="000000"/>
          <w:sz w:val="20"/>
          <w:szCs w:val="20"/>
        </w:rPr>
        <w:t>Company</w:t>
      </w:r>
      <w:r>
        <w:rPr>
          <w:color w:val="000000"/>
          <w:sz w:val="20"/>
          <w:szCs w:val="20"/>
        </w:rPr>
        <w:t>” or “</w:t>
      </w:r>
      <w:r>
        <w:rPr>
          <w:sz w:val="20"/>
          <w:szCs w:val="20"/>
        </w:rPr>
        <w:t>&lt;Service Recipient /Product owner/ Licensor ACRONYM&gt;</w:t>
      </w:r>
      <w:r>
        <w:rPr>
          <w:color w:val="000000"/>
          <w:sz w:val="20"/>
          <w:szCs w:val="20"/>
        </w:rPr>
        <w:t>”) has &lt;</w:t>
      </w:r>
      <w:r>
        <w:rPr>
          <w:sz w:val="20"/>
          <w:szCs w:val="20"/>
        </w:rPr>
        <w:t>ACCOUNTING</w:t>
      </w:r>
      <w:r>
        <w:rPr>
          <w:color w:val="000000"/>
          <w:sz w:val="20"/>
          <w:szCs w:val="20"/>
        </w:rPr>
        <w:t xml:space="preserve"> FIRM&gt; &lt;CONSULTANT NAME&gt; / &lt;Company Name&gt; (“</w:t>
      </w:r>
      <w:r>
        <w:rPr>
          <w:b/>
          <w:color w:val="000000"/>
          <w:sz w:val="20"/>
          <w:szCs w:val="20"/>
        </w:rPr>
        <w:t>we</w:t>
      </w:r>
      <w:r>
        <w:rPr>
          <w:color w:val="000000"/>
          <w:sz w:val="20"/>
          <w:szCs w:val="20"/>
        </w:rPr>
        <w:t xml:space="preserve">”) to prepare a </w:t>
      </w:r>
      <w:r>
        <w:rPr>
          <w:sz w:val="20"/>
          <w:szCs w:val="20"/>
        </w:rPr>
        <w:t>Guidance Memo (“</w:t>
      </w:r>
      <w:r>
        <w:rPr>
          <w:b/>
          <w:sz w:val="20"/>
          <w:szCs w:val="20"/>
        </w:rPr>
        <w:t>Memo</w:t>
      </w:r>
      <w:r>
        <w:rPr>
          <w:sz w:val="20"/>
          <w:szCs w:val="20"/>
        </w:rPr>
        <w:t xml:space="preserve">”) </w:t>
      </w:r>
      <w:r>
        <w:rPr>
          <w:color w:val="000000"/>
          <w:sz w:val="20"/>
          <w:szCs w:val="20"/>
        </w:rPr>
        <w:t xml:space="preserve"> with respect to the following Covered Transaction, between the Company located in &lt;Service Recipient /Product owner/ Licensor ADDRESS&gt;, &lt; Service Recipient /Product owner/ Licensor COUNTRY&gt;, and &lt;Service Provider/Distributor/Licensee&gt;, located in &lt;Service Provider/Distributor/Licensee ADDRESS&gt;, &lt;Service Provider/Distributor/Licensee COUNTRY&gt; (“&lt;</w:t>
      </w:r>
      <w:r>
        <w:rPr>
          <w:b/>
          <w:color w:val="000000"/>
          <w:sz w:val="20"/>
          <w:szCs w:val="20"/>
        </w:rPr>
        <w:t>Service Provider/Distributor/Licensee ACRONYM</w:t>
      </w:r>
      <w:r>
        <w:rPr>
          <w:color w:val="000000"/>
          <w:sz w:val="20"/>
          <w:szCs w:val="20"/>
        </w:rPr>
        <w:t>&gt;</w:t>
      </w:r>
      <w:r>
        <w:rPr>
          <w:b/>
          <w:color w:val="000000"/>
          <w:sz w:val="20"/>
          <w:szCs w:val="20"/>
        </w:rPr>
        <w:t xml:space="preserve">” </w:t>
      </w:r>
      <w:r>
        <w:rPr>
          <w:color w:val="000000"/>
          <w:sz w:val="20"/>
          <w:szCs w:val="20"/>
        </w:rPr>
        <w:t>and together with &lt;Service Recipient /Product owner/ Licensor ACRONYM&gt;, the “</w:t>
      </w:r>
      <w:r>
        <w:rPr>
          <w:b/>
          <w:color w:val="000000"/>
          <w:sz w:val="20"/>
          <w:szCs w:val="20"/>
        </w:rPr>
        <w:t>Group</w:t>
      </w:r>
      <w:r>
        <w:rPr>
          <w:color w:val="000000"/>
          <w:sz w:val="20"/>
          <w:szCs w:val="20"/>
        </w:rPr>
        <w:t>”). </w:t>
      </w:r>
    </w:p>
    <w:p w14:paraId="7E99C583" w14:textId="77777777" w:rsidR="00BD07B9" w:rsidRDefault="007138CC">
      <w:pPr>
        <w:spacing w:after="0" w:line="360" w:lineRule="auto"/>
        <w:jc w:val="both"/>
        <w:rPr>
          <w:color w:val="000000"/>
          <w:sz w:val="20"/>
          <w:szCs w:val="20"/>
        </w:rPr>
      </w:pPr>
      <w:r>
        <w:rPr>
          <w:b/>
          <w:color w:val="000000"/>
          <w:sz w:val="20"/>
          <w:szCs w:val="20"/>
        </w:rPr>
        <w:t xml:space="preserve">Covered Transaction: </w:t>
      </w:r>
      <w:r>
        <w:rPr>
          <w:color w:val="000000"/>
          <w:sz w:val="20"/>
          <w:szCs w:val="20"/>
        </w:rPr>
        <w:t xml:space="preserve">&lt;TRANSACTION TYPE&gt;. </w:t>
      </w:r>
    </w:p>
    <w:p w14:paraId="6C3B1F3C" w14:textId="77777777" w:rsidR="00BD07B9" w:rsidRDefault="007138CC">
      <w:pPr>
        <w:spacing w:after="0" w:line="360" w:lineRule="auto"/>
        <w:jc w:val="both"/>
        <w:rPr>
          <w:rFonts w:ascii="Times New Roman" w:eastAsia="Times New Roman" w:hAnsi="Times New Roman" w:cs="Times New Roman"/>
          <w:sz w:val="24"/>
          <w:szCs w:val="24"/>
        </w:rPr>
      </w:pPr>
      <w:r>
        <w:rPr>
          <w:b/>
          <w:color w:val="000000"/>
          <w:sz w:val="20"/>
          <w:szCs w:val="20"/>
        </w:rPr>
        <w:t xml:space="preserve"> </w:t>
      </w:r>
      <w:r>
        <w:rPr>
          <w:color w:val="000000"/>
          <w:sz w:val="20"/>
          <w:szCs w:val="20"/>
        </w:rPr>
        <w:t xml:space="preserve">&lt;TRANSACTION DESCRIPTION&gt; </w:t>
      </w:r>
    </w:p>
    <w:p w14:paraId="332A2953" w14:textId="77777777" w:rsidR="00BD07B9" w:rsidRDefault="00BD07B9">
      <w:pPr>
        <w:spacing w:after="120" w:line="360" w:lineRule="auto"/>
        <w:jc w:val="both"/>
        <w:rPr>
          <w:color w:val="000000"/>
          <w:sz w:val="20"/>
          <w:szCs w:val="20"/>
        </w:rPr>
      </w:pPr>
    </w:p>
    <w:p w14:paraId="7380179C" w14:textId="77777777" w:rsidR="00BD07B9" w:rsidRDefault="007138CC">
      <w:pPr>
        <w:spacing w:before="240" w:after="120" w:line="360" w:lineRule="auto"/>
        <w:jc w:val="both"/>
        <w:rPr>
          <w:sz w:val="20"/>
          <w:szCs w:val="20"/>
        </w:rPr>
      </w:pPr>
      <w:r>
        <w:rPr>
          <w:sz w:val="20"/>
          <w:szCs w:val="20"/>
        </w:rPr>
        <w:t>The economic analysis in this Memo is based on the arm’s length principle as set forth in the U.S. transfer pricing regulations (the “</w:t>
      </w:r>
      <w:r>
        <w:rPr>
          <w:b/>
          <w:sz w:val="20"/>
          <w:szCs w:val="20"/>
        </w:rPr>
        <w:t>US Regulations</w:t>
      </w:r>
      <w:r>
        <w:rPr>
          <w:sz w:val="20"/>
          <w:szCs w:val="20"/>
        </w:rPr>
        <w:t>”) promulgated pursuant to section 482 of the Internal Revenue Code of 1986, as amended (the “</w:t>
      </w:r>
      <w:r>
        <w:rPr>
          <w:b/>
          <w:sz w:val="20"/>
          <w:szCs w:val="20"/>
        </w:rPr>
        <w:t>Code</w:t>
      </w:r>
      <w:r>
        <w:rPr>
          <w:sz w:val="20"/>
          <w:szCs w:val="20"/>
        </w:rPr>
        <w:t>”), and the OECD Transfer Pricing Guidelines for Multinational Enterprises and Tax Administrations (2022) (“</w:t>
      </w:r>
      <w:r>
        <w:rPr>
          <w:b/>
          <w:sz w:val="20"/>
          <w:szCs w:val="20"/>
        </w:rPr>
        <w:t>OECD Guidelines</w:t>
      </w:r>
      <w:r>
        <w:rPr>
          <w:sz w:val="20"/>
          <w:szCs w:val="20"/>
        </w:rPr>
        <w:t xml:space="preserve">”). However, this Memo does not meet the complete documentation requirements of the US Regulations nor the OECD Guidelines. This Memo is not a legal opinion, and it does not provide advice for any other federal, state, local or foreign income, or non-income tax matters or any other legal, regulatory, accounting or other non-tax matters. See the detailed scope of this Memo in Appendix D. Any other intercompany transactions, should they exist, are not addressed in this Memo. </w:t>
      </w:r>
    </w:p>
    <w:p w14:paraId="1416C04C" w14:textId="77777777" w:rsidR="00BD07B9" w:rsidRDefault="00BD07B9">
      <w:pPr>
        <w:spacing w:after="120" w:line="360" w:lineRule="auto"/>
        <w:jc w:val="both"/>
        <w:rPr>
          <w:sz w:val="20"/>
          <w:szCs w:val="20"/>
        </w:rPr>
      </w:pPr>
    </w:p>
    <w:p w14:paraId="47DBEA91"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&lt;Service Recipient /Product owner/ Licensor ACRONYM&gt; confirms that the Covered Transaction is essential to its activity, and in the absence of &lt;Service Provider/Distributor/Licensee ACRONYM&gt;, it would have contracted with an unrelated third party for this business activity. Thus, the Covered Transaction has a commercial purpose.</w:t>
      </w:r>
      <w:r>
        <w:rPr>
          <w:color w:val="000000"/>
          <w:sz w:val="20"/>
          <w:szCs w:val="20"/>
          <w:vertAlign w:val="superscript"/>
        </w:rPr>
        <w:footnoteReference w:id="1"/>
      </w:r>
    </w:p>
    <w:p w14:paraId="5AC2970A" w14:textId="77777777" w:rsidR="00BD07B9" w:rsidRDefault="00BD07B9">
      <w:pPr>
        <w:spacing w:after="0" w:line="240" w:lineRule="auto"/>
        <w:rPr>
          <w:rFonts w:ascii="Times New Roman" w:eastAsia="Times New Roman" w:hAnsi="Times New Roman" w:cs="Times New Roman"/>
          <w:sz w:val="24"/>
          <w:szCs w:val="24"/>
        </w:rPr>
      </w:pPr>
    </w:p>
    <w:p w14:paraId="762936B7" w14:textId="77777777" w:rsidR="00BD07B9" w:rsidRDefault="007138CC">
      <w:pPr>
        <w:rPr>
          <w:rFonts w:ascii="Times New Roman" w:eastAsia="Times New Roman" w:hAnsi="Times New Roman" w:cs="Times New Roman"/>
          <w:sz w:val="24"/>
          <w:szCs w:val="24"/>
        </w:rPr>
      </w:pPr>
      <w:r>
        <w:br w:type="page"/>
      </w:r>
    </w:p>
    <w:p w14:paraId="262513C0" w14:textId="77777777" w:rsidR="00BD07B9" w:rsidRDefault="007138CC">
      <w:pPr>
        <w:numPr>
          <w:ilvl w:val="0"/>
          <w:numId w:val="3"/>
        </w:numPr>
        <w:spacing w:after="240" w:line="240" w:lineRule="auto"/>
        <w:ind w:left="1080"/>
        <w:rPr>
          <w:b/>
          <w:color w:val="7F7F7F"/>
          <w:sz w:val="28"/>
          <w:szCs w:val="28"/>
        </w:rPr>
      </w:pPr>
      <w:r>
        <w:rPr>
          <w:b/>
          <w:color w:val="7F7F7F"/>
          <w:sz w:val="28"/>
          <w:szCs w:val="28"/>
        </w:rPr>
        <w:lastRenderedPageBreak/>
        <w:t>Executive Summary</w:t>
      </w:r>
    </w:p>
    <w:p w14:paraId="77737D98" w14:textId="77777777" w:rsidR="00BD07B9" w:rsidRDefault="007138CC">
      <w:pPr>
        <w:pBdr>
          <w:top w:val="nil"/>
          <w:left w:val="nil"/>
          <w:bottom w:val="nil"/>
          <w:right w:val="nil"/>
          <w:between w:val="nil"/>
        </w:pBdr>
        <w:tabs>
          <w:tab w:val="left" w:pos="0"/>
          <w:tab w:val="left" w:pos="720"/>
        </w:tabs>
        <w:spacing w:after="120" w:line="360" w:lineRule="auto"/>
        <w:jc w:val="both"/>
        <w:rPr>
          <w:sz w:val="20"/>
          <w:szCs w:val="20"/>
        </w:rPr>
      </w:pPr>
      <w:r>
        <w:rPr>
          <w:sz w:val="20"/>
          <w:szCs w:val="20"/>
        </w:rPr>
        <w:t>For providing the guidance to determine the arm’s length price for the Covered Transaction</w:t>
      </w:r>
      <w:r>
        <w:rPr>
          <w:color w:val="000000"/>
          <w:sz w:val="20"/>
          <w:szCs w:val="20"/>
        </w:rPr>
        <w:t xml:space="preserve">, &lt;Service Provider/Distributor/Licensee ACRONYM&gt;is characterized as a </w:t>
      </w:r>
      <w:r>
        <w:rPr>
          <w:rFonts w:ascii="Roboto" w:eastAsia="Roboto" w:hAnsi="Roboto" w:cs="Roboto"/>
          <w:color w:val="1F1F1F"/>
          <w:sz w:val="18"/>
          <w:szCs w:val="18"/>
          <w:highlight w:val="white"/>
        </w:rPr>
        <w:t>&lt;CHARACTERIZED AS&gt;</w:t>
      </w:r>
      <w:r>
        <w:rPr>
          <w:color w:val="1F1F1F"/>
          <w:sz w:val="20"/>
          <w:szCs w:val="20"/>
          <w:highlight w:val="white"/>
        </w:rPr>
        <w:t>.</w:t>
      </w:r>
      <w:r>
        <w:rPr>
          <w:rFonts w:ascii="Roboto" w:eastAsia="Roboto" w:hAnsi="Roboto" w:cs="Roboto"/>
          <w:color w:val="1F1F1F"/>
          <w:sz w:val="18"/>
          <w:szCs w:val="18"/>
          <w:highlight w:val="white"/>
        </w:rPr>
        <w:t xml:space="preserve"> and therefore, is</w:t>
      </w:r>
      <w:r>
        <w:rPr>
          <w:sz w:val="20"/>
          <w:szCs w:val="20"/>
        </w:rPr>
        <w:t xml:space="preserve"> </w:t>
      </w:r>
      <w:r>
        <w:rPr>
          <w:color w:val="000000"/>
          <w:sz w:val="20"/>
          <w:szCs w:val="20"/>
        </w:rPr>
        <w:t>selected as the tested party</w:t>
      </w:r>
      <w:r>
        <w:rPr>
          <w:sz w:val="20"/>
          <w:szCs w:val="20"/>
        </w:rPr>
        <w:t xml:space="preserve">. </w:t>
      </w:r>
      <w:r>
        <w:rPr>
          <w:color w:val="000000"/>
          <w:sz w:val="20"/>
          <w:szCs w:val="20"/>
        </w:rPr>
        <w:t>Further, we applied the Comparable Profit Method (“</w:t>
      </w:r>
      <w:r>
        <w:rPr>
          <w:b/>
          <w:color w:val="000000"/>
          <w:sz w:val="20"/>
          <w:szCs w:val="20"/>
        </w:rPr>
        <w:t>CPM</w:t>
      </w:r>
      <w:r>
        <w:rPr>
          <w:color w:val="000000"/>
          <w:sz w:val="20"/>
          <w:szCs w:val="20"/>
        </w:rPr>
        <w:t>”)</w:t>
      </w:r>
      <w:r>
        <w:rPr>
          <w:color w:val="000000"/>
          <w:sz w:val="20"/>
          <w:szCs w:val="20"/>
          <w:vertAlign w:val="superscript"/>
        </w:rPr>
        <w:footnoteReference w:id="2"/>
      </w:r>
      <w:r>
        <w:rPr>
          <w:color w:val="000000"/>
          <w:sz w:val="20"/>
          <w:szCs w:val="20"/>
        </w:rPr>
        <w:t xml:space="preserve"> / Transactional Net Margin Method (“</w:t>
      </w:r>
      <w:r>
        <w:rPr>
          <w:b/>
          <w:color w:val="000000"/>
          <w:sz w:val="20"/>
          <w:szCs w:val="20"/>
        </w:rPr>
        <w:t>TNMM</w:t>
      </w:r>
      <w:r>
        <w:rPr>
          <w:color w:val="000000"/>
          <w:sz w:val="20"/>
          <w:szCs w:val="20"/>
        </w:rPr>
        <w:t>”)</w:t>
      </w:r>
      <w:r>
        <w:rPr>
          <w:color w:val="000000"/>
          <w:sz w:val="20"/>
          <w:szCs w:val="20"/>
          <w:vertAlign w:val="superscript"/>
        </w:rPr>
        <w:footnoteReference w:id="3"/>
      </w:r>
      <w:r>
        <w:rPr>
          <w:color w:val="000000"/>
          <w:sz w:val="20"/>
          <w:szCs w:val="20"/>
        </w:rPr>
        <w:t xml:space="preserve"> and used </w:t>
      </w:r>
      <w:r>
        <w:rPr>
          <w:sz w:val="20"/>
          <w:szCs w:val="20"/>
        </w:rPr>
        <w:t>the &lt;AND USED THE&gt;</w:t>
      </w:r>
      <w:r>
        <w:rPr>
          <w:color w:val="000000"/>
          <w:sz w:val="20"/>
          <w:szCs w:val="20"/>
          <w:vertAlign w:val="superscript"/>
        </w:rPr>
        <w:footnoteReference w:id="4"/>
      </w:r>
      <w:r>
        <w:rPr>
          <w:color w:val="000000"/>
          <w:sz w:val="20"/>
          <w:szCs w:val="20"/>
        </w:rPr>
        <w:t xml:space="preserve"> as the Profit Level Indicator (“</w:t>
      </w:r>
      <w:r>
        <w:rPr>
          <w:b/>
          <w:color w:val="000000"/>
          <w:sz w:val="20"/>
          <w:szCs w:val="20"/>
        </w:rPr>
        <w:t>PLI</w:t>
      </w:r>
      <w:r>
        <w:rPr>
          <w:color w:val="000000"/>
          <w:sz w:val="20"/>
          <w:szCs w:val="20"/>
        </w:rPr>
        <w:t>”) for th</w:t>
      </w:r>
      <w:r>
        <w:rPr>
          <w:sz w:val="20"/>
          <w:szCs w:val="20"/>
        </w:rPr>
        <w:t>e</w:t>
      </w:r>
      <w:r>
        <w:rPr>
          <w:color w:val="000000"/>
          <w:sz w:val="20"/>
          <w:szCs w:val="20"/>
        </w:rPr>
        <w:t xml:space="preserve"> Covered Transaction.</w:t>
      </w:r>
    </w:p>
    <w:p w14:paraId="24A6300C" w14:textId="77777777" w:rsidR="00BD07B9" w:rsidRDefault="00BD07B9">
      <w:pPr>
        <w:pBdr>
          <w:top w:val="nil"/>
          <w:left w:val="nil"/>
          <w:bottom w:val="nil"/>
          <w:right w:val="nil"/>
          <w:between w:val="nil"/>
        </w:pBdr>
        <w:tabs>
          <w:tab w:val="left" w:pos="0"/>
          <w:tab w:val="left" w:pos="720"/>
        </w:tabs>
        <w:spacing w:after="120" w:line="360" w:lineRule="auto"/>
        <w:jc w:val="both"/>
        <w:rPr>
          <w:sz w:val="20"/>
          <w:szCs w:val="20"/>
        </w:rPr>
      </w:pPr>
    </w:p>
    <w:p w14:paraId="168E11B5" w14:textId="77777777" w:rsidR="00BD07B9" w:rsidRDefault="007138CC">
      <w:pPr>
        <w:pBdr>
          <w:top w:val="nil"/>
          <w:left w:val="nil"/>
          <w:bottom w:val="nil"/>
          <w:right w:val="nil"/>
          <w:between w:val="nil"/>
        </w:pBdr>
        <w:tabs>
          <w:tab w:val="left" w:pos="0"/>
          <w:tab w:val="left" w:pos="720"/>
        </w:tabs>
        <w:spacing w:after="120" w:line="360" w:lineRule="auto"/>
        <w:jc w:val="both"/>
        <w:rPr>
          <w:sz w:val="20"/>
          <w:szCs w:val="20"/>
        </w:rPr>
      </w:pPr>
      <w:r>
        <w:rPr>
          <w:sz w:val="20"/>
          <w:szCs w:val="20"/>
        </w:rPr>
        <w:t>The results are based on the last available three years’ interquartile weighted average &lt;AND USED THE ACRONYM&gt; of the comparable companies, which are between &lt;LOWER&gt;% and &lt;UPPER &gt;% with a median of &lt;MEDIAN&gt;%.</w:t>
      </w:r>
    </w:p>
    <w:p w14:paraId="6349FBF5" w14:textId="77777777" w:rsidR="00BD07B9" w:rsidRDefault="00BD07B9">
      <w:pPr>
        <w:spacing w:before="120" w:after="120" w:line="360" w:lineRule="auto"/>
        <w:jc w:val="both"/>
        <w:rPr>
          <w:color w:val="000000"/>
          <w:sz w:val="20"/>
          <w:szCs w:val="20"/>
        </w:rPr>
      </w:pPr>
    </w:p>
    <w:p w14:paraId="2853D07B" w14:textId="77777777" w:rsidR="00BD07B9" w:rsidRDefault="007138CC">
      <w:pPr>
        <w:rPr>
          <w:rFonts w:ascii="Times New Roman" w:eastAsia="Times New Roman" w:hAnsi="Times New Roman" w:cs="Times New Roman"/>
          <w:sz w:val="24"/>
          <w:szCs w:val="24"/>
        </w:rPr>
      </w:pPr>
      <w:r>
        <w:br w:type="page"/>
      </w:r>
    </w:p>
    <w:p w14:paraId="3271B66E" w14:textId="77777777" w:rsidR="00BD07B9" w:rsidRDefault="007138CC">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Economic Analysis</w:t>
      </w:r>
    </w:p>
    <w:p w14:paraId="4F707932" w14:textId="77777777" w:rsidR="00BD07B9" w:rsidRDefault="007138CC">
      <w:pPr>
        <w:pBdr>
          <w:top w:val="nil"/>
          <w:left w:val="nil"/>
          <w:bottom w:val="nil"/>
          <w:right w:val="nil"/>
          <w:between w:val="nil"/>
        </w:pBdr>
        <w:tabs>
          <w:tab w:val="left" w:pos="0"/>
          <w:tab w:val="left" w:pos="720"/>
          <w:tab w:val="left" w:pos="1440"/>
        </w:tabs>
        <w:spacing w:after="120" w:line="240" w:lineRule="auto"/>
        <w:ind w:left="720"/>
        <w:jc w:val="both"/>
        <w:rPr>
          <w:b/>
          <w:color w:val="000000"/>
          <w:sz w:val="20"/>
          <w:szCs w:val="20"/>
        </w:rPr>
      </w:pPr>
      <w:r>
        <w:rPr>
          <w:b/>
          <w:color w:val="000000"/>
          <w:sz w:val="20"/>
          <w:szCs w:val="20"/>
        </w:rPr>
        <w:t>Search process</w:t>
      </w:r>
    </w:p>
    <w:p w14:paraId="28E647D6" w14:textId="77777777" w:rsidR="00BD07B9" w:rsidRDefault="007138CC">
      <w:pPr>
        <w:spacing w:after="120" w:line="360" w:lineRule="auto"/>
        <w:jc w:val="both"/>
      </w:pPr>
      <w:r>
        <w:rPr>
          <w:sz w:val="20"/>
          <w:szCs w:val="20"/>
        </w:rPr>
        <w:t>To determine the arm's length pricing of the Covered Transaction, we searched for comparable companies engaged in comparable activity. We used Bureau Van Dijk’s TP Catalyst</w:t>
      </w:r>
      <w:r>
        <w:rPr>
          <w:sz w:val="20"/>
          <w:szCs w:val="20"/>
          <w:vertAlign w:val="superscript"/>
        </w:rPr>
        <w:footnoteReference w:id="5"/>
      </w:r>
      <w:r>
        <w:rPr>
          <w:sz w:val="20"/>
          <w:szCs w:val="20"/>
        </w:rPr>
        <w:t>, a database that includes data on more than 100,000 global public companies. The following table summarizes the search process</w:t>
      </w:r>
      <w:r>
        <w:t xml:space="preserve">:  </w:t>
      </w:r>
    </w:p>
    <w:p w14:paraId="255E99F6" w14:textId="77777777" w:rsidR="00BD07B9" w:rsidRDefault="007138CC">
      <w:pPr>
        <w:spacing w:after="120" w:line="360" w:lineRule="auto"/>
        <w:jc w:val="both"/>
      </w:pPr>
      <w:r>
        <w:t>&lt;SEARCH SUMMARY&gt;</w:t>
      </w:r>
    </w:p>
    <w:p w14:paraId="39453534" w14:textId="77777777" w:rsidR="00BD07B9" w:rsidRDefault="007138CC">
      <w:pPr>
        <w:spacing w:before="120" w:after="120" w:line="360" w:lineRule="auto"/>
        <w:rPr>
          <w:sz w:val="20"/>
          <w:szCs w:val="20"/>
        </w:rPr>
      </w:pPr>
      <w:r>
        <w:rPr>
          <w:sz w:val="20"/>
          <w:szCs w:val="20"/>
        </w:rPr>
        <w:t>Step &lt;STEP&gt; Detailed Review.</w:t>
      </w:r>
      <w:r>
        <w:rPr>
          <w:b/>
          <w:sz w:val="20"/>
          <w:szCs w:val="20"/>
        </w:rPr>
        <w:t xml:space="preserve"> </w:t>
      </w:r>
      <w:r>
        <w:rPr>
          <w:sz w:val="20"/>
          <w:szCs w:val="20"/>
        </w:rPr>
        <w:t>The business descriptions and websites of the &lt; POTENTIAL COMPS &gt; potentially comparable companies were reviewed in detail. Companies were eliminated for one or more of the following reasons:</w:t>
      </w:r>
    </w:p>
    <w:p w14:paraId="2F16E6A1" w14:textId="77777777" w:rsidR="00BD07B9" w:rsidRDefault="007138CC">
      <w:pPr>
        <w:numPr>
          <w:ilvl w:val="0"/>
          <w:numId w:val="1"/>
        </w:numPr>
        <w:tabs>
          <w:tab w:val="left" w:pos="400"/>
        </w:tabs>
        <w:spacing w:after="0"/>
        <w:jc w:val="both"/>
        <w:rPr>
          <w:sz w:val="20"/>
          <w:szCs w:val="20"/>
        </w:rPr>
      </w:pPr>
      <w:r>
        <w:rPr>
          <w:sz w:val="20"/>
          <w:szCs w:val="20"/>
        </w:rPr>
        <w:t>Companies that are engaged in a non-similar function (e.g., holding company, etc.)</w:t>
      </w:r>
      <w:proofErr w:type="gramStart"/>
      <w:r>
        <w:rPr>
          <w:sz w:val="20"/>
          <w:szCs w:val="20"/>
        </w:rPr>
        <w:t>.;</w:t>
      </w:r>
      <w:proofErr w:type="gramEnd"/>
    </w:p>
    <w:p w14:paraId="1C9A870E" w14:textId="77777777" w:rsidR="00BD07B9" w:rsidRDefault="007138CC">
      <w:pPr>
        <w:numPr>
          <w:ilvl w:val="0"/>
          <w:numId w:val="1"/>
        </w:numPr>
        <w:tabs>
          <w:tab w:val="left" w:pos="400"/>
        </w:tabs>
        <w:spacing w:after="0"/>
        <w:jc w:val="both"/>
        <w:rPr>
          <w:sz w:val="20"/>
          <w:szCs w:val="20"/>
        </w:rPr>
      </w:pPr>
      <w:r>
        <w:rPr>
          <w:sz w:val="20"/>
          <w:szCs w:val="20"/>
        </w:rPr>
        <w:t>Companies that may own significant technology intellectual property;</w:t>
      </w:r>
      <w:r>
        <w:rPr>
          <w:sz w:val="20"/>
          <w:szCs w:val="20"/>
          <w:vertAlign w:val="superscript"/>
        </w:rPr>
        <w:footnoteReference w:id="6"/>
      </w:r>
    </w:p>
    <w:p w14:paraId="6F3BF262" w14:textId="77777777" w:rsidR="00BD07B9" w:rsidRDefault="007138CC">
      <w:pPr>
        <w:numPr>
          <w:ilvl w:val="0"/>
          <w:numId w:val="1"/>
        </w:numPr>
        <w:tabs>
          <w:tab w:val="left" w:pos="400"/>
        </w:tabs>
        <w:spacing w:after="0"/>
        <w:jc w:val="both"/>
        <w:rPr>
          <w:sz w:val="20"/>
          <w:szCs w:val="20"/>
        </w:rPr>
      </w:pPr>
      <w:r>
        <w:rPr>
          <w:sz w:val="20"/>
          <w:szCs w:val="20"/>
        </w:rPr>
        <w:t xml:space="preserve">Companies engaged with significant different activity or </w:t>
      </w:r>
      <w:proofErr w:type="gramStart"/>
      <w:r>
        <w:rPr>
          <w:sz w:val="20"/>
          <w:szCs w:val="20"/>
        </w:rPr>
        <w:t>product;</w:t>
      </w:r>
      <w:proofErr w:type="gramEnd"/>
    </w:p>
    <w:p w14:paraId="69CE92AF" w14:textId="77777777" w:rsidR="00BD07B9" w:rsidRDefault="007138CC">
      <w:pPr>
        <w:numPr>
          <w:ilvl w:val="0"/>
          <w:numId w:val="1"/>
        </w:numPr>
        <w:tabs>
          <w:tab w:val="left" w:pos="400"/>
        </w:tabs>
        <w:spacing w:after="0"/>
        <w:jc w:val="both"/>
        <w:rPr>
          <w:sz w:val="20"/>
          <w:szCs w:val="20"/>
        </w:rPr>
      </w:pPr>
      <w:r>
        <w:rPr>
          <w:sz w:val="20"/>
          <w:szCs w:val="20"/>
        </w:rPr>
        <w:t>Companies with no or limited activity</w:t>
      </w:r>
    </w:p>
    <w:p w14:paraId="34DE31CB" w14:textId="77777777" w:rsidR="00BD07B9" w:rsidRDefault="007138CC">
      <w:pPr>
        <w:numPr>
          <w:ilvl w:val="0"/>
          <w:numId w:val="1"/>
        </w:numPr>
        <w:tabs>
          <w:tab w:val="left" w:pos="400"/>
        </w:tabs>
        <w:spacing w:after="240"/>
        <w:jc w:val="both"/>
        <w:rPr>
          <w:sz w:val="20"/>
          <w:szCs w:val="20"/>
        </w:rPr>
      </w:pPr>
      <w:r>
        <w:rPr>
          <w:sz w:val="20"/>
          <w:szCs w:val="20"/>
        </w:rPr>
        <w:t>Other reasons (e.g., bankruptcy, develop proprietary products, etc.).</w:t>
      </w:r>
    </w:p>
    <w:p w14:paraId="4B291A01" w14:textId="77777777" w:rsidR="00BD07B9" w:rsidRDefault="007138CC">
      <w:pPr>
        <w:spacing w:line="360" w:lineRule="auto"/>
        <w:jc w:val="both"/>
        <w:rPr>
          <w:sz w:val="20"/>
          <w:szCs w:val="20"/>
        </w:rPr>
      </w:pPr>
      <w:r>
        <w:rPr>
          <w:sz w:val="20"/>
          <w:szCs w:val="20"/>
        </w:rPr>
        <w:t xml:space="preserve">This step resulted in &lt;COMPS&gt; comparable companies. A detailed rejection matrix can be found in Appendix A. Financial information and business description of these comparable companies can be found in Appendices B and C. </w:t>
      </w:r>
    </w:p>
    <w:p w14:paraId="02D7695D" w14:textId="77777777" w:rsidR="00BD07B9" w:rsidRDefault="00BD07B9">
      <w:pPr>
        <w:pBdr>
          <w:top w:val="nil"/>
          <w:left w:val="nil"/>
          <w:bottom w:val="nil"/>
          <w:right w:val="nil"/>
          <w:between w:val="nil"/>
        </w:pBdr>
        <w:spacing w:after="240" w:line="240" w:lineRule="auto"/>
        <w:jc w:val="both"/>
        <w:rPr>
          <w:color w:val="000000"/>
          <w:sz w:val="20"/>
          <w:szCs w:val="20"/>
        </w:rPr>
      </w:pPr>
    </w:p>
    <w:p w14:paraId="1CF1D5D3" w14:textId="77777777" w:rsidR="00BD07B9" w:rsidRDefault="007138CC">
      <w:pPr>
        <w:rPr>
          <w:color w:val="000000"/>
          <w:sz w:val="20"/>
          <w:szCs w:val="20"/>
        </w:rPr>
      </w:pPr>
      <w:r>
        <w:br w:type="page"/>
      </w:r>
    </w:p>
    <w:p w14:paraId="04A4CC9C" w14:textId="77777777" w:rsidR="00BD07B9" w:rsidRDefault="007138CC">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Comparable Results</w:t>
      </w:r>
    </w:p>
    <w:p w14:paraId="414A35B1" w14:textId="62646510" w:rsidR="00BD07B9" w:rsidRDefault="007138CC">
      <w:pPr>
        <w:spacing w:after="120" w:line="240" w:lineRule="auto"/>
        <w:rPr>
          <w:sz w:val="20"/>
          <w:szCs w:val="20"/>
        </w:rPr>
      </w:pPr>
      <w:r>
        <w:rPr>
          <w:sz w:val="20"/>
          <w:szCs w:val="20"/>
        </w:rPr>
        <w:t xml:space="preserve">The following table presents the </w:t>
      </w:r>
      <w:r w:rsidR="00684434">
        <w:rPr>
          <w:sz w:val="20"/>
          <w:szCs w:val="20"/>
        </w:rPr>
        <w:t>&lt;AND USED THE&gt;</w:t>
      </w:r>
      <w:r>
        <w:rPr>
          <w:sz w:val="20"/>
          <w:szCs w:val="20"/>
        </w:rPr>
        <w:t xml:space="preserve"> earned by each of the comparable companies: </w:t>
      </w:r>
    </w:p>
    <w:p w14:paraId="56FAA9E8" w14:textId="77777777" w:rsidR="00BD07B9" w:rsidRDefault="007138CC">
      <w:pPr>
        <w:spacing w:after="120" w:line="240" w:lineRule="auto"/>
        <w:rPr>
          <w:sz w:val="20"/>
          <w:szCs w:val="20"/>
        </w:rPr>
      </w:pPr>
      <w:r>
        <w:rPr>
          <w:sz w:val="20"/>
          <w:szCs w:val="20"/>
        </w:rPr>
        <w:t>&lt;BENCHMARK&gt;</w:t>
      </w:r>
    </w:p>
    <w:p w14:paraId="6955049E" w14:textId="77777777" w:rsidR="00BD07B9" w:rsidRDefault="00BD07B9">
      <w:pPr>
        <w:spacing w:before="120" w:after="120" w:line="360" w:lineRule="auto"/>
        <w:jc w:val="both"/>
        <w:rPr>
          <w:sz w:val="20"/>
          <w:szCs w:val="20"/>
        </w:rPr>
      </w:pPr>
    </w:p>
    <w:p w14:paraId="7D9F0B58" w14:textId="012C4F25" w:rsidR="00BD07B9" w:rsidRDefault="007138CC">
      <w:pPr>
        <w:spacing w:before="120" w:after="120" w:line="360" w:lineRule="auto"/>
        <w:jc w:val="both"/>
        <w:rPr>
          <w:sz w:val="20"/>
          <w:szCs w:val="20"/>
        </w:rPr>
      </w:pPr>
      <w:r>
        <w:rPr>
          <w:sz w:val="20"/>
          <w:szCs w:val="20"/>
        </w:rPr>
        <w:t xml:space="preserve">The interquartile range of three-year weighted average &lt;AND USED THE ACRONYM&gt; is between &lt;LOWER&gt;% and &lt;UPPER &gt;% with a median of &lt;MEDIAN&gt;%. Detailed financial and company descriptions can be found in appendices B and C. </w:t>
      </w:r>
    </w:p>
    <w:p w14:paraId="59832907" w14:textId="77777777" w:rsidR="00BD07B9" w:rsidRDefault="007138CC">
      <w:pPr>
        <w:rPr>
          <w:b/>
          <w:sz w:val="20"/>
          <w:szCs w:val="20"/>
          <w:u w:val="single"/>
        </w:rPr>
      </w:pPr>
      <w:r>
        <w:br w:type="page"/>
      </w:r>
    </w:p>
    <w:p w14:paraId="17C9C757" w14:textId="77777777" w:rsidR="00BD07B9" w:rsidRDefault="007138CC">
      <w:pPr>
        <w:spacing w:after="240" w:line="240" w:lineRule="auto"/>
        <w:rPr>
          <w:b/>
          <w:color w:val="7F7F7F"/>
          <w:sz w:val="48"/>
          <w:szCs w:val="48"/>
        </w:rPr>
      </w:pPr>
      <w:r>
        <w:rPr>
          <w:b/>
          <w:color w:val="7F7F7F"/>
          <w:sz w:val="28"/>
          <w:szCs w:val="28"/>
        </w:rPr>
        <w:lastRenderedPageBreak/>
        <w:t>Appendices</w:t>
      </w:r>
    </w:p>
    <w:p w14:paraId="32F10742" w14:textId="4297A269" w:rsidR="00BD07B9" w:rsidRPr="00DC32B9" w:rsidRDefault="007138CC" w:rsidP="00DC32B9">
      <w:pPr>
        <w:pStyle w:val="ListParagraph"/>
        <w:numPr>
          <w:ilvl w:val="0"/>
          <w:numId w:val="12"/>
        </w:numPr>
        <w:spacing w:after="120" w:line="240" w:lineRule="auto"/>
        <w:rPr>
          <w:b/>
          <w:color w:val="000000"/>
        </w:rPr>
      </w:pPr>
      <w:r w:rsidRPr="00DC32B9">
        <w:rPr>
          <w:b/>
          <w:color w:val="000000"/>
          <w:sz w:val="20"/>
          <w:szCs w:val="20"/>
        </w:rPr>
        <w:t>Accept/Rejected Matrix</w:t>
      </w:r>
    </w:p>
    <w:p w14:paraId="63B040B9" w14:textId="77777777" w:rsidR="00BD07B9" w:rsidRDefault="007138CC">
      <w:pPr>
        <w:spacing w:after="240" w:line="240" w:lineRule="auto"/>
        <w:rPr>
          <w:sz w:val="20"/>
          <w:szCs w:val="20"/>
        </w:rPr>
      </w:pPr>
      <w:r>
        <w:rPr>
          <w:sz w:val="20"/>
          <w:szCs w:val="20"/>
        </w:rPr>
        <w:t>&lt;MATRIX&gt;</w:t>
      </w:r>
      <w:r>
        <w:rPr>
          <w:sz w:val="20"/>
          <w:szCs w:val="20"/>
        </w:rPr>
        <w:br/>
      </w:r>
      <w:r>
        <w:rPr>
          <w:sz w:val="20"/>
          <w:szCs w:val="20"/>
        </w:rPr>
        <w:br/>
      </w:r>
      <w:r>
        <w:rPr>
          <w:sz w:val="20"/>
          <w:szCs w:val="20"/>
        </w:rPr>
        <w:br/>
      </w:r>
    </w:p>
    <w:p w14:paraId="7BAFD990" w14:textId="77777777" w:rsidR="00BD07B9" w:rsidRDefault="007138CC">
      <w:pPr>
        <w:rPr>
          <w:b/>
          <w:sz w:val="20"/>
          <w:szCs w:val="20"/>
          <w:u w:val="single"/>
        </w:rPr>
      </w:pPr>
      <w:r>
        <w:br w:type="page"/>
      </w:r>
    </w:p>
    <w:p w14:paraId="243A59C8" w14:textId="77777777" w:rsidR="00BD07B9" w:rsidRPr="00DC32B9" w:rsidRDefault="007138CC" w:rsidP="00DC32B9">
      <w:pPr>
        <w:pStyle w:val="ListParagraph"/>
        <w:numPr>
          <w:ilvl w:val="0"/>
          <w:numId w:val="12"/>
        </w:numPr>
        <w:spacing w:after="120" w:line="240" w:lineRule="auto"/>
        <w:rPr>
          <w:b/>
          <w:color w:val="000000"/>
          <w:sz w:val="20"/>
          <w:szCs w:val="20"/>
        </w:rPr>
      </w:pPr>
      <w:r>
        <w:rPr>
          <w:b/>
          <w:color w:val="000000"/>
          <w:sz w:val="20"/>
          <w:szCs w:val="20"/>
        </w:rPr>
        <w:lastRenderedPageBreak/>
        <w:t>Comparable companies’ financial information</w:t>
      </w:r>
    </w:p>
    <w:p w14:paraId="6D9319DB" w14:textId="77777777" w:rsidR="00BD07B9" w:rsidRDefault="007138CC">
      <w:pPr>
        <w:spacing w:after="240" w:line="240" w:lineRule="auto"/>
        <w:rPr>
          <w:sz w:val="20"/>
          <w:szCs w:val="20"/>
        </w:rPr>
      </w:pPr>
      <w:r>
        <w:rPr>
          <w:sz w:val="20"/>
          <w:szCs w:val="20"/>
        </w:rPr>
        <w:t>&lt;FINANCIALS&gt;</w:t>
      </w:r>
    </w:p>
    <w:p w14:paraId="3F53DC59" w14:textId="77777777" w:rsidR="00BD07B9" w:rsidRDefault="007138CC">
      <w:pPr>
        <w:rPr>
          <w:b/>
          <w:sz w:val="20"/>
          <w:szCs w:val="20"/>
          <w:u w:val="single"/>
        </w:rPr>
      </w:pPr>
      <w:r>
        <w:br w:type="page"/>
      </w:r>
    </w:p>
    <w:p w14:paraId="0F390A7E" w14:textId="77777777" w:rsidR="00BD07B9" w:rsidRPr="00DC32B9" w:rsidRDefault="007138CC" w:rsidP="00DC32B9">
      <w:pPr>
        <w:pStyle w:val="ListParagraph"/>
        <w:numPr>
          <w:ilvl w:val="0"/>
          <w:numId w:val="12"/>
        </w:numPr>
        <w:spacing w:after="120" w:line="240" w:lineRule="auto"/>
        <w:rPr>
          <w:b/>
          <w:color w:val="000000"/>
          <w:sz w:val="20"/>
          <w:szCs w:val="20"/>
        </w:rPr>
      </w:pPr>
      <w:r>
        <w:rPr>
          <w:b/>
          <w:color w:val="000000"/>
          <w:sz w:val="20"/>
          <w:szCs w:val="20"/>
        </w:rPr>
        <w:lastRenderedPageBreak/>
        <w:t>Comparable companies’ business descriptions</w:t>
      </w:r>
    </w:p>
    <w:p w14:paraId="1A54342E" w14:textId="77777777" w:rsidR="00BD07B9" w:rsidRDefault="007138CC">
      <w:pPr>
        <w:rPr>
          <w:sz w:val="20"/>
          <w:szCs w:val="20"/>
        </w:rPr>
      </w:pPr>
      <w:r>
        <w:rPr>
          <w:sz w:val="20"/>
          <w:szCs w:val="20"/>
        </w:rPr>
        <w:t>&lt;DESCRIPTION&gt;</w:t>
      </w:r>
    </w:p>
    <w:p w14:paraId="2B62893A" w14:textId="77777777" w:rsidR="00BD07B9" w:rsidRDefault="007138CC">
      <w:pPr>
        <w:rPr>
          <w:b/>
          <w:sz w:val="20"/>
          <w:szCs w:val="20"/>
          <w:u w:val="single"/>
        </w:rPr>
      </w:pPr>
      <w:r>
        <w:br w:type="page"/>
      </w:r>
    </w:p>
    <w:p w14:paraId="7E37389A" w14:textId="77777777" w:rsidR="00BD07B9" w:rsidRPr="00DC32B9" w:rsidRDefault="007138CC" w:rsidP="00DC32B9">
      <w:pPr>
        <w:pStyle w:val="ListParagraph"/>
        <w:numPr>
          <w:ilvl w:val="0"/>
          <w:numId w:val="12"/>
        </w:numPr>
        <w:spacing w:after="120" w:line="240" w:lineRule="auto"/>
        <w:rPr>
          <w:b/>
          <w:color w:val="000000"/>
          <w:sz w:val="20"/>
          <w:szCs w:val="20"/>
        </w:rPr>
      </w:pPr>
      <w:r>
        <w:rPr>
          <w:b/>
          <w:color w:val="000000"/>
          <w:sz w:val="20"/>
          <w:szCs w:val="20"/>
        </w:rPr>
        <w:lastRenderedPageBreak/>
        <w:t>Scope</w:t>
      </w:r>
    </w:p>
    <w:p w14:paraId="2783778A"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The scope and purpose of this Report is limited to (</w:t>
      </w:r>
      <w:proofErr w:type="spellStart"/>
      <w:r>
        <w:rPr>
          <w:color w:val="000000"/>
          <w:sz w:val="20"/>
          <w:szCs w:val="20"/>
        </w:rPr>
        <w:t>i</w:t>
      </w:r>
      <w:proofErr w:type="spellEnd"/>
      <w:r>
        <w:rPr>
          <w:color w:val="000000"/>
          <w:sz w:val="20"/>
          <w:szCs w:val="20"/>
        </w:rPr>
        <w:t>) reviewing the Group’s transfer pricing results in relation to the Covered Transaction under the arm’s length principle of the US Regulations and the OECD Guidelines, (ii) establishing that the Group reasonably concluded that the method (and the application of that method) applied in this Report provided the most reliable measure of an arm’s length result for the Covered Transaction.</w:t>
      </w:r>
    </w:p>
    <w:p w14:paraId="798DABE4"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We assume no responsibility for any issues beyond this express and limited scope of this Report.  Additional issues may exist that affect the U.S. federal, state, local</w:t>
      </w:r>
      <w:r>
        <w:rPr>
          <w:sz w:val="20"/>
          <w:szCs w:val="20"/>
        </w:rPr>
        <w:t>,</w:t>
      </w:r>
      <w:r>
        <w:rPr>
          <w:color w:val="000000"/>
          <w:sz w:val="20"/>
          <w:szCs w:val="20"/>
        </w:rPr>
        <w:t xml:space="preserve"> or foreign income and non-income tax treatment and consequences of the Covered Transaction, as well as other transactions or matters that may affect the Group.  This Report does not consider, and we express no view any such other tax issues, nor any non-tax legal, regulatory, accounting, or other non-tax issues that may impact the Covered Transaction or any other transaction(s) or matters affecting the Group.  </w:t>
      </w:r>
    </w:p>
    <w:p w14:paraId="4B0843F6"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 xml:space="preserve">Although the conclusions set forth in our Report reflect our best professional </w:t>
      </w:r>
      <w:r>
        <w:rPr>
          <w:sz w:val="20"/>
          <w:szCs w:val="20"/>
        </w:rPr>
        <w:t>judgment</w:t>
      </w:r>
      <w:r>
        <w:rPr>
          <w:color w:val="000000"/>
          <w:sz w:val="20"/>
          <w:szCs w:val="20"/>
        </w:rPr>
        <w:t xml:space="preserve"> regarding the arm’s length nature of the Group’s transfer pricing results with respect to the Covered Transaction, we cannot </w:t>
      </w:r>
      <w:r>
        <w:rPr>
          <w:sz w:val="20"/>
          <w:szCs w:val="20"/>
        </w:rPr>
        <w:t>assure</w:t>
      </w:r>
      <w:r>
        <w:rPr>
          <w:color w:val="000000"/>
          <w:sz w:val="20"/>
          <w:szCs w:val="20"/>
        </w:rPr>
        <w:t xml:space="preserve"> that such conclusions will not be subject to challenge by any federal, state, local or foreign taxing authority, or that in the event of such a challenge, that a court in any jurisdiction will ultimately uphold such conclusions </w:t>
      </w:r>
    </w:p>
    <w:p w14:paraId="17241135"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This Report has been prepared for the sole benefit of the Group and may not be relied upon by any other party for any purpose without our prior written permission, and we assume no responsibilities to any such other parties. Notwithstanding the foregoing, nothing in this Report should be interpreted to limit the Group’s right to disclose the tax treatment and tax structure of the Covered Transaction to any person.  </w:t>
      </w:r>
    </w:p>
    <w:p w14:paraId="5DB4D3C0"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In preparing this Report, we have relied on information, provided by Client, which we have not independently audited or verified. We have assumed that all such data, documents</w:t>
      </w:r>
      <w:r>
        <w:rPr>
          <w:sz w:val="20"/>
          <w:szCs w:val="20"/>
        </w:rPr>
        <w:t>,</w:t>
      </w:r>
      <w:r>
        <w:rPr>
          <w:color w:val="000000"/>
          <w:sz w:val="20"/>
          <w:szCs w:val="20"/>
        </w:rPr>
        <w:t xml:space="preserve"> and factual representations are true, correct, and complete in all material respects. Any misstatement, omission, or subsequent change in any such data, facts</w:t>
      </w:r>
      <w:r>
        <w:rPr>
          <w:sz w:val="20"/>
          <w:szCs w:val="20"/>
        </w:rPr>
        <w:t>,</w:t>
      </w:r>
      <w:r>
        <w:rPr>
          <w:color w:val="000000"/>
          <w:sz w:val="20"/>
          <w:szCs w:val="20"/>
        </w:rPr>
        <w:t xml:space="preserve"> or documents may impact the validity of our conclusions.  </w:t>
      </w:r>
    </w:p>
    <w:p w14:paraId="7D2C611C" w14:textId="77777777" w:rsidR="00BD07B9" w:rsidRDefault="007138CC">
      <w:pPr>
        <w:spacing w:after="120" w:line="360" w:lineRule="auto"/>
        <w:jc w:val="both"/>
        <w:rPr>
          <w:rFonts w:ascii="Times New Roman" w:eastAsia="Times New Roman" w:hAnsi="Times New Roman" w:cs="Times New Roman"/>
          <w:sz w:val="24"/>
          <w:szCs w:val="24"/>
        </w:rPr>
      </w:pPr>
      <w:r>
        <w:rPr>
          <w:color w:val="000000"/>
          <w:sz w:val="20"/>
          <w:szCs w:val="20"/>
        </w:rPr>
        <w:t>Additionally, this Report reflects the applicable law and guidance of the US Regulations and the OECD Guidelines thereof in effect as of the end of the tax year to which this Report relates. Such law and guidance may be subject to change, possibly on retroactive basis or in a manner that could otherwise materially affect the conclusions stated in this Report.  </w:t>
      </w:r>
    </w:p>
    <w:p w14:paraId="2A9672BF" w14:textId="77777777" w:rsidR="00BD07B9" w:rsidRDefault="007138CC">
      <w:pPr>
        <w:spacing w:after="120" w:line="360" w:lineRule="auto"/>
        <w:jc w:val="both"/>
        <w:rPr>
          <w:color w:val="000000"/>
          <w:sz w:val="20"/>
          <w:szCs w:val="20"/>
        </w:rPr>
      </w:pPr>
      <w:r>
        <w:rPr>
          <w:color w:val="000000"/>
          <w:sz w:val="20"/>
          <w:szCs w:val="20"/>
        </w:rPr>
        <w:t>We assume no obligation to update this Report in the event of any change in facts, circumstances, law, or guidance that could impact the conclusions stated herein.</w:t>
      </w:r>
    </w:p>
    <w:p w14:paraId="68BCE1BA" w14:textId="77777777" w:rsidR="00BD07B9" w:rsidRDefault="00BD07B9"/>
    <w:sectPr w:rsidR="00BD07B9">
      <w:footerReference w:type="defaul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8E25" w14:textId="77777777" w:rsidR="00C94FA1" w:rsidRDefault="00C94FA1">
      <w:pPr>
        <w:spacing w:after="0" w:line="240" w:lineRule="auto"/>
      </w:pPr>
      <w:r>
        <w:separator/>
      </w:r>
    </w:p>
  </w:endnote>
  <w:endnote w:type="continuationSeparator" w:id="0">
    <w:p w14:paraId="40CB368A" w14:textId="77777777" w:rsidR="00C94FA1" w:rsidRDefault="00C94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FEA6DA6-81F0-49CF-ADB7-B9B767D18CBF}"/>
  </w:font>
  <w:font w:name="Calibri">
    <w:panose1 w:val="020F0502020204030204"/>
    <w:charset w:val="00"/>
    <w:family w:val="swiss"/>
    <w:pitch w:val="variable"/>
    <w:sig w:usb0="E4002EFF" w:usb1="C200247B" w:usb2="00000009" w:usb3="00000000" w:csb0="000001FF" w:csb1="00000000"/>
    <w:embedRegular r:id="rId2" w:fontKey="{8DCEE5A8-97A7-443C-B2F5-41D5F5570D1C}"/>
    <w:embedBold r:id="rId3" w:fontKey="{98CD9C5D-CE65-4B06-A28B-E41C2FE39D68}"/>
  </w:font>
  <w:font w:name="Verdana">
    <w:panose1 w:val="020B0604030504040204"/>
    <w:charset w:val="00"/>
    <w:family w:val="swiss"/>
    <w:pitch w:val="variable"/>
    <w:sig w:usb0="A00006FF" w:usb1="4000205B" w:usb2="00000010" w:usb3="00000000" w:csb0="0000019F" w:csb1="00000000"/>
    <w:embedRegular r:id="rId4" w:fontKey="{D2AD3757-B07A-487F-A7DD-B9695811D698}"/>
  </w:font>
  <w:font w:name="Arial">
    <w:panose1 w:val="020B0604020202020204"/>
    <w:charset w:val="00"/>
    <w:family w:val="swiss"/>
    <w:pitch w:val="variable"/>
    <w:sig w:usb0="E0002EFF" w:usb1="C000785B" w:usb2="00000009" w:usb3="00000000" w:csb0="000001FF" w:csb1="00000000"/>
  </w:font>
  <w:font w:name="Inter Light">
    <w:panose1 w:val="00000000000000000000"/>
    <w:charset w:val="00"/>
    <w:family w:val="roman"/>
    <w:notTrueType/>
    <w:pitch w:val="default"/>
  </w:font>
  <w:font w:name="EYInterstate Ligh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5" w:fontKey="{ED1A2B21-F3A0-4B49-9323-6604EDB8375E}"/>
    <w:embedItalic r:id="rId6" w:fontKey="{046300C1-A2DF-4786-B4CC-7F2B956427F2}"/>
  </w:font>
  <w:font w:name="Roboto">
    <w:charset w:val="00"/>
    <w:family w:val="auto"/>
    <w:pitch w:val="variable"/>
    <w:sig w:usb0="E0000AFF" w:usb1="5000217F" w:usb2="00000021" w:usb3="00000000" w:csb0="0000019F" w:csb1="00000000"/>
    <w:embedRegular r:id="rId7" w:fontKey="{EDC104A5-2A3D-4483-A302-2D435C492B54}"/>
  </w:font>
  <w:font w:name="Calibri Light">
    <w:panose1 w:val="020F0302020204030204"/>
    <w:charset w:val="00"/>
    <w:family w:val="swiss"/>
    <w:pitch w:val="variable"/>
    <w:sig w:usb0="E4002EFF" w:usb1="C200247B" w:usb2="00000009" w:usb3="00000000" w:csb0="000001FF" w:csb1="00000000"/>
    <w:embedRegular r:id="rId8" w:fontKey="{6EBE8D58-05F8-4D99-8DE9-DDDA6D1F3F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BDA7" w14:textId="77777777" w:rsidR="00BD07B9" w:rsidRDefault="007138CC">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C32B9">
      <w:rPr>
        <w:noProof/>
        <w:color w:val="000000"/>
      </w:rPr>
      <w:t>1</w:t>
    </w:r>
    <w:r>
      <w:rPr>
        <w:color w:val="000000"/>
      </w:rPr>
      <w:fldChar w:fldCharType="end"/>
    </w:r>
  </w:p>
  <w:p w14:paraId="58405DAC" w14:textId="77777777" w:rsidR="00BD07B9" w:rsidRDefault="00BD07B9">
    <w:pPr>
      <w:pBdr>
        <w:top w:val="nil"/>
        <w:left w:val="nil"/>
        <w:bottom w:val="nil"/>
        <w:right w:val="nil"/>
        <w:between w:val="nil"/>
      </w:pBdr>
      <w:tabs>
        <w:tab w:val="center" w:pos="4680"/>
        <w:tab w:val="right" w:pos="9360"/>
      </w:tabs>
      <w:spacing w:after="0" w:line="240" w:lineRule="auto"/>
      <w:jc w:val="righ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B90F" w14:textId="77777777" w:rsidR="00C94FA1" w:rsidRDefault="00C94FA1">
      <w:pPr>
        <w:spacing w:after="0" w:line="240" w:lineRule="auto"/>
      </w:pPr>
      <w:r>
        <w:separator/>
      </w:r>
    </w:p>
  </w:footnote>
  <w:footnote w:type="continuationSeparator" w:id="0">
    <w:p w14:paraId="39CD1618" w14:textId="77777777" w:rsidR="00C94FA1" w:rsidRDefault="00C94FA1">
      <w:pPr>
        <w:spacing w:after="0" w:line="240" w:lineRule="auto"/>
      </w:pPr>
      <w:r>
        <w:continuationSeparator/>
      </w:r>
    </w:p>
  </w:footnote>
  <w:footnote w:id="1">
    <w:p w14:paraId="5FA03485" w14:textId="77777777" w:rsidR="00BD07B9" w:rsidRDefault="007138C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16"/>
          <w:szCs w:val="16"/>
        </w:rPr>
        <w:t xml:space="preserve">OECD Guidelines, Chapter I Section D.2 </w:t>
      </w:r>
    </w:p>
  </w:footnote>
  <w:footnote w:id="2">
    <w:p w14:paraId="200BB8F8" w14:textId="77777777" w:rsidR="00BD07B9" w:rsidRDefault="007138CC">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color w:val="000000"/>
          <w:sz w:val="16"/>
          <w:szCs w:val="16"/>
        </w:rPr>
        <w:t xml:space="preserve"> Section 1.482-5 of the US Regulations.  </w:t>
      </w:r>
    </w:p>
  </w:footnote>
  <w:footnote w:id="3">
    <w:p w14:paraId="7CC3D616" w14:textId="77777777" w:rsidR="00BD07B9" w:rsidRDefault="007138C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16"/>
          <w:szCs w:val="16"/>
        </w:rPr>
        <w:t>Chapter II B.1 Paragraph 2.64 in the OECD Guidelines.</w:t>
      </w:r>
    </w:p>
  </w:footnote>
  <w:footnote w:id="4">
    <w:p w14:paraId="7FF8FB94" w14:textId="77777777" w:rsidR="00BD07B9" w:rsidRDefault="007138CC">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16"/>
          <w:szCs w:val="16"/>
        </w:rPr>
        <w:t xml:space="preserve"> &lt;AND USED THE_footnote&gt;</w:t>
      </w:r>
      <w:r>
        <w:rPr>
          <w:color w:val="000000"/>
          <w:sz w:val="16"/>
          <w:szCs w:val="16"/>
        </w:rPr>
        <w:t xml:space="preserve">. </w:t>
      </w:r>
    </w:p>
  </w:footnote>
  <w:footnote w:id="5">
    <w:p w14:paraId="0DD86B0F" w14:textId="77777777" w:rsidR="00BD07B9" w:rsidRDefault="007138CC">
      <w:pPr>
        <w:spacing w:after="0"/>
        <w:rPr>
          <w:sz w:val="16"/>
          <w:szCs w:val="16"/>
        </w:rPr>
      </w:pPr>
      <w:r>
        <w:rPr>
          <w:rStyle w:val="FootnoteReference"/>
        </w:rPr>
        <w:footnoteRef/>
      </w:r>
      <w:r>
        <w:rPr>
          <w:sz w:val="16"/>
          <w:szCs w:val="16"/>
        </w:rPr>
        <w:t xml:space="preserve"> A Moody’s analytics data company.  &lt;VERSION&gt;.</w:t>
      </w:r>
    </w:p>
  </w:footnote>
  <w:footnote w:id="6">
    <w:p w14:paraId="428FCF87" w14:textId="77777777" w:rsidR="00BD07B9" w:rsidRDefault="007138CC">
      <w:pPr>
        <w:keepNext/>
        <w:keepLines/>
        <w:tabs>
          <w:tab w:val="left" w:pos="720"/>
        </w:tabs>
        <w:spacing w:after="0"/>
        <w:jc w:val="both"/>
        <w:rPr>
          <w:sz w:val="16"/>
          <w:szCs w:val="16"/>
        </w:rPr>
      </w:pPr>
      <w:r>
        <w:rPr>
          <w:rStyle w:val="FootnoteReference"/>
        </w:rPr>
        <w:footnoteRef/>
      </w:r>
      <w:r>
        <w:rPr>
          <w:sz w:val="16"/>
          <w:szCs w:val="16"/>
        </w:rPr>
        <w:t xml:space="preserve"> Intangible assets / Total assets &lt; 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D40"/>
    <w:multiLevelType w:val="multilevel"/>
    <w:tmpl w:val="E104DE7A"/>
    <w:lvl w:ilvl="0">
      <w:start w:val="1"/>
      <w:numFmt w:val="decimal"/>
      <w:lvlText w:val="%1."/>
      <w:lvlJc w:val="left"/>
      <w:pPr>
        <w:ind w:left="720" w:hanging="360"/>
      </w:pPr>
      <w:rPr>
        <w:sz w:val="32"/>
        <w:szCs w:val="3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A446676"/>
    <w:multiLevelType w:val="multilevel"/>
    <w:tmpl w:val="0D7CC9E0"/>
    <w:lvl w:ilvl="0">
      <w:numFmt w:val="upperLetter"/>
      <w:lvlText w:val="%1."/>
      <w:lvlJc w:val="left"/>
      <w:pPr>
        <w:ind w:left="0" w:firstLine="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BA47AD7"/>
    <w:multiLevelType w:val="multilevel"/>
    <w:tmpl w:val="C3C845DA"/>
    <w:lvl w:ilvl="0">
      <w:start w:val="1"/>
      <w:numFmt w:val="decimal"/>
      <w:pStyle w:val="StyleHeading1EYInterstateLight"/>
      <w:lvlText w:val="%1."/>
      <w:lvlJc w:val="left"/>
      <w:pPr>
        <w:tabs>
          <w:tab w:val="num" w:pos="720"/>
        </w:tabs>
        <w:ind w:left="720" w:hanging="720"/>
      </w:pPr>
    </w:lvl>
    <w:lvl w:ilvl="1">
      <w:start w:val="1"/>
      <w:numFmt w:val="decimal"/>
      <w:pStyle w:val="bullettexteH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F0504C"/>
    <w:multiLevelType w:val="multilevel"/>
    <w:tmpl w:val="53729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EA41608"/>
    <w:multiLevelType w:val="multilevel"/>
    <w:tmpl w:val="C0260746"/>
    <w:lvl w:ilvl="0">
      <w:start w:val="2"/>
      <w:numFmt w:val="upperLetter"/>
      <w:lvlText w:val="%1."/>
      <w:lvlJc w:val="left"/>
      <w:pPr>
        <w:ind w:left="0" w:firstLine="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DF450EC"/>
    <w:multiLevelType w:val="hybridMultilevel"/>
    <w:tmpl w:val="B3D44E02"/>
    <w:lvl w:ilvl="0" w:tplc="04090015">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9886970">
    <w:abstractNumId w:val="3"/>
  </w:num>
  <w:num w:numId="2" w16cid:durableId="828910742">
    <w:abstractNumId w:val="4"/>
  </w:num>
  <w:num w:numId="3" w16cid:durableId="288168326">
    <w:abstractNumId w:val="0"/>
  </w:num>
  <w:num w:numId="4" w16cid:durableId="1378123611">
    <w:abstractNumId w:val="1"/>
  </w:num>
  <w:num w:numId="5" w16cid:durableId="622615974">
    <w:abstractNumId w:val="2"/>
  </w:num>
  <w:num w:numId="6" w16cid:durableId="107899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384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9351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93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121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3060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2219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7B9"/>
    <w:rsid w:val="00126713"/>
    <w:rsid w:val="00286DE0"/>
    <w:rsid w:val="00684434"/>
    <w:rsid w:val="007138CC"/>
    <w:rsid w:val="00BD07B9"/>
    <w:rsid w:val="00C94FA1"/>
    <w:rsid w:val="00DC32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FC32"/>
  <w15:docId w15:val="{4900F554-713C-46AA-8621-B3690636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90A"/>
  </w:style>
  <w:style w:type="paragraph" w:styleId="Heading1">
    <w:name w:val="heading 1"/>
    <w:basedOn w:val="Normal"/>
    <w:link w:val="Heading1Char"/>
    <w:uiPriority w:val="9"/>
    <w:qFormat/>
    <w:rsid w:val="00496C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h2 main heading,B Sub/Bold,H2,052,2,Reset numbering,Reset number...,Reset numbering + Times New ...,1.1 Heading 2,LetHead2,Style 2,Major,title 2,Rese...,H2 + After:  6 pt...,w,Burke_Heading 2,restart numbering for &quot;1&quot;,(Alt+2),Lev 2,IOCHead2"/>
    <w:basedOn w:val="Normal"/>
    <w:link w:val="Heading2Char"/>
    <w:uiPriority w:val="9"/>
    <w:semiHidden/>
    <w:unhideWhenUsed/>
    <w:qFormat/>
    <w:rsid w:val="00496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496C1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6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C1F"/>
  </w:style>
  <w:style w:type="paragraph" w:styleId="Footer">
    <w:name w:val="footer"/>
    <w:basedOn w:val="Normal"/>
    <w:link w:val="FooterChar"/>
    <w:uiPriority w:val="99"/>
    <w:unhideWhenUsed/>
    <w:rsid w:val="0049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C1F"/>
  </w:style>
  <w:style w:type="character" w:customStyle="1" w:styleId="Heading1Char">
    <w:name w:val="Heading 1 Char"/>
    <w:basedOn w:val="DefaultParagraphFont"/>
    <w:link w:val="Heading1"/>
    <w:uiPriority w:val="9"/>
    <w:rsid w:val="00496C1F"/>
    <w:rPr>
      <w:rFonts w:ascii="Times New Roman" w:eastAsia="Times New Roman" w:hAnsi="Times New Roman" w:cs="Times New Roman"/>
      <w:b/>
      <w:bCs/>
      <w:kern w:val="36"/>
      <w:sz w:val="48"/>
      <w:szCs w:val="48"/>
    </w:rPr>
  </w:style>
  <w:style w:type="character" w:customStyle="1" w:styleId="Heading2Char">
    <w:name w:val="Heading 2 Char"/>
    <w:aliases w:val="h2 Char,h2 main heading Char,B Sub/Bold Char,H2 Char,052 Char,2 Char,Reset numbering Char,Reset number... Char,Reset numbering + Times New ... Char,1.1 Heading 2 Char,LetHead2 Char,Style 2 Char,Major Char,title 2 Char,Rese... Char,w Char"/>
    <w:basedOn w:val="DefaultParagraphFont"/>
    <w:link w:val="Heading2"/>
    <w:uiPriority w:val="9"/>
    <w:rsid w:val="00496C1F"/>
    <w:rPr>
      <w:rFonts w:ascii="Times New Roman" w:eastAsia="Times New Roman" w:hAnsi="Times New Roman" w:cs="Times New Roman"/>
      <w:b/>
      <w:bCs/>
      <w:kern w:val="0"/>
      <w:sz w:val="36"/>
      <w:szCs w:val="36"/>
    </w:rPr>
  </w:style>
  <w:style w:type="character" w:customStyle="1" w:styleId="apple-tab-span">
    <w:name w:val="apple-tab-span"/>
    <w:basedOn w:val="DefaultParagraphFont"/>
    <w:rsid w:val="00496C1F"/>
  </w:style>
  <w:style w:type="paragraph" w:styleId="FootnoteText">
    <w:name w:val="footnote text"/>
    <w:basedOn w:val="Normal"/>
    <w:link w:val="FootnoteTextChar"/>
    <w:uiPriority w:val="99"/>
    <w:semiHidden/>
    <w:unhideWhenUsed/>
    <w:rsid w:val="008C68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859"/>
    <w:rPr>
      <w:sz w:val="20"/>
      <w:szCs w:val="20"/>
    </w:rPr>
  </w:style>
  <w:style w:type="character" w:styleId="FootnoteReference">
    <w:name w:val="footnote reference"/>
    <w:aliases w:val="fr,Style 49,Style 18,text + Black,o,Style 5,Footnote Referece,Footnote Reference new,Footnote EY Interstate,Footnote ReferenceW,EY Footnote Reference,Footenote reference,49,Footnote Arial 8 single space,fr1,fr2,fr3,Style 491,Style 181"/>
    <w:basedOn w:val="DefaultParagraphFont"/>
    <w:uiPriority w:val="99"/>
    <w:unhideWhenUsed/>
    <w:qFormat/>
    <w:rsid w:val="008C6859"/>
    <w:rPr>
      <w:vertAlign w:val="superscript"/>
    </w:rPr>
  </w:style>
  <w:style w:type="paragraph" w:styleId="ListParagraph">
    <w:name w:val="List Paragraph"/>
    <w:basedOn w:val="Normal"/>
    <w:uiPriority w:val="34"/>
    <w:qFormat/>
    <w:rsid w:val="00255907"/>
    <w:pPr>
      <w:ind w:left="720"/>
      <w:contextualSpacing/>
    </w:pPr>
  </w:style>
  <w:style w:type="numbering" w:customStyle="1" w:styleId="CurrentList1">
    <w:name w:val="Current List1"/>
    <w:uiPriority w:val="99"/>
    <w:rsid w:val="00255907"/>
  </w:style>
  <w:style w:type="numbering" w:customStyle="1" w:styleId="CurrentList2">
    <w:name w:val="Current List2"/>
    <w:uiPriority w:val="99"/>
    <w:rsid w:val="00255907"/>
  </w:style>
  <w:style w:type="character" w:styleId="Hyperlink">
    <w:name w:val="Hyperlink"/>
    <w:basedOn w:val="DefaultParagraphFont"/>
    <w:uiPriority w:val="99"/>
    <w:semiHidden/>
    <w:unhideWhenUsed/>
    <w:rsid w:val="002C71B2"/>
    <w:rPr>
      <w:color w:val="0000FF"/>
      <w:u w:val="single"/>
    </w:rPr>
  </w:style>
  <w:style w:type="table" w:styleId="TableGrid">
    <w:name w:val="Table Grid"/>
    <w:basedOn w:val="TableNormal"/>
    <w:uiPriority w:val="39"/>
    <w:rsid w:val="00624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rsid w:val="00D1433D"/>
    <w:pPr>
      <w:spacing w:before="240" w:after="240" w:line="280" w:lineRule="atLeast"/>
      <w:contextualSpacing/>
    </w:pPr>
    <w:rPr>
      <w:rFonts w:ascii="Verdana" w:eastAsia="Times New Roman" w:hAnsi="Verdana" w:cs="Times New Roman"/>
      <w:sz w:val="18"/>
      <w:szCs w:val="18"/>
      <w:lang w:val="en-GB" w:eastAsia="da-DK" w:bidi="ar-SA"/>
    </w:rPr>
  </w:style>
  <w:style w:type="paragraph" w:styleId="ListBullet">
    <w:name w:val="List Bullet"/>
    <w:basedOn w:val="Normal"/>
    <w:uiPriority w:val="99"/>
    <w:rsid w:val="0004375A"/>
    <w:pPr>
      <w:tabs>
        <w:tab w:val="num" w:pos="360"/>
      </w:tabs>
      <w:spacing w:before="240" w:after="240" w:line="280" w:lineRule="atLeast"/>
      <w:ind w:left="360" w:hanging="360"/>
      <w:contextualSpacing/>
    </w:pPr>
    <w:rPr>
      <w:rFonts w:ascii="Verdana" w:eastAsia="Times New Roman" w:hAnsi="Verdana" w:cs="Times New Roman"/>
      <w:sz w:val="18"/>
      <w:szCs w:val="18"/>
      <w:lang w:val="en-GB" w:eastAsia="da-DK" w:bidi="ar-SA"/>
    </w:rPr>
  </w:style>
  <w:style w:type="paragraph" w:styleId="NoSpacing">
    <w:name w:val="No Spacing"/>
    <w:link w:val="NoSpacingChar"/>
    <w:uiPriority w:val="1"/>
    <w:qFormat/>
    <w:rsid w:val="00484EDE"/>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484EDE"/>
    <w:rPr>
      <w:rFonts w:eastAsiaTheme="minorEastAsia"/>
      <w:kern w:val="0"/>
      <w:lang w:bidi="ar-SA"/>
    </w:rPr>
  </w:style>
  <w:style w:type="paragraph" w:customStyle="1" w:styleId="StyleHeading1EYInterstateLight">
    <w:name w:val="Style Heading 1 + EYInterstate Light"/>
    <w:basedOn w:val="Heading1"/>
    <w:autoRedefine/>
    <w:rsid w:val="00CF2F39"/>
    <w:pPr>
      <w:keepNext/>
      <w:pageBreakBefore/>
      <w:numPr>
        <w:numId w:val="7"/>
      </w:numPr>
      <w:tabs>
        <w:tab w:val="left" w:pos="720"/>
      </w:tabs>
      <w:autoSpaceDE w:val="0"/>
      <w:autoSpaceDN w:val="0"/>
      <w:adjustRightInd w:val="0"/>
      <w:spacing w:before="0" w:beforeAutospacing="0" w:after="240" w:afterAutospacing="0" w:line="280" w:lineRule="atLeast"/>
    </w:pPr>
    <w:rPr>
      <w:rFonts w:asciiTheme="minorHAnsi" w:hAnsiTheme="minorHAnsi" w:cstheme="minorHAnsi"/>
      <w:color w:val="7F7F7F" w:themeColor="text1" w:themeTint="80"/>
      <w:kern w:val="0"/>
      <w:sz w:val="28"/>
      <w:szCs w:val="28"/>
      <w:lang w:bidi="ar-SA"/>
    </w:rPr>
  </w:style>
  <w:style w:type="paragraph" w:customStyle="1" w:styleId="bullets2">
    <w:name w:val="bullets 2"/>
    <w:rsid w:val="00604527"/>
    <w:pPr>
      <w:tabs>
        <w:tab w:val="num" w:pos="720"/>
        <w:tab w:val="num" w:pos="1080"/>
      </w:tabs>
      <w:spacing w:after="60" w:line="240" w:lineRule="auto"/>
      <w:ind w:left="1080" w:hanging="720"/>
    </w:pPr>
    <w:rPr>
      <w:rFonts w:ascii="Arial" w:eastAsia="Times New Roman" w:hAnsi="Arial" w:cs="Inter Light"/>
      <w:bCs/>
      <w:sz w:val="24"/>
      <w:szCs w:val="20"/>
      <w:lang w:bidi="ar-SA"/>
    </w:rPr>
  </w:style>
  <w:style w:type="paragraph" w:customStyle="1" w:styleId="bullettexteH1">
    <w:name w:val=". bullet texte H1"/>
    <w:basedOn w:val="Normal"/>
    <w:semiHidden/>
    <w:rsid w:val="00604527"/>
    <w:pPr>
      <w:keepNext/>
      <w:numPr>
        <w:ilvl w:val="1"/>
        <w:numId w:val="9"/>
      </w:numPr>
      <w:overflowPunct w:val="0"/>
      <w:autoSpaceDE w:val="0"/>
      <w:autoSpaceDN w:val="0"/>
      <w:adjustRightInd w:val="0"/>
      <w:spacing w:before="120" w:after="120" w:line="240" w:lineRule="auto"/>
      <w:jc w:val="both"/>
      <w:textAlignment w:val="baseline"/>
    </w:pPr>
    <w:rPr>
      <w:rFonts w:ascii="Arial" w:eastAsia="Times New Roman" w:hAnsi="Arial" w:cs="Inter Light"/>
      <w:b/>
      <w:bCs/>
      <w:i/>
      <w:iCs/>
      <w:sz w:val="20"/>
      <w:szCs w:val="20"/>
      <w:lang w:val="fr-FR" w:bidi="ar-SA"/>
    </w:rPr>
  </w:style>
  <w:style w:type="paragraph" w:customStyle="1" w:styleId="NumberedList">
    <w:name w:val="Numbered List"/>
    <w:rsid w:val="00E75EA5"/>
    <w:pPr>
      <w:tabs>
        <w:tab w:val="num" w:pos="720"/>
      </w:tabs>
      <w:spacing w:after="120" w:line="240" w:lineRule="auto"/>
      <w:ind w:left="720" w:hanging="720"/>
    </w:pPr>
    <w:rPr>
      <w:rFonts w:ascii="Arial" w:eastAsia="Times New Roman" w:hAnsi="Arial" w:cs="Inter Light"/>
      <w:sz w:val="24"/>
      <w:szCs w:val="20"/>
      <w:lang w:bidi="ar-SA"/>
    </w:rPr>
  </w:style>
  <w:style w:type="character" w:styleId="FollowedHyperlink">
    <w:name w:val="FollowedHyperlink"/>
    <w:basedOn w:val="DefaultParagraphFont"/>
    <w:uiPriority w:val="99"/>
    <w:semiHidden/>
    <w:unhideWhenUsed/>
    <w:rsid w:val="002F51AB"/>
    <w:rPr>
      <w:color w:val="954F72"/>
      <w:u w:val="single"/>
    </w:rPr>
  </w:style>
  <w:style w:type="paragraph" w:customStyle="1" w:styleId="msonormal0">
    <w:name w:val="msonormal"/>
    <w:basedOn w:val="Normal"/>
    <w:rsid w:val="002F51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ullets1">
    <w:name w:val="bullets 1"/>
    <w:basedOn w:val="Normal"/>
    <w:rsid w:val="005C6023"/>
    <w:pPr>
      <w:tabs>
        <w:tab w:val="num" w:pos="720"/>
        <w:tab w:val="left" w:pos="5040"/>
      </w:tabs>
      <w:spacing w:after="60" w:line="240" w:lineRule="atLeast"/>
      <w:ind w:left="720" w:hanging="720"/>
    </w:pPr>
    <w:rPr>
      <w:rFonts w:ascii="EYInterstate Light" w:eastAsia="Arial Unicode MS" w:hAnsi="EYInterstate Light" w:cs="Inter Light"/>
      <w:bCs/>
      <w:sz w:val="20"/>
      <w:szCs w:val="20"/>
      <w:lang w:bidi="ar-SA"/>
    </w:rPr>
  </w:style>
  <w:style w:type="character" w:styleId="CommentReference">
    <w:name w:val="annotation reference"/>
    <w:basedOn w:val="DefaultParagraphFont"/>
    <w:uiPriority w:val="99"/>
    <w:semiHidden/>
    <w:unhideWhenUsed/>
    <w:rsid w:val="007E227E"/>
    <w:rPr>
      <w:sz w:val="16"/>
      <w:szCs w:val="16"/>
    </w:rPr>
  </w:style>
  <w:style w:type="paragraph" w:styleId="CommentText">
    <w:name w:val="annotation text"/>
    <w:basedOn w:val="Normal"/>
    <w:link w:val="CommentTextChar"/>
    <w:uiPriority w:val="99"/>
    <w:unhideWhenUsed/>
    <w:rsid w:val="007E227E"/>
    <w:pPr>
      <w:spacing w:line="240" w:lineRule="auto"/>
    </w:pPr>
    <w:rPr>
      <w:sz w:val="20"/>
      <w:szCs w:val="20"/>
    </w:rPr>
  </w:style>
  <w:style w:type="character" w:customStyle="1" w:styleId="CommentTextChar">
    <w:name w:val="Comment Text Char"/>
    <w:basedOn w:val="DefaultParagraphFont"/>
    <w:link w:val="CommentText"/>
    <w:uiPriority w:val="99"/>
    <w:rsid w:val="007E227E"/>
    <w:rPr>
      <w:sz w:val="20"/>
      <w:szCs w:val="20"/>
    </w:rPr>
  </w:style>
  <w:style w:type="paragraph" w:styleId="CommentSubject">
    <w:name w:val="annotation subject"/>
    <w:basedOn w:val="CommentText"/>
    <w:next w:val="CommentText"/>
    <w:link w:val="CommentSubjectChar"/>
    <w:uiPriority w:val="99"/>
    <w:semiHidden/>
    <w:unhideWhenUsed/>
    <w:rsid w:val="007E227E"/>
    <w:rPr>
      <w:b/>
      <w:bCs/>
    </w:rPr>
  </w:style>
  <w:style w:type="character" w:customStyle="1" w:styleId="CommentSubjectChar">
    <w:name w:val="Comment Subject Char"/>
    <w:basedOn w:val="CommentTextChar"/>
    <w:link w:val="CommentSubject"/>
    <w:uiPriority w:val="99"/>
    <w:semiHidden/>
    <w:rsid w:val="007E227E"/>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xemVmkmgQXRPUwidVsuf5t+Rw==">CgMxLjA4AHIhMW0wdEhQZnNuZHBPREdLRlp4Q0VrR09obDM5dnItckZn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Eran Shif</dc:creator>
  <cp:lastModifiedBy>Eran Shif</cp:lastModifiedBy>
  <cp:revision>3</cp:revision>
  <dcterms:created xsi:type="dcterms:W3CDTF">2024-09-27T20:31:00Z</dcterms:created>
  <dcterms:modified xsi:type="dcterms:W3CDTF">2025-06-30T16:15:00Z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0x010100B2E36CFDD985D942A3FCB7D32B93D03C</vt:lpwstr>
  </property>
</Properties>
</file>