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F5BD" w14:textId="77777777" w:rsidR="00B5529F" w:rsidRDefault="00B5529F"/>
    <w:p w14:paraId="62A007BC" w14:textId="77777777" w:rsidR="00B5529F" w:rsidRDefault="00B5529F">
      <w:pPr>
        <w:spacing w:after="120" w:line="240" w:lineRule="auto"/>
        <w:jc w:val="center"/>
        <w:rPr>
          <w:b/>
          <w:color w:val="000000"/>
          <w:sz w:val="54"/>
          <w:szCs w:val="54"/>
        </w:rPr>
      </w:pPr>
    </w:p>
    <w:p w14:paraId="30559A5B" w14:textId="77777777" w:rsidR="00B5529F" w:rsidRDefault="00B5529F">
      <w:pPr>
        <w:spacing w:after="120" w:line="240" w:lineRule="auto"/>
        <w:jc w:val="center"/>
        <w:rPr>
          <w:b/>
          <w:color w:val="000000"/>
          <w:sz w:val="54"/>
          <w:szCs w:val="54"/>
        </w:rPr>
      </w:pPr>
    </w:p>
    <w:p w14:paraId="5F0F647B" w14:textId="77777777" w:rsidR="00B5529F" w:rsidRDefault="00B5529F">
      <w:pPr>
        <w:spacing w:after="120" w:line="240" w:lineRule="auto"/>
        <w:jc w:val="center"/>
        <w:rPr>
          <w:b/>
          <w:color w:val="000000"/>
          <w:sz w:val="40"/>
          <w:szCs w:val="40"/>
        </w:rPr>
      </w:pPr>
    </w:p>
    <w:p w14:paraId="6C8EB133" w14:textId="77777777" w:rsidR="00B5529F" w:rsidRDefault="00972E0B">
      <w:pPr>
        <w:spacing w:after="120" w:line="240" w:lineRule="auto"/>
        <w:jc w:val="center"/>
        <w:rPr>
          <w:b/>
          <w:color w:val="000000"/>
          <w:sz w:val="54"/>
          <w:szCs w:val="54"/>
        </w:rPr>
      </w:pPr>
      <w:r>
        <w:rPr>
          <w:b/>
          <w:color w:val="000000"/>
          <w:sz w:val="54"/>
          <w:szCs w:val="54"/>
        </w:rPr>
        <w:t>Local File Transfer Pricing</w:t>
      </w:r>
    </w:p>
    <w:p w14:paraId="3930EEA9" w14:textId="77777777" w:rsidR="00B5529F" w:rsidRDefault="00972E0B">
      <w:pPr>
        <w:spacing w:after="240" w:line="240" w:lineRule="auto"/>
        <w:jc w:val="center"/>
        <w:rPr>
          <w:b/>
          <w:color w:val="000000"/>
          <w:sz w:val="30"/>
          <w:szCs w:val="30"/>
        </w:rPr>
      </w:pPr>
      <w:r>
        <w:rPr>
          <w:b/>
          <w:color w:val="000000"/>
          <w:sz w:val="30"/>
          <w:szCs w:val="30"/>
        </w:rPr>
        <w:t>Fiscal Year &lt;FISCAL YEAR&gt;</w:t>
      </w:r>
    </w:p>
    <w:p w14:paraId="25408A0F" w14:textId="77777777" w:rsidR="00B5529F" w:rsidRDefault="00972E0B">
      <w:pPr>
        <w:spacing w:after="240" w:line="240" w:lineRule="auto"/>
        <w:jc w:val="center"/>
        <w:rPr>
          <w:color w:val="000000"/>
          <w:sz w:val="40"/>
          <w:szCs w:val="40"/>
        </w:rPr>
      </w:pPr>
      <w:r>
        <w:rPr>
          <w:color w:val="000000"/>
          <w:sz w:val="40"/>
          <w:szCs w:val="40"/>
        </w:rPr>
        <w:t>_________________________________</w:t>
      </w:r>
    </w:p>
    <w:p w14:paraId="37FD31EC" w14:textId="77777777" w:rsidR="00B5529F" w:rsidRDefault="00B5529F">
      <w:pPr>
        <w:spacing w:after="240" w:line="240" w:lineRule="auto"/>
        <w:rPr>
          <w:b/>
          <w:color w:val="000000"/>
          <w:sz w:val="40"/>
          <w:szCs w:val="40"/>
        </w:rPr>
      </w:pPr>
    </w:p>
    <w:p w14:paraId="077107B9" w14:textId="77777777" w:rsidR="00B5529F" w:rsidRDefault="00972E0B">
      <w:pPr>
        <w:spacing w:after="60" w:line="240" w:lineRule="auto"/>
        <w:jc w:val="center"/>
        <w:rPr>
          <w:sz w:val="34"/>
          <w:szCs w:val="34"/>
        </w:rPr>
      </w:pPr>
      <w:r>
        <w:rPr>
          <w:b/>
          <w:sz w:val="34"/>
          <w:szCs w:val="34"/>
        </w:rPr>
        <w:t>&lt;Service Recipient/Product owner/Licensor&gt;</w:t>
      </w:r>
    </w:p>
    <w:p w14:paraId="164207A5" w14:textId="77777777" w:rsidR="00B5529F" w:rsidRDefault="00972E0B">
      <w:pPr>
        <w:spacing w:after="288" w:line="240" w:lineRule="auto"/>
        <w:jc w:val="center"/>
        <w:rPr>
          <w:b/>
          <w:color w:val="000000"/>
          <w:sz w:val="34"/>
          <w:szCs w:val="34"/>
        </w:rPr>
      </w:pPr>
      <w:r>
        <w:rPr>
          <w:b/>
          <w:color w:val="000000"/>
          <w:sz w:val="34"/>
          <w:szCs w:val="34"/>
        </w:rPr>
        <w:t>&lt;Service Provider/Distributor/Licensee&gt;</w:t>
      </w:r>
    </w:p>
    <w:p w14:paraId="7E2C0AB2" w14:textId="77777777" w:rsidR="00B5529F" w:rsidRDefault="00972E0B">
      <w:pPr>
        <w:spacing w:after="288" w:line="240" w:lineRule="auto"/>
        <w:jc w:val="center"/>
        <w:rPr>
          <w:color w:val="000000"/>
          <w:sz w:val="28"/>
          <w:szCs w:val="28"/>
        </w:rPr>
      </w:pPr>
      <w:r>
        <w:rPr>
          <w:color w:val="000000"/>
          <w:sz w:val="28"/>
          <w:szCs w:val="28"/>
        </w:rPr>
        <w:t>&lt;TRANSACTION TYPE&gt;</w:t>
      </w:r>
    </w:p>
    <w:p w14:paraId="7AA352FC" w14:textId="77777777" w:rsidR="00B5529F" w:rsidRDefault="00B5529F">
      <w:pPr>
        <w:spacing w:after="240" w:line="240" w:lineRule="auto"/>
        <w:jc w:val="center"/>
        <w:rPr>
          <w:b/>
          <w:color w:val="000000"/>
          <w:sz w:val="40"/>
          <w:szCs w:val="40"/>
        </w:rPr>
      </w:pPr>
    </w:p>
    <w:p w14:paraId="66B3855B" w14:textId="77777777" w:rsidR="00B5529F" w:rsidRDefault="00B5529F">
      <w:pPr>
        <w:spacing w:after="240" w:line="240" w:lineRule="auto"/>
        <w:jc w:val="center"/>
        <w:rPr>
          <w:b/>
          <w:color w:val="000000"/>
          <w:sz w:val="40"/>
          <w:szCs w:val="40"/>
        </w:rPr>
      </w:pPr>
    </w:p>
    <w:p w14:paraId="100FDEFC" w14:textId="77777777" w:rsidR="00B5529F" w:rsidRDefault="00B5529F">
      <w:pPr>
        <w:spacing w:after="240" w:line="240" w:lineRule="auto"/>
        <w:ind w:left="7200"/>
        <w:jc w:val="right"/>
        <w:rPr>
          <w:sz w:val="40"/>
          <w:szCs w:val="40"/>
        </w:rPr>
      </w:pPr>
    </w:p>
    <w:p w14:paraId="4BEA24BD" w14:textId="77777777" w:rsidR="00B5529F" w:rsidRDefault="00972E0B">
      <w:pPr>
        <w:spacing w:after="240" w:line="240" w:lineRule="auto"/>
        <w:ind w:left="7200"/>
        <w:jc w:val="right"/>
        <w:rPr>
          <w:color w:val="000000"/>
          <w:sz w:val="40"/>
          <w:szCs w:val="40"/>
        </w:rPr>
      </w:pPr>
      <w:r>
        <w:rPr>
          <w:color w:val="000000"/>
          <w:sz w:val="40"/>
          <w:szCs w:val="40"/>
        </w:rPr>
        <w:t xml:space="preserve">            &lt;LOGO&gt;</w:t>
      </w:r>
    </w:p>
    <w:p w14:paraId="70905387" w14:textId="77777777" w:rsidR="00B5529F" w:rsidRDefault="00972E0B">
      <w:pPr>
        <w:spacing w:after="240" w:line="240" w:lineRule="auto"/>
        <w:jc w:val="right"/>
        <w:rPr>
          <w:b/>
          <w:color w:val="000000"/>
          <w:sz w:val="44"/>
          <w:szCs w:val="44"/>
        </w:rPr>
      </w:pPr>
      <w:r>
        <w:rPr>
          <w:color w:val="000000"/>
          <w:sz w:val="40"/>
          <w:szCs w:val="40"/>
        </w:rPr>
        <w:t>&lt;INCO LOGO&gt;</w:t>
      </w:r>
    </w:p>
    <w:p w14:paraId="6BE15F52" w14:textId="77777777" w:rsidR="00B5529F" w:rsidRDefault="00B5529F">
      <w:pPr>
        <w:jc w:val="right"/>
        <w:rPr>
          <w:b/>
          <w:color w:val="000000"/>
          <w:sz w:val="24"/>
          <w:szCs w:val="24"/>
        </w:rPr>
      </w:pPr>
    </w:p>
    <w:p w14:paraId="4012C19A" w14:textId="77777777" w:rsidR="00B5529F" w:rsidRDefault="00972E0B">
      <w:pPr>
        <w:jc w:val="center"/>
        <w:rPr>
          <w:b/>
          <w:color w:val="000000"/>
          <w:sz w:val="24"/>
          <w:szCs w:val="24"/>
        </w:rPr>
      </w:pPr>
      <w:r>
        <w:rPr>
          <w:b/>
          <w:color w:val="000000"/>
          <w:sz w:val="24"/>
          <w:szCs w:val="24"/>
        </w:rPr>
        <w:t xml:space="preserve">                       </w:t>
      </w:r>
      <w:r>
        <w:br w:type="page"/>
      </w:r>
    </w:p>
    <w:p w14:paraId="2A9A11AE" w14:textId="77777777" w:rsidR="00B5529F" w:rsidRDefault="00972E0B">
      <w:pPr>
        <w:numPr>
          <w:ilvl w:val="0"/>
          <w:numId w:val="3"/>
        </w:numPr>
        <w:spacing w:after="240" w:line="240" w:lineRule="auto"/>
        <w:ind w:left="1080"/>
        <w:rPr>
          <w:b/>
          <w:color w:val="7F7F7F"/>
          <w:sz w:val="28"/>
          <w:szCs w:val="28"/>
        </w:rPr>
      </w:pPr>
      <w:r>
        <w:rPr>
          <w:b/>
          <w:color w:val="7F7F7F"/>
          <w:sz w:val="28"/>
          <w:szCs w:val="28"/>
        </w:rPr>
        <w:lastRenderedPageBreak/>
        <w:t>Introduction</w:t>
      </w:r>
    </w:p>
    <w:p w14:paraId="73A506CA" w14:textId="3BCA4066" w:rsidR="00B5529F" w:rsidRDefault="003554AA">
      <w:pPr>
        <w:spacing w:after="120" w:line="360" w:lineRule="auto"/>
        <w:jc w:val="both"/>
        <w:rPr>
          <w:rFonts w:ascii="Times New Roman" w:eastAsia="Times New Roman" w:hAnsi="Times New Roman" w:cs="Times New Roman"/>
          <w:sz w:val="24"/>
          <w:szCs w:val="24"/>
        </w:rPr>
      </w:pPr>
      <w:r w:rsidRPr="003554AA">
        <w:rPr>
          <w:color w:val="000000"/>
          <w:sz w:val="20"/>
          <w:szCs w:val="20"/>
          <w:lang w:val="en-IN"/>
        </w:rPr>
        <w:t>&lt;Service Recipient/Product owner/Licensor&gt;</w:t>
      </w:r>
      <w:r>
        <w:rPr>
          <w:color w:val="000000"/>
          <w:sz w:val="20"/>
          <w:szCs w:val="20"/>
        </w:rPr>
        <w:t xml:space="preserve"> (the “</w:t>
      </w:r>
      <w:r>
        <w:rPr>
          <w:b/>
          <w:color w:val="000000"/>
          <w:sz w:val="20"/>
          <w:szCs w:val="20"/>
        </w:rPr>
        <w:t>Company</w:t>
      </w:r>
      <w:r>
        <w:rPr>
          <w:color w:val="000000"/>
          <w:sz w:val="20"/>
          <w:szCs w:val="20"/>
        </w:rPr>
        <w:t xml:space="preserve">” or </w:t>
      </w:r>
      <w:r>
        <w:rPr>
          <w:b/>
          <w:color w:val="000000"/>
          <w:sz w:val="20"/>
          <w:szCs w:val="20"/>
        </w:rPr>
        <w:t>“</w:t>
      </w:r>
      <w:r w:rsidR="00BC3DA7" w:rsidRPr="00BC3DA7">
        <w:rPr>
          <w:b/>
          <w:color w:val="000000"/>
          <w:sz w:val="20"/>
          <w:szCs w:val="20"/>
          <w:lang w:val="en-IN"/>
        </w:rPr>
        <w:t>&lt;Service Recipient /Product owner/Licensor ACRONYM&gt;</w:t>
      </w:r>
      <w:r>
        <w:rPr>
          <w:b/>
          <w:color w:val="000000"/>
          <w:sz w:val="20"/>
          <w:szCs w:val="20"/>
        </w:rPr>
        <w:t>”</w:t>
      </w:r>
      <w:r>
        <w:rPr>
          <w:color w:val="000000"/>
          <w:sz w:val="20"/>
          <w:szCs w:val="20"/>
        </w:rPr>
        <w:t xml:space="preserve">) has </w:t>
      </w:r>
      <w:r w:rsidR="00917627" w:rsidRPr="00917627">
        <w:rPr>
          <w:color w:val="000000"/>
          <w:sz w:val="20"/>
          <w:szCs w:val="20"/>
          <w:lang w:val="en-IN"/>
        </w:rPr>
        <w:t>&lt;ACCOUNTING FIRM&gt;</w:t>
      </w:r>
      <w:r>
        <w:rPr>
          <w:color w:val="000000"/>
          <w:sz w:val="20"/>
          <w:szCs w:val="20"/>
        </w:rPr>
        <w:t xml:space="preserve"> (“</w:t>
      </w:r>
      <w:r>
        <w:rPr>
          <w:b/>
          <w:color w:val="000000"/>
          <w:sz w:val="20"/>
          <w:szCs w:val="20"/>
        </w:rPr>
        <w:t>we</w:t>
      </w:r>
      <w:r>
        <w:rPr>
          <w:color w:val="000000"/>
          <w:sz w:val="20"/>
          <w:szCs w:val="20"/>
        </w:rPr>
        <w:t xml:space="preserve">”) to prepare a transfer pricing documentation with respect to the following Covered Transaction, for the fiscal year </w:t>
      </w:r>
      <w:r w:rsidR="00CD02C2" w:rsidRPr="00CD02C2">
        <w:rPr>
          <w:color w:val="000000"/>
          <w:sz w:val="20"/>
          <w:szCs w:val="20"/>
          <w:lang w:val="en-IN"/>
        </w:rPr>
        <w:t>&lt;FISCAL YEAR&gt;</w:t>
      </w:r>
      <w:r>
        <w:rPr>
          <w:color w:val="000000"/>
          <w:sz w:val="20"/>
          <w:szCs w:val="20"/>
        </w:rPr>
        <w:t xml:space="preserve"> (“</w:t>
      </w:r>
      <w:r>
        <w:rPr>
          <w:b/>
          <w:color w:val="000000"/>
          <w:sz w:val="20"/>
          <w:szCs w:val="20"/>
        </w:rPr>
        <w:t xml:space="preserve">FY </w:t>
      </w:r>
      <w:r w:rsidR="00CE6235" w:rsidRPr="00CE6235">
        <w:rPr>
          <w:b/>
          <w:color w:val="000000"/>
          <w:sz w:val="20"/>
          <w:szCs w:val="20"/>
          <w:lang w:val="en-IN"/>
        </w:rPr>
        <w:t>&lt;FISCAL YEAR&gt;</w:t>
      </w:r>
      <w:r>
        <w:rPr>
          <w:color w:val="000000"/>
          <w:sz w:val="20"/>
          <w:szCs w:val="20"/>
        </w:rPr>
        <w:t xml:space="preserve">”) between the Company located in </w:t>
      </w:r>
      <w:r w:rsidR="00D60B69" w:rsidRPr="00D60B69">
        <w:rPr>
          <w:color w:val="000000"/>
          <w:sz w:val="20"/>
          <w:szCs w:val="20"/>
          <w:lang w:val="en-IN"/>
        </w:rPr>
        <w:t>&lt;Service Recipient/Product owner/Licensor ADDRESS&gt;</w:t>
      </w:r>
      <w:r>
        <w:rPr>
          <w:color w:val="000000"/>
          <w:sz w:val="20"/>
          <w:szCs w:val="20"/>
        </w:rPr>
        <w:t xml:space="preserve">, </w:t>
      </w:r>
      <w:r w:rsidR="003E1172" w:rsidRPr="003E1172">
        <w:rPr>
          <w:color w:val="000000"/>
          <w:sz w:val="20"/>
          <w:szCs w:val="20"/>
          <w:lang w:val="en-IN"/>
        </w:rPr>
        <w:t>&lt;Service Recipient/Product owner/Licensor COUNTRY&gt;</w:t>
      </w:r>
      <w:r>
        <w:rPr>
          <w:color w:val="000000"/>
          <w:sz w:val="20"/>
          <w:szCs w:val="20"/>
        </w:rPr>
        <w:t>, and</w:t>
      </w:r>
      <w:r w:rsidR="00C5745D">
        <w:rPr>
          <w:color w:val="000000"/>
          <w:sz w:val="20"/>
          <w:szCs w:val="20"/>
        </w:rPr>
        <w:t xml:space="preserve"> </w:t>
      </w:r>
      <w:r w:rsidR="00DA4B5C" w:rsidRPr="00DA4B5C">
        <w:rPr>
          <w:color w:val="000000"/>
          <w:sz w:val="20"/>
          <w:szCs w:val="20"/>
          <w:lang w:val="en-IN"/>
        </w:rPr>
        <w:t>&lt;Service Provider/Distributor/Licensee&gt;</w:t>
      </w:r>
      <w:r>
        <w:rPr>
          <w:color w:val="000000"/>
          <w:sz w:val="20"/>
          <w:szCs w:val="20"/>
        </w:rPr>
        <w:t xml:space="preserve">, located in </w:t>
      </w:r>
      <w:r w:rsidR="003C7F1E" w:rsidRPr="003C7F1E">
        <w:rPr>
          <w:color w:val="000000"/>
          <w:sz w:val="20"/>
          <w:szCs w:val="20"/>
          <w:lang w:val="en-IN"/>
        </w:rPr>
        <w:t>&lt;Service Provider/Distributor/Licensee ADDRESS&gt;</w:t>
      </w:r>
      <w:r>
        <w:rPr>
          <w:color w:val="000000"/>
          <w:sz w:val="20"/>
          <w:szCs w:val="20"/>
        </w:rPr>
        <w:t xml:space="preserve">, </w:t>
      </w:r>
      <w:r w:rsidR="0070644D" w:rsidRPr="0070644D">
        <w:rPr>
          <w:color w:val="000000"/>
          <w:sz w:val="20"/>
          <w:szCs w:val="20"/>
          <w:lang w:val="en-IN"/>
        </w:rPr>
        <w:t>&lt;Service Provider/Distributor/Licensee COUNTRY&gt;</w:t>
      </w:r>
      <w:r>
        <w:rPr>
          <w:color w:val="000000"/>
          <w:sz w:val="20"/>
          <w:szCs w:val="20"/>
        </w:rPr>
        <w:t xml:space="preserve"> (</w:t>
      </w:r>
      <w:r>
        <w:rPr>
          <w:b/>
          <w:color w:val="000000"/>
          <w:sz w:val="20"/>
          <w:szCs w:val="20"/>
        </w:rPr>
        <w:t>“</w:t>
      </w:r>
      <w:r w:rsidR="006A35B1" w:rsidRPr="006A35B1">
        <w:rPr>
          <w:b/>
          <w:color w:val="000000"/>
          <w:sz w:val="20"/>
          <w:szCs w:val="20"/>
          <w:lang w:val="en-IN"/>
        </w:rPr>
        <w:t>&lt;Service Provider/Distributor/Licensee ACRONYM&gt;</w:t>
      </w:r>
      <w:r>
        <w:rPr>
          <w:b/>
          <w:color w:val="000000"/>
          <w:sz w:val="20"/>
          <w:szCs w:val="20"/>
        </w:rPr>
        <w:t xml:space="preserve">” </w:t>
      </w:r>
      <w:r>
        <w:rPr>
          <w:color w:val="000000"/>
          <w:sz w:val="20"/>
          <w:szCs w:val="20"/>
        </w:rPr>
        <w:t xml:space="preserve">and together with </w:t>
      </w:r>
      <w:r w:rsidR="002656E7" w:rsidRPr="002656E7">
        <w:rPr>
          <w:color w:val="000000"/>
          <w:sz w:val="20"/>
          <w:szCs w:val="20"/>
          <w:lang w:val="en-IN"/>
        </w:rPr>
        <w:t>&lt;Service Recipient /Product owner/Licensor ACRONYM&gt;</w:t>
      </w:r>
      <w:r>
        <w:rPr>
          <w:color w:val="000000"/>
          <w:sz w:val="20"/>
          <w:szCs w:val="20"/>
        </w:rPr>
        <w:t>, the “</w:t>
      </w:r>
      <w:r>
        <w:rPr>
          <w:b/>
          <w:color w:val="000000"/>
          <w:sz w:val="20"/>
          <w:szCs w:val="20"/>
        </w:rPr>
        <w:t>Group</w:t>
      </w:r>
      <w:r>
        <w:rPr>
          <w:color w:val="000000"/>
          <w:sz w:val="20"/>
          <w:szCs w:val="20"/>
        </w:rPr>
        <w:t>”). </w:t>
      </w:r>
    </w:p>
    <w:p w14:paraId="1D0277A2" w14:textId="0EC73CBA" w:rsidR="00B5529F" w:rsidRDefault="00972E0B">
      <w:pPr>
        <w:spacing w:after="0" w:line="360" w:lineRule="auto"/>
        <w:jc w:val="both"/>
        <w:rPr>
          <w:color w:val="000000"/>
          <w:sz w:val="20"/>
          <w:szCs w:val="20"/>
        </w:rPr>
      </w:pPr>
      <w:r>
        <w:rPr>
          <w:b/>
          <w:color w:val="000000"/>
          <w:sz w:val="20"/>
          <w:szCs w:val="20"/>
        </w:rPr>
        <w:t xml:space="preserve">Covered Transaction: </w:t>
      </w:r>
      <w:r w:rsidR="00F019F3" w:rsidRPr="007D0CAB">
        <w:rPr>
          <w:bCs/>
          <w:color w:val="000000"/>
          <w:sz w:val="20"/>
          <w:szCs w:val="20"/>
          <w:lang w:val="en-IN"/>
        </w:rPr>
        <w:t>&lt;TRANSACTION TYPE&gt;</w:t>
      </w:r>
      <w:r>
        <w:rPr>
          <w:color w:val="000000"/>
          <w:sz w:val="20"/>
          <w:szCs w:val="20"/>
        </w:rPr>
        <w:t>.</w:t>
      </w:r>
    </w:p>
    <w:p w14:paraId="02B44C42" w14:textId="6C600283" w:rsidR="00B5529F" w:rsidRDefault="00AD37D5">
      <w:pPr>
        <w:spacing w:after="0" w:line="360" w:lineRule="auto"/>
        <w:jc w:val="both"/>
        <w:rPr>
          <w:rFonts w:ascii="Times New Roman" w:eastAsia="Times New Roman" w:hAnsi="Times New Roman" w:cs="Times New Roman"/>
          <w:sz w:val="24"/>
          <w:szCs w:val="24"/>
        </w:rPr>
      </w:pPr>
      <w:r w:rsidRPr="00AD37D5">
        <w:rPr>
          <w:color w:val="000000"/>
          <w:sz w:val="20"/>
          <w:szCs w:val="20"/>
          <w:lang w:val="en-IN"/>
        </w:rPr>
        <w:t>&lt;TRANSACTION DESCRIPTION&gt;</w:t>
      </w:r>
      <w:r>
        <w:rPr>
          <w:color w:val="000000"/>
          <w:sz w:val="20"/>
          <w:szCs w:val="20"/>
        </w:rPr>
        <w:t xml:space="preserve"> </w:t>
      </w:r>
    </w:p>
    <w:p w14:paraId="59DE419D" w14:textId="77777777" w:rsidR="00B5529F" w:rsidRDefault="00B5529F">
      <w:pPr>
        <w:spacing w:after="120" w:line="360" w:lineRule="auto"/>
        <w:jc w:val="both"/>
        <w:rPr>
          <w:color w:val="000000"/>
          <w:sz w:val="20"/>
          <w:szCs w:val="20"/>
        </w:rPr>
      </w:pPr>
    </w:p>
    <w:p w14:paraId="3E88025F" w14:textId="2CF2D890"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This transfer pricing report (the “</w:t>
      </w:r>
      <w:r>
        <w:rPr>
          <w:b/>
          <w:color w:val="000000"/>
          <w:sz w:val="20"/>
          <w:szCs w:val="20"/>
        </w:rPr>
        <w:t>Report</w:t>
      </w:r>
      <w:r>
        <w:rPr>
          <w:color w:val="000000"/>
          <w:sz w:val="20"/>
          <w:szCs w:val="20"/>
        </w:rPr>
        <w:t xml:space="preserve">”) is drafted in accordance with the arm’s length principles as set forth in the </w:t>
      </w:r>
      <w:r w:rsidR="00ED1F66" w:rsidRPr="00ED1F66">
        <w:rPr>
          <w:color w:val="000000"/>
          <w:sz w:val="20"/>
          <w:szCs w:val="20"/>
          <w:lang w:val="en-IN"/>
        </w:rPr>
        <w:t>&lt;US REGULATIONS&gt;</w:t>
      </w:r>
      <w:r>
        <w:rPr>
          <w:color w:val="000000"/>
          <w:sz w:val="20"/>
          <w:szCs w:val="20"/>
        </w:rPr>
        <w:t xml:space="preserve"> OECD Transfer Pricing Guidelines for Multinational Enterprises and Tax Administrations (2022)’s Local File (“</w:t>
      </w:r>
      <w:r>
        <w:rPr>
          <w:b/>
          <w:color w:val="000000"/>
          <w:sz w:val="20"/>
          <w:szCs w:val="20"/>
        </w:rPr>
        <w:t>OECD Guidelines</w:t>
      </w:r>
      <w:r>
        <w:rPr>
          <w:color w:val="000000"/>
          <w:sz w:val="20"/>
          <w:szCs w:val="20"/>
        </w:rPr>
        <w:t>”). The Report is not a legal opinion and does not provide advice for any other federal, state, local</w:t>
      </w:r>
      <w:r>
        <w:rPr>
          <w:sz w:val="20"/>
          <w:szCs w:val="20"/>
        </w:rPr>
        <w:t>,</w:t>
      </w:r>
      <w:r>
        <w:rPr>
          <w:color w:val="000000"/>
          <w:sz w:val="20"/>
          <w:szCs w:val="20"/>
        </w:rPr>
        <w:t xml:space="preserve"> or foreign income, or non-income tax matters or any other legal, regulatory, accounting</w:t>
      </w:r>
      <w:r>
        <w:rPr>
          <w:sz w:val="20"/>
          <w:szCs w:val="20"/>
        </w:rPr>
        <w:t>,</w:t>
      </w:r>
      <w:r>
        <w:rPr>
          <w:color w:val="000000"/>
          <w:sz w:val="20"/>
          <w:szCs w:val="20"/>
        </w:rPr>
        <w:t xml:space="preserve"> or other non-tax matters. See the detailed scope of this Report in Appendix D. Any other intercompany transactions, should they exist, are not addressed in this Report. </w:t>
      </w:r>
    </w:p>
    <w:p w14:paraId="02CFDB4B" w14:textId="784FBF1A" w:rsidR="00B5529F" w:rsidRDefault="003900C7">
      <w:pPr>
        <w:spacing w:after="120" w:line="360" w:lineRule="auto"/>
        <w:jc w:val="both"/>
        <w:rPr>
          <w:rFonts w:ascii="Times New Roman" w:eastAsia="Times New Roman" w:hAnsi="Times New Roman" w:cs="Times New Roman"/>
          <w:sz w:val="24"/>
          <w:szCs w:val="24"/>
        </w:rPr>
      </w:pPr>
      <w:r w:rsidRPr="003900C7">
        <w:rPr>
          <w:color w:val="000000"/>
          <w:sz w:val="20"/>
          <w:szCs w:val="20"/>
          <w:lang w:val="en-IN"/>
        </w:rPr>
        <w:t>&lt;Service Recipient /Product owner/Licensor ACRONYM&gt;</w:t>
      </w:r>
      <w:r>
        <w:rPr>
          <w:color w:val="000000"/>
          <w:sz w:val="20"/>
          <w:szCs w:val="20"/>
        </w:rPr>
        <w:t xml:space="preserve"> confirms that the Covered Transaction is essential to its activity, and in the absence of </w:t>
      </w:r>
      <w:r w:rsidR="00D62702" w:rsidRPr="00D62702">
        <w:rPr>
          <w:color w:val="000000"/>
          <w:sz w:val="20"/>
          <w:szCs w:val="20"/>
          <w:lang w:val="en-IN"/>
        </w:rPr>
        <w:t>&lt;Service Provider/Distributor/Licensee ACRONYM&gt;</w:t>
      </w:r>
      <w:r>
        <w:rPr>
          <w:color w:val="000000"/>
          <w:sz w:val="20"/>
          <w:szCs w:val="20"/>
        </w:rPr>
        <w:t>, it would have contracted with an unrelated third party for this business activity. Thus, the Covered Transaction has a commercial purpose.</w:t>
      </w:r>
      <w:r>
        <w:rPr>
          <w:color w:val="000000"/>
          <w:sz w:val="20"/>
          <w:szCs w:val="20"/>
          <w:vertAlign w:val="superscript"/>
        </w:rPr>
        <w:footnoteReference w:id="1"/>
      </w:r>
    </w:p>
    <w:p w14:paraId="7B1C8B7B" w14:textId="77777777" w:rsidR="00B5529F" w:rsidRDefault="00B5529F">
      <w:pPr>
        <w:spacing w:after="0" w:line="240" w:lineRule="auto"/>
        <w:rPr>
          <w:rFonts w:ascii="Times New Roman" w:eastAsia="Times New Roman" w:hAnsi="Times New Roman" w:cs="Times New Roman"/>
          <w:sz w:val="24"/>
          <w:szCs w:val="24"/>
        </w:rPr>
      </w:pPr>
    </w:p>
    <w:p w14:paraId="111FF995" w14:textId="77777777" w:rsidR="00B5529F" w:rsidRDefault="00972E0B">
      <w:pPr>
        <w:rPr>
          <w:rFonts w:ascii="Times New Roman" w:eastAsia="Times New Roman" w:hAnsi="Times New Roman" w:cs="Times New Roman"/>
          <w:sz w:val="24"/>
          <w:szCs w:val="24"/>
        </w:rPr>
      </w:pPr>
      <w:r>
        <w:br w:type="page"/>
      </w:r>
    </w:p>
    <w:p w14:paraId="12B671F8" w14:textId="77777777" w:rsidR="00B5529F" w:rsidRDefault="00972E0B">
      <w:pPr>
        <w:numPr>
          <w:ilvl w:val="0"/>
          <w:numId w:val="3"/>
        </w:numPr>
        <w:spacing w:after="240" w:line="240" w:lineRule="auto"/>
        <w:ind w:left="1080"/>
        <w:rPr>
          <w:b/>
          <w:color w:val="7F7F7F"/>
          <w:sz w:val="28"/>
          <w:szCs w:val="28"/>
        </w:rPr>
      </w:pPr>
      <w:r>
        <w:rPr>
          <w:b/>
          <w:color w:val="7F7F7F"/>
          <w:sz w:val="28"/>
          <w:szCs w:val="28"/>
        </w:rPr>
        <w:lastRenderedPageBreak/>
        <w:t>Executive Summary</w:t>
      </w:r>
    </w:p>
    <w:p w14:paraId="7C3EEA57" w14:textId="71C2088F" w:rsidR="00B5529F" w:rsidRDefault="00972E0B">
      <w:pPr>
        <w:pBdr>
          <w:top w:val="nil"/>
          <w:left w:val="nil"/>
          <w:bottom w:val="nil"/>
          <w:right w:val="nil"/>
          <w:between w:val="nil"/>
        </w:pBdr>
        <w:tabs>
          <w:tab w:val="left" w:pos="0"/>
          <w:tab w:val="left" w:pos="720"/>
        </w:tabs>
        <w:spacing w:after="120" w:line="360" w:lineRule="auto"/>
        <w:jc w:val="both"/>
        <w:rPr>
          <w:color w:val="000000"/>
          <w:sz w:val="20"/>
          <w:szCs w:val="20"/>
        </w:rPr>
      </w:pPr>
      <w:r>
        <w:rPr>
          <w:color w:val="000000"/>
          <w:sz w:val="20"/>
          <w:szCs w:val="20"/>
        </w:rPr>
        <w:t xml:space="preserve">Based on the functional analysis as described further in this Report, with respect to the Covered Transaction, </w:t>
      </w:r>
      <w:r w:rsidR="001605CB" w:rsidRPr="001605CB">
        <w:rPr>
          <w:color w:val="000000"/>
          <w:sz w:val="20"/>
          <w:szCs w:val="20"/>
          <w:lang w:val="en-IN"/>
        </w:rPr>
        <w:t>&lt;Service Recipient /Product owner/Licensor ACRONYM&gt;</w:t>
      </w:r>
      <w:r>
        <w:rPr>
          <w:color w:val="000000"/>
          <w:sz w:val="20"/>
          <w:szCs w:val="20"/>
        </w:rPr>
        <w:t xml:space="preserve"> is characterized as the principal company, responsible for most of the vital functions, bears more risks associated with Covered Transaction and owns the intellectual properties (“</w:t>
      </w:r>
      <w:r>
        <w:rPr>
          <w:b/>
          <w:color w:val="000000"/>
          <w:sz w:val="20"/>
          <w:szCs w:val="20"/>
        </w:rPr>
        <w:t>IP</w:t>
      </w:r>
      <w:r>
        <w:rPr>
          <w:color w:val="000000"/>
          <w:sz w:val="20"/>
          <w:szCs w:val="20"/>
        </w:rPr>
        <w:t xml:space="preserve">”), while </w:t>
      </w:r>
      <w:r w:rsidR="00596520" w:rsidRPr="00596520">
        <w:rPr>
          <w:color w:val="000000"/>
          <w:sz w:val="20"/>
          <w:szCs w:val="20"/>
          <w:lang w:val="en-IN"/>
        </w:rPr>
        <w:t>&lt;Service Provider/Distributor/Licensee ACRONYM&gt;</w:t>
      </w:r>
      <w:r>
        <w:rPr>
          <w:color w:val="000000"/>
          <w:sz w:val="20"/>
          <w:szCs w:val="20"/>
        </w:rPr>
        <w:t xml:space="preserve"> has limited functions, bears limited risk and does not own significant intangible assets, associated with the Covered Transaction, and as such is characterized as a</w:t>
      </w:r>
      <w:r>
        <w:rPr>
          <w:sz w:val="20"/>
          <w:szCs w:val="20"/>
        </w:rPr>
        <w:t xml:space="preserve"> low-risk distributor.</w:t>
      </w:r>
      <w:r>
        <w:rPr>
          <w:color w:val="000000"/>
          <w:sz w:val="20"/>
          <w:szCs w:val="20"/>
        </w:rPr>
        <w:t xml:space="preserve"> </w:t>
      </w:r>
    </w:p>
    <w:p w14:paraId="14B1151A" w14:textId="5275DA4D" w:rsidR="00B5529F" w:rsidRDefault="00972E0B">
      <w:pPr>
        <w:pBdr>
          <w:top w:val="nil"/>
          <w:left w:val="nil"/>
          <w:bottom w:val="nil"/>
          <w:right w:val="nil"/>
          <w:between w:val="nil"/>
        </w:pBdr>
        <w:tabs>
          <w:tab w:val="left" w:pos="0"/>
          <w:tab w:val="left" w:pos="720"/>
        </w:tabs>
        <w:spacing w:after="120" w:line="360" w:lineRule="auto"/>
        <w:jc w:val="both"/>
        <w:rPr>
          <w:color w:val="000000"/>
          <w:sz w:val="20"/>
          <w:szCs w:val="20"/>
        </w:rPr>
      </w:pPr>
      <w:r>
        <w:rPr>
          <w:color w:val="000000"/>
          <w:sz w:val="20"/>
          <w:szCs w:val="20"/>
        </w:rPr>
        <w:t xml:space="preserve">For determining the arm’s length price of the Covered Transaction, </w:t>
      </w:r>
      <w:r w:rsidR="00E348FD" w:rsidRPr="00E348FD">
        <w:rPr>
          <w:color w:val="000000"/>
          <w:sz w:val="20"/>
          <w:szCs w:val="20"/>
          <w:lang w:val="en-IN"/>
        </w:rPr>
        <w:t>&lt;Service Provider/Distributor/Licensee ACRONYM&gt;</w:t>
      </w:r>
      <w:r>
        <w:rPr>
          <w:color w:val="000000"/>
          <w:sz w:val="20"/>
          <w:szCs w:val="20"/>
        </w:rPr>
        <w:t xml:space="preserve"> was selected as the tested party since it is viewed as the less complex entity, as it bears less risks, performs routine functions and does not use significant non-routine IP associated with the Covered Transaction. Further, we applied the Comparable Profit Method (“</w:t>
      </w:r>
      <w:r>
        <w:rPr>
          <w:b/>
          <w:color w:val="000000"/>
          <w:sz w:val="20"/>
          <w:szCs w:val="20"/>
        </w:rPr>
        <w:t>CPM</w:t>
      </w:r>
      <w:r>
        <w:rPr>
          <w:color w:val="000000"/>
          <w:sz w:val="20"/>
          <w:szCs w:val="20"/>
        </w:rPr>
        <w:t>”)</w:t>
      </w:r>
      <w:r>
        <w:rPr>
          <w:color w:val="000000"/>
          <w:sz w:val="20"/>
          <w:szCs w:val="20"/>
          <w:vertAlign w:val="superscript"/>
        </w:rPr>
        <w:footnoteReference w:id="2"/>
      </w:r>
      <w:r>
        <w:rPr>
          <w:color w:val="000000"/>
          <w:sz w:val="20"/>
          <w:szCs w:val="20"/>
        </w:rPr>
        <w:t xml:space="preserve"> / Transactional Net Margin Method (“</w:t>
      </w:r>
      <w:r>
        <w:rPr>
          <w:b/>
          <w:color w:val="000000"/>
          <w:sz w:val="20"/>
          <w:szCs w:val="20"/>
        </w:rPr>
        <w:t>TNMM</w:t>
      </w:r>
      <w:r>
        <w:rPr>
          <w:color w:val="000000"/>
          <w:sz w:val="20"/>
          <w:szCs w:val="20"/>
        </w:rPr>
        <w:t>”)</w:t>
      </w:r>
      <w:r>
        <w:rPr>
          <w:color w:val="000000"/>
          <w:sz w:val="20"/>
          <w:szCs w:val="20"/>
          <w:vertAlign w:val="superscript"/>
        </w:rPr>
        <w:footnoteReference w:id="3"/>
      </w:r>
      <w:r>
        <w:rPr>
          <w:color w:val="000000"/>
          <w:sz w:val="20"/>
          <w:szCs w:val="20"/>
        </w:rPr>
        <w:t xml:space="preserve"> and used </w:t>
      </w:r>
      <w:r>
        <w:rPr>
          <w:sz w:val="20"/>
          <w:szCs w:val="20"/>
        </w:rPr>
        <w:t>the Operating Profit Margin (“</w:t>
      </w:r>
      <w:r>
        <w:rPr>
          <w:b/>
          <w:sz w:val="20"/>
          <w:szCs w:val="20"/>
        </w:rPr>
        <w:t>OPM</w:t>
      </w:r>
      <w:r>
        <w:rPr>
          <w:sz w:val="20"/>
          <w:szCs w:val="20"/>
        </w:rPr>
        <w:t>”)</w:t>
      </w:r>
      <w:r>
        <w:rPr>
          <w:color w:val="000000"/>
          <w:sz w:val="20"/>
          <w:szCs w:val="20"/>
          <w:vertAlign w:val="superscript"/>
        </w:rPr>
        <w:footnoteReference w:id="4"/>
      </w:r>
      <w:r>
        <w:rPr>
          <w:color w:val="000000"/>
          <w:sz w:val="20"/>
          <w:szCs w:val="20"/>
        </w:rPr>
        <w:t xml:space="preserve"> as the Profit Level Indicator (“</w:t>
      </w:r>
      <w:r>
        <w:rPr>
          <w:b/>
          <w:color w:val="000000"/>
          <w:sz w:val="20"/>
          <w:szCs w:val="20"/>
        </w:rPr>
        <w:t>PLI</w:t>
      </w:r>
      <w:r>
        <w:rPr>
          <w:color w:val="000000"/>
          <w:sz w:val="20"/>
          <w:szCs w:val="20"/>
        </w:rPr>
        <w:t>”) for th</w:t>
      </w:r>
      <w:r>
        <w:rPr>
          <w:sz w:val="20"/>
          <w:szCs w:val="20"/>
        </w:rPr>
        <w:t>e</w:t>
      </w:r>
      <w:r>
        <w:rPr>
          <w:color w:val="000000"/>
          <w:sz w:val="20"/>
          <w:szCs w:val="20"/>
        </w:rPr>
        <w:t xml:space="preserve"> Covered Transaction. </w:t>
      </w:r>
    </w:p>
    <w:p w14:paraId="5A0C760B" w14:textId="77777777" w:rsidR="00C07E7F" w:rsidRDefault="00C07E7F" w:rsidP="00C07E7F">
      <w:pPr>
        <w:spacing w:after="120" w:line="240" w:lineRule="auto"/>
        <w:jc w:val="both"/>
        <w:rPr>
          <w:b/>
          <w:color w:val="000000"/>
          <w:sz w:val="20"/>
          <w:szCs w:val="20"/>
          <w:u w:val="single"/>
        </w:rPr>
      </w:pPr>
      <w:r w:rsidRPr="00C61F7D">
        <w:rPr>
          <w:b/>
          <w:color w:val="000000"/>
          <w:sz w:val="20"/>
          <w:szCs w:val="20"/>
          <w:u w:val="single"/>
          <w:lang w:val="en-IN"/>
        </w:rPr>
        <w:t>&lt;Service Provider/Distributor/Licensee ACRONYM&gt;</w:t>
      </w:r>
      <w:r>
        <w:rPr>
          <w:b/>
          <w:color w:val="000000"/>
          <w:sz w:val="20"/>
          <w:szCs w:val="20"/>
          <w:u w:val="single"/>
        </w:rPr>
        <w:t>’s Covered Transaction’s financial results</w:t>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C07E7F" w14:paraId="15D5A7E5" w14:textId="77777777" w:rsidTr="006B7F74">
        <w:tc>
          <w:tcPr>
            <w:tcW w:w="1870" w:type="dxa"/>
            <w:shd w:val="clear" w:color="auto" w:fill="4A86E8"/>
          </w:tcPr>
          <w:p w14:paraId="2B195A04" w14:textId="77777777" w:rsidR="00C07E7F" w:rsidRDefault="00C07E7F" w:rsidP="006B7F74">
            <w:pPr>
              <w:spacing w:after="120"/>
              <w:jc w:val="both"/>
              <w:rPr>
                <w:color w:val="FFFFFF"/>
                <w:sz w:val="20"/>
                <w:szCs w:val="20"/>
              </w:rPr>
            </w:pPr>
            <w:r>
              <w:rPr>
                <w:color w:val="FFFFFF"/>
                <w:sz w:val="20"/>
                <w:szCs w:val="20"/>
              </w:rPr>
              <w:t>&lt;CURRENCY&gt;</w:t>
            </w:r>
          </w:p>
        </w:tc>
        <w:tc>
          <w:tcPr>
            <w:tcW w:w="1870" w:type="dxa"/>
            <w:shd w:val="clear" w:color="auto" w:fill="4A86E8"/>
          </w:tcPr>
          <w:p w14:paraId="069F1303" w14:textId="77777777" w:rsidR="00C07E7F" w:rsidRDefault="00C07E7F" w:rsidP="006B7F74">
            <w:pPr>
              <w:spacing w:after="120"/>
              <w:jc w:val="center"/>
              <w:rPr>
                <w:b/>
                <w:color w:val="FFFFFF"/>
                <w:sz w:val="20"/>
                <w:szCs w:val="20"/>
              </w:rPr>
            </w:pPr>
            <w:r>
              <w:rPr>
                <w:b/>
                <w:color w:val="FFFFFF"/>
                <w:sz w:val="20"/>
                <w:szCs w:val="20"/>
              </w:rPr>
              <w:t>&lt;FISCAL YEAR-2&gt;</w:t>
            </w:r>
          </w:p>
        </w:tc>
        <w:tc>
          <w:tcPr>
            <w:tcW w:w="1870" w:type="dxa"/>
            <w:shd w:val="clear" w:color="auto" w:fill="4A86E8"/>
          </w:tcPr>
          <w:p w14:paraId="1FA91F7A" w14:textId="77777777" w:rsidR="00C07E7F" w:rsidRDefault="00C07E7F" w:rsidP="006B7F74">
            <w:pPr>
              <w:spacing w:after="120"/>
              <w:jc w:val="center"/>
              <w:rPr>
                <w:b/>
                <w:color w:val="FFFFFF"/>
                <w:sz w:val="20"/>
                <w:szCs w:val="20"/>
              </w:rPr>
            </w:pPr>
            <w:r>
              <w:rPr>
                <w:b/>
                <w:color w:val="FFFFFF"/>
                <w:sz w:val="20"/>
                <w:szCs w:val="20"/>
              </w:rPr>
              <w:t>&lt;FISCAL YEAR-1&gt;</w:t>
            </w:r>
          </w:p>
        </w:tc>
        <w:tc>
          <w:tcPr>
            <w:tcW w:w="1870" w:type="dxa"/>
            <w:shd w:val="clear" w:color="auto" w:fill="4A86E8"/>
          </w:tcPr>
          <w:p w14:paraId="36294671" w14:textId="77777777" w:rsidR="00C07E7F" w:rsidRDefault="00C07E7F" w:rsidP="006B7F74">
            <w:pPr>
              <w:spacing w:after="120"/>
              <w:jc w:val="center"/>
              <w:rPr>
                <w:b/>
                <w:color w:val="FFFFFF"/>
                <w:sz w:val="20"/>
                <w:szCs w:val="20"/>
              </w:rPr>
            </w:pPr>
            <w:r>
              <w:rPr>
                <w:b/>
                <w:color w:val="FFFFFF"/>
                <w:sz w:val="20"/>
                <w:szCs w:val="20"/>
              </w:rPr>
              <w:t>&lt;FISCAL YEAR&gt;</w:t>
            </w:r>
          </w:p>
        </w:tc>
        <w:tc>
          <w:tcPr>
            <w:tcW w:w="1870" w:type="dxa"/>
            <w:shd w:val="clear" w:color="auto" w:fill="4A86E8"/>
          </w:tcPr>
          <w:p w14:paraId="68801C96" w14:textId="77777777" w:rsidR="00C07E7F" w:rsidRDefault="00C07E7F" w:rsidP="006B7F74">
            <w:pPr>
              <w:spacing w:after="120"/>
              <w:jc w:val="center"/>
              <w:rPr>
                <w:b/>
                <w:color w:val="FFFFFF"/>
                <w:sz w:val="20"/>
                <w:szCs w:val="20"/>
              </w:rPr>
            </w:pPr>
            <w:r>
              <w:rPr>
                <w:b/>
                <w:color w:val="FFFFFF"/>
                <w:sz w:val="20"/>
                <w:szCs w:val="20"/>
              </w:rPr>
              <w:t>Total</w:t>
            </w:r>
          </w:p>
        </w:tc>
      </w:tr>
      <w:tr w:rsidR="00C07E7F" w14:paraId="08E6F21A" w14:textId="77777777" w:rsidTr="006B7F74">
        <w:tc>
          <w:tcPr>
            <w:tcW w:w="1870" w:type="dxa"/>
          </w:tcPr>
          <w:p w14:paraId="4096CA44" w14:textId="77777777" w:rsidR="00C07E7F" w:rsidRDefault="00C07E7F" w:rsidP="006B7F74">
            <w:pPr>
              <w:spacing w:after="120"/>
              <w:jc w:val="both"/>
              <w:rPr>
                <w:color w:val="000000"/>
                <w:sz w:val="20"/>
                <w:szCs w:val="20"/>
              </w:rPr>
            </w:pPr>
            <w:r>
              <w:rPr>
                <w:color w:val="000000"/>
                <w:sz w:val="20"/>
                <w:szCs w:val="20"/>
              </w:rPr>
              <w:t>Revenues</w:t>
            </w:r>
          </w:p>
        </w:tc>
        <w:tc>
          <w:tcPr>
            <w:tcW w:w="1870" w:type="dxa"/>
          </w:tcPr>
          <w:p w14:paraId="73DA76E1" w14:textId="77777777" w:rsidR="00C07E7F" w:rsidRDefault="00C07E7F" w:rsidP="006B7F74">
            <w:pPr>
              <w:spacing w:after="120"/>
              <w:jc w:val="right"/>
              <w:rPr>
                <w:color w:val="000000"/>
                <w:sz w:val="20"/>
                <w:szCs w:val="20"/>
              </w:rPr>
            </w:pPr>
            <w:r>
              <w:rPr>
                <w:color w:val="000000"/>
                <w:sz w:val="20"/>
                <w:szCs w:val="20"/>
              </w:rPr>
              <w:t>&lt;SALES FY-2&gt;</w:t>
            </w:r>
          </w:p>
        </w:tc>
        <w:tc>
          <w:tcPr>
            <w:tcW w:w="1870" w:type="dxa"/>
          </w:tcPr>
          <w:p w14:paraId="1F0F9053" w14:textId="77777777" w:rsidR="00C07E7F" w:rsidRDefault="00C07E7F" w:rsidP="006B7F74">
            <w:pPr>
              <w:spacing w:after="120"/>
              <w:jc w:val="right"/>
              <w:rPr>
                <w:color w:val="000000"/>
                <w:sz w:val="20"/>
                <w:szCs w:val="20"/>
              </w:rPr>
            </w:pPr>
            <w:r>
              <w:rPr>
                <w:color w:val="000000"/>
                <w:sz w:val="20"/>
                <w:szCs w:val="20"/>
              </w:rPr>
              <w:t>&lt;SALES FY-1&gt;</w:t>
            </w:r>
          </w:p>
        </w:tc>
        <w:tc>
          <w:tcPr>
            <w:tcW w:w="1870" w:type="dxa"/>
          </w:tcPr>
          <w:p w14:paraId="332079EC" w14:textId="77777777" w:rsidR="00C07E7F" w:rsidRDefault="00C07E7F" w:rsidP="006B7F74">
            <w:pPr>
              <w:spacing w:after="120"/>
              <w:jc w:val="right"/>
              <w:rPr>
                <w:color w:val="000000"/>
                <w:sz w:val="20"/>
                <w:szCs w:val="20"/>
              </w:rPr>
            </w:pPr>
            <w:r>
              <w:rPr>
                <w:color w:val="000000"/>
                <w:sz w:val="20"/>
                <w:szCs w:val="20"/>
              </w:rPr>
              <w:t>&lt;SALES FY&gt;</w:t>
            </w:r>
          </w:p>
        </w:tc>
        <w:tc>
          <w:tcPr>
            <w:tcW w:w="1870" w:type="dxa"/>
          </w:tcPr>
          <w:p w14:paraId="7FF22E4B" w14:textId="77777777" w:rsidR="00C07E7F" w:rsidRDefault="00C07E7F" w:rsidP="006B7F74">
            <w:pPr>
              <w:spacing w:after="120"/>
              <w:jc w:val="right"/>
              <w:rPr>
                <w:color w:val="000000"/>
                <w:sz w:val="20"/>
                <w:szCs w:val="20"/>
              </w:rPr>
            </w:pPr>
            <w:r>
              <w:rPr>
                <w:color w:val="000000"/>
                <w:sz w:val="20"/>
                <w:szCs w:val="20"/>
              </w:rPr>
              <w:t>&lt;SALES TOTAL&gt;</w:t>
            </w:r>
          </w:p>
        </w:tc>
      </w:tr>
      <w:tr w:rsidR="00C07E7F" w14:paraId="5E24687E" w14:textId="77777777" w:rsidTr="006B7F74">
        <w:tc>
          <w:tcPr>
            <w:tcW w:w="1870" w:type="dxa"/>
          </w:tcPr>
          <w:p w14:paraId="1EE296DB" w14:textId="77777777" w:rsidR="00C07E7F" w:rsidRDefault="00C07E7F" w:rsidP="006B7F74">
            <w:pPr>
              <w:spacing w:after="120"/>
              <w:jc w:val="both"/>
              <w:rPr>
                <w:color w:val="000000"/>
                <w:sz w:val="20"/>
                <w:szCs w:val="20"/>
              </w:rPr>
            </w:pPr>
            <w:r>
              <w:rPr>
                <w:color w:val="000000"/>
                <w:sz w:val="20"/>
                <w:szCs w:val="20"/>
              </w:rPr>
              <w:t>Cost</w:t>
            </w:r>
          </w:p>
        </w:tc>
        <w:tc>
          <w:tcPr>
            <w:tcW w:w="1870" w:type="dxa"/>
          </w:tcPr>
          <w:p w14:paraId="75C20701" w14:textId="77777777" w:rsidR="00C07E7F" w:rsidRDefault="00C07E7F" w:rsidP="006B7F74">
            <w:pPr>
              <w:spacing w:after="120"/>
              <w:jc w:val="right"/>
              <w:rPr>
                <w:color w:val="000000"/>
                <w:sz w:val="20"/>
                <w:szCs w:val="20"/>
              </w:rPr>
            </w:pPr>
            <w:r>
              <w:rPr>
                <w:color w:val="000000"/>
                <w:sz w:val="20"/>
                <w:szCs w:val="20"/>
              </w:rPr>
              <w:t>&lt;COST FY-2&gt;</w:t>
            </w:r>
          </w:p>
        </w:tc>
        <w:tc>
          <w:tcPr>
            <w:tcW w:w="1870" w:type="dxa"/>
          </w:tcPr>
          <w:p w14:paraId="2F939B17" w14:textId="77777777" w:rsidR="00C07E7F" w:rsidRDefault="00C07E7F" w:rsidP="006B7F74">
            <w:pPr>
              <w:spacing w:after="120"/>
              <w:jc w:val="right"/>
              <w:rPr>
                <w:color w:val="000000"/>
                <w:sz w:val="20"/>
                <w:szCs w:val="20"/>
              </w:rPr>
            </w:pPr>
            <w:r>
              <w:rPr>
                <w:color w:val="000000"/>
                <w:sz w:val="20"/>
                <w:szCs w:val="20"/>
              </w:rPr>
              <w:t>&lt;COST FY-1&gt;</w:t>
            </w:r>
          </w:p>
        </w:tc>
        <w:tc>
          <w:tcPr>
            <w:tcW w:w="1870" w:type="dxa"/>
          </w:tcPr>
          <w:p w14:paraId="4CB18038" w14:textId="77777777" w:rsidR="00C07E7F" w:rsidRDefault="00C07E7F" w:rsidP="006B7F74">
            <w:pPr>
              <w:spacing w:after="120"/>
              <w:jc w:val="right"/>
              <w:rPr>
                <w:color w:val="000000"/>
                <w:sz w:val="20"/>
                <w:szCs w:val="20"/>
              </w:rPr>
            </w:pPr>
            <w:r>
              <w:rPr>
                <w:color w:val="000000"/>
                <w:sz w:val="20"/>
                <w:szCs w:val="20"/>
              </w:rPr>
              <w:t>&lt;COST FY&gt;</w:t>
            </w:r>
          </w:p>
        </w:tc>
        <w:tc>
          <w:tcPr>
            <w:tcW w:w="1870" w:type="dxa"/>
          </w:tcPr>
          <w:p w14:paraId="5090CD64" w14:textId="77777777" w:rsidR="00C07E7F" w:rsidRDefault="00C07E7F" w:rsidP="006B7F74">
            <w:pPr>
              <w:spacing w:after="120"/>
              <w:jc w:val="right"/>
              <w:rPr>
                <w:color w:val="000000"/>
                <w:sz w:val="20"/>
                <w:szCs w:val="20"/>
              </w:rPr>
            </w:pPr>
            <w:r>
              <w:rPr>
                <w:color w:val="000000"/>
                <w:sz w:val="20"/>
                <w:szCs w:val="20"/>
              </w:rPr>
              <w:t>&lt;COST TOTAL&gt;</w:t>
            </w:r>
          </w:p>
        </w:tc>
      </w:tr>
      <w:tr w:rsidR="00C07E7F" w14:paraId="446E67A7" w14:textId="77777777" w:rsidTr="006B7F74">
        <w:tc>
          <w:tcPr>
            <w:tcW w:w="1870" w:type="dxa"/>
          </w:tcPr>
          <w:p w14:paraId="35C98A95" w14:textId="77777777" w:rsidR="00C07E7F" w:rsidRDefault="00C07E7F" w:rsidP="006B7F74">
            <w:pPr>
              <w:spacing w:after="120"/>
              <w:jc w:val="both"/>
              <w:rPr>
                <w:color w:val="000000"/>
                <w:sz w:val="20"/>
                <w:szCs w:val="20"/>
              </w:rPr>
            </w:pPr>
            <w:r>
              <w:rPr>
                <w:color w:val="000000"/>
                <w:sz w:val="20"/>
                <w:szCs w:val="20"/>
              </w:rPr>
              <w:t>Operating Profit</w:t>
            </w:r>
          </w:p>
        </w:tc>
        <w:tc>
          <w:tcPr>
            <w:tcW w:w="1870" w:type="dxa"/>
          </w:tcPr>
          <w:p w14:paraId="0FD643AF" w14:textId="77777777" w:rsidR="00C07E7F" w:rsidRDefault="00C07E7F" w:rsidP="006B7F74">
            <w:pPr>
              <w:spacing w:after="120"/>
              <w:jc w:val="right"/>
              <w:rPr>
                <w:color w:val="000000"/>
                <w:sz w:val="20"/>
                <w:szCs w:val="20"/>
              </w:rPr>
            </w:pPr>
            <w:r>
              <w:rPr>
                <w:color w:val="000000"/>
                <w:sz w:val="20"/>
                <w:szCs w:val="20"/>
              </w:rPr>
              <w:t>&lt;PROFIT FY-2&gt;</w:t>
            </w:r>
          </w:p>
        </w:tc>
        <w:tc>
          <w:tcPr>
            <w:tcW w:w="1870" w:type="dxa"/>
          </w:tcPr>
          <w:p w14:paraId="29EF43FA" w14:textId="77777777" w:rsidR="00C07E7F" w:rsidRDefault="00C07E7F" w:rsidP="006B7F74">
            <w:pPr>
              <w:spacing w:after="120"/>
              <w:jc w:val="right"/>
              <w:rPr>
                <w:color w:val="000000"/>
                <w:sz w:val="20"/>
                <w:szCs w:val="20"/>
              </w:rPr>
            </w:pPr>
            <w:r>
              <w:rPr>
                <w:color w:val="000000"/>
                <w:sz w:val="20"/>
                <w:szCs w:val="20"/>
              </w:rPr>
              <w:t>&lt;PROFIT FY-1&gt;</w:t>
            </w:r>
          </w:p>
        </w:tc>
        <w:tc>
          <w:tcPr>
            <w:tcW w:w="1870" w:type="dxa"/>
          </w:tcPr>
          <w:p w14:paraId="5B0F9886" w14:textId="77777777" w:rsidR="00C07E7F" w:rsidRDefault="00C07E7F" w:rsidP="006B7F74">
            <w:pPr>
              <w:spacing w:after="120"/>
              <w:jc w:val="right"/>
              <w:rPr>
                <w:color w:val="000000"/>
                <w:sz w:val="20"/>
                <w:szCs w:val="20"/>
              </w:rPr>
            </w:pPr>
            <w:r>
              <w:rPr>
                <w:color w:val="000000"/>
                <w:sz w:val="20"/>
                <w:szCs w:val="20"/>
              </w:rPr>
              <w:t>&lt;PROFIT FY&gt;</w:t>
            </w:r>
          </w:p>
        </w:tc>
        <w:tc>
          <w:tcPr>
            <w:tcW w:w="1870" w:type="dxa"/>
          </w:tcPr>
          <w:p w14:paraId="005B2A32" w14:textId="77777777" w:rsidR="00C07E7F" w:rsidRDefault="00C07E7F" w:rsidP="006B7F74">
            <w:pPr>
              <w:spacing w:after="120"/>
              <w:jc w:val="right"/>
              <w:rPr>
                <w:color w:val="000000"/>
                <w:sz w:val="20"/>
                <w:szCs w:val="20"/>
              </w:rPr>
            </w:pPr>
            <w:r>
              <w:rPr>
                <w:color w:val="000000"/>
                <w:sz w:val="20"/>
                <w:szCs w:val="20"/>
              </w:rPr>
              <w:t>&lt;PROFIT TOTAL&gt;</w:t>
            </w:r>
          </w:p>
        </w:tc>
      </w:tr>
      <w:tr w:rsidR="00C07E7F" w14:paraId="686F0165" w14:textId="77777777" w:rsidTr="006B7F74">
        <w:tc>
          <w:tcPr>
            <w:tcW w:w="1870" w:type="dxa"/>
          </w:tcPr>
          <w:p w14:paraId="5A8B40F1" w14:textId="64326653" w:rsidR="00C07E7F" w:rsidRDefault="00CB473B" w:rsidP="006B7F74">
            <w:pPr>
              <w:spacing w:after="120"/>
              <w:jc w:val="both"/>
              <w:rPr>
                <w:color w:val="000000"/>
                <w:sz w:val="20"/>
                <w:szCs w:val="20"/>
              </w:rPr>
            </w:pPr>
            <w:r>
              <w:rPr>
                <w:color w:val="000000"/>
                <w:sz w:val="20"/>
                <w:szCs w:val="20"/>
              </w:rPr>
              <w:t>OPM</w:t>
            </w:r>
            <w:r w:rsidR="00C07E7F">
              <w:rPr>
                <w:color w:val="000000"/>
                <w:sz w:val="20"/>
                <w:szCs w:val="20"/>
              </w:rPr>
              <w:t xml:space="preserve"> %</w:t>
            </w:r>
          </w:p>
        </w:tc>
        <w:tc>
          <w:tcPr>
            <w:tcW w:w="1870" w:type="dxa"/>
          </w:tcPr>
          <w:p w14:paraId="2B474C85" w14:textId="77777777" w:rsidR="00C07E7F" w:rsidRDefault="00C07E7F" w:rsidP="006B7F74">
            <w:pPr>
              <w:spacing w:after="120"/>
              <w:jc w:val="right"/>
              <w:rPr>
                <w:color w:val="000000"/>
                <w:sz w:val="20"/>
                <w:szCs w:val="20"/>
              </w:rPr>
            </w:pPr>
            <w:r>
              <w:rPr>
                <w:color w:val="000000"/>
                <w:sz w:val="20"/>
                <w:szCs w:val="20"/>
              </w:rPr>
              <w:t>=&lt;PROFIT FY-2&gt;/&lt;COST FY-2&gt;x100 %</w:t>
            </w:r>
          </w:p>
        </w:tc>
        <w:tc>
          <w:tcPr>
            <w:tcW w:w="1870" w:type="dxa"/>
          </w:tcPr>
          <w:p w14:paraId="694F6487" w14:textId="77777777" w:rsidR="00C07E7F" w:rsidRDefault="00C07E7F" w:rsidP="006B7F74">
            <w:pPr>
              <w:spacing w:after="120"/>
              <w:jc w:val="right"/>
              <w:rPr>
                <w:color w:val="000000"/>
                <w:sz w:val="20"/>
                <w:szCs w:val="20"/>
              </w:rPr>
            </w:pPr>
            <w:r>
              <w:rPr>
                <w:color w:val="000000"/>
                <w:sz w:val="20"/>
                <w:szCs w:val="20"/>
              </w:rPr>
              <w:t>=&lt;PROFIT FY-1&gt;/&lt;COST FY-1&gt;x100%</w:t>
            </w:r>
          </w:p>
        </w:tc>
        <w:tc>
          <w:tcPr>
            <w:tcW w:w="1870" w:type="dxa"/>
          </w:tcPr>
          <w:p w14:paraId="25D0838F" w14:textId="77777777" w:rsidR="00C07E7F" w:rsidRDefault="00C07E7F" w:rsidP="006B7F74">
            <w:pPr>
              <w:spacing w:after="120"/>
              <w:jc w:val="right"/>
              <w:rPr>
                <w:color w:val="000000"/>
                <w:sz w:val="20"/>
                <w:szCs w:val="20"/>
              </w:rPr>
            </w:pPr>
            <w:r>
              <w:rPr>
                <w:color w:val="000000"/>
                <w:sz w:val="20"/>
                <w:szCs w:val="20"/>
              </w:rPr>
              <w:t>=&lt;PROFIT FY&gt;/&lt;COST FY&gt;x100%</w:t>
            </w:r>
          </w:p>
        </w:tc>
        <w:tc>
          <w:tcPr>
            <w:tcW w:w="1870" w:type="dxa"/>
          </w:tcPr>
          <w:p w14:paraId="4B53C9BC" w14:textId="77777777" w:rsidR="00C07E7F" w:rsidRDefault="00C07E7F" w:rsidP="006B7F74">
            <w:pPr>
              <w:spacing w:after="120"/>
              <w:jc w:val="right"/>
              <w:rPr>
                <w:color w:val="000000"/>
                <w:sz w:val="20"/>
                <w:szCs w:val="20"/>
              </w:rPr>
            </w:pPr>
            <w:r>
              <w:rPr>
                <w:color w:val="000000"/>
                <w:sz w:val="20"/>
                <w:szCs w:val="20"/>
              </w:rPr>
              <w:t>=&lt;PROFIT TOTAL&gt;/&lt;COST TOTAL&gt;x100%</w:t>
            </w:r>
          </w:p>
        </w:tc>
      </w:tr>
    </w:tbl>
    <w:p w14:paraId="05956034" w14:textId="77777777" w:rsidR="00C07E7F" w:rsidRDefault="00C07E7F" w:rsidP="00C07E7F">
      <w:pPr>
        <w:spacing w:after="120" w:line="240" w:lineRule="auto"/>
        <w:jc w:val="both"/>
        <w:rPr>
          <w:b/>
          <w:color w:val="000000"/>
          <w:sz w:val="20"/>
          <w:szCs w:val="20"/>
          <w:u w:val="single"/>
        </w:rPr>
      </w:pPr>
    </w:p>
    <w:p w14:paraId="4BCD3FF3" w14:textId="7C8C66F9" w:rsidR="00B5529F" w:rsidRDefault="00972E0B">
      <w:pPr>
        <w:spacing w:before="120" w:after="120" w:line="360" w:lineRule="auto"/>
        <w:jc w:val="both"/>
        <w:rPr>
          <w:color w:val="000000"/>
          <w:sz w:val="20"/>
          <w:szCs w:val="20"/>
        </w:rPr>
      </w:pPr>
      <w:r>
        <w:rPr>
          <w:sz w:val="20"/>
          <w:szCs w:val="20"/>
        </w:rPr>
        <w:t>The interquartile range of three-year weighted average OPM is between &lt;LOWER&gt;% and &lt;UPPER&gt;% with a median of &lt;MEDIAN&gt;%.</w:t>
      </w:r>
      <w:r>
        <w:rPr>
          <w:color w:val="000000"/>
          <w:sz w:val="20"/>
          <w:szCs w:val="20"/>
        </w:rPr>
        <w:t xml:space="preserve"> </w:t>
      </w:r>
      <w:r>
        <w:rPr>
          <w:sz w:val="20"/>
          <w:szCs w:val="20"/>
        </w:rPr>
        <w:t>In FY &lt;FISCAL YEAR&gt;, the Covered Transaction amount was</w:t>
      </w:r>
      <w:r w:rsidR="005A6C9D">
        <w:rPr>
          <w:sz w:val="20"/>
          <w:szCs w:val="20"/>
        </w:rPr>
        <w:t xml:space="preserve"> </w:t>
      </w:r>
      <w:r w:rsidR="00DD48BA" w:rsidRPr="00DD48BA">
        <w:rPr>
          <w:sz w:val="20"/>
          <w:szCs w:val="20"/>
          <w:lang w:val="en-IN"/>
        </w:rPr>
        <w:t>&lt;CURRENCY&gt;</w:t>
      </w:r>
      <w:r w:rsidR="00E31C9D">
        <w:rPr>
          <w:sz w:val="20"/>
          <w:szCs w:val="20"/>
          <w:lang w:val="en-IN"/>
        </w:rPr>
        <w:t xml:space="preserve"> </w:t>
      </w:r>
      <w:r w:rsidR="00D9541D">
        <w:rPr>
          <w:sz w:val="20"/>
          <w:szCs w:val="20"/>
        </w:rPr>
        <w:t>&lt;TRANSACTION AMOUNT&gt;</w:t>
      </w:r>
      <w:r>
        <w:rPr>
          <w:sz w:val="20"/>
          <w:szCs w:val="20"/>
        </w:rPr>
        <w:t xml:space="preserve"> resulting in an OPM in FY &lt;FISCAL YEAR&gt; / weighted average within the above interquartile range.</w:t>
      </w:r>
      <w:r>
        <w:rPr>
          <w:b/>
          <w:sz w:val="20"/>
          <w:szCs w:val="20"/>
        </w:rPr>
        <w:t xml:space="preserve"> </w:t>
      </w:r>
      <w:r>
        <w:rPr>
          <w:color w:val="000000"/>
          <w:sz w:val="20"/>
          <w:szCs w:val="20"/>
        </w:rPr>
        <w:t>Therefore, the Covered Transaction for FY &lt;FISCAL YEAR&gt; is likely in accordance with the arm’s-length principles as outlined in the US R</w:t>
      </w:r>
      <w:r>
        <w:rPr>
          <w:sz w:val="20"/>
          <w:szCs w:val="20"/>
        </w:rPr>
        <w:t xml:space="preserve">egulations and the </w:t>
      </w:r>
      <w:r>
        <w:rPr>
          <w:color w:val="000000"/>
          <w:sz w:val="20"/>
          <w:szCs w:val="20"/>
        </w:rPr>
        <w:t>OECD Guidelines.</w:t>
      </w:r>
    </w:p>
    <w:p w14:paraId="1C1B34D5" w14:textId="77777777" w:rsidR="00B5529F" w:rsidRDefault="00972E0B">
      <w:pPr>
        <w:rPr>
          <w:rFonts w:ascii="Times New Roman" w:eastAsia="Times New Roman" w:hAnsi="Times New Roman" w:cs="Times New Roman"/>
          <w:sz w:val="24"/>
          <w:szCs w:val="24"/>
        </w:rPr>
      </w:pPr>
      <w:r>
        <w:br w:type="page"/>
      </w:r>
    </w:p>
    <w:p w14:paraId="5AC683E7" w14:textId="77777777" w:rsidR="00B5529F" w:rsidRDefault="00972E0B">
      <w:pPr>
        <w:numPr>
          <w:ilvl w:val="0"/>
          <w:numId w:val="3"/>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Company Overview</w:t>
      </w:r>
    </w:p>
    <w:p w14:paraId="1A8BC44C" w14:textId="7FFF5DE3" w:rsidR="00B5529F" w:rsidRDefault="008A07E3">
      <w:pPr>
        <w:pBdr>
          <w:top w:val="nil"/>
          <w:left w:val="nil"/>
          <w:bottom w:val="nil"/>
          <w:right w:val="nil"/>
          <w:between w:val="nil"/>
        </w:pBdr>
        <w:tabs>
          <w:tab w:val="left" w:pos="0"/>
          <w:tab w:val="left" w:pos="720"/>
        </w:tabs>
        <w:spacing w:after="240" w:line="360" w:lineRule="auto"/>
        <w:jc w:val="both"/>
        <w:rPr>
          <w:color w:val="000000"/>
          <w:sz w:val="20"/>
          <w:szCs w:val="20"/>
        </w:rPr>
      </w:pPr>
      <w:r w:rsidRPr="008A07E3">
        <w:rPr>
          <w:color w:val="000000"/>
          <w:sz w:val="20"/>
          <w:szCs w:val="20"/>
          <w:lang w:val="en-IN"/>
        </w:rPr>
        <w:t>&lt;GROUP DESCRIPTION&gt;</w:t>
      </w:r>
    </w:p>
    <w:p w14:paraId="7EF644B6" w14:textId="77777777" w:rsidR="00B5529F" w:rsidRDefault="00972E0B">
      <w:pPr>
        <w:spacing w:before="240" w:after="120" w:line="240" w:lineRule="auto"/>
        <w:jc w:val="both"/>
        <w:rPr>
          <w:b/>
          <w:color w:val="000000"/>
          <w:sz w:val="20"/>
          <w:szCs w:val="20"/>
        </w:rPr>
      </w:pPr>
      <w:r>
        <w:rPr>
          <w:b/>
          <w:color w:val="000000"/>
          <w:sz w:val="20"/>
          <w:szCs w:val="20"/>
        </w:rPr>
        <w:t xml:space="preserve">Industry and Key </w:t>
      </w:r>
      <w:r>
        <w:rPr>
          <w:b/>
          <w:sz w:val="20"/>
          <w:szCs w:val="20"/>
        </w:rPr>
        <w:t>C</w:t>
      </w:r>
      <w:r>
        <w:rPr>
          <w:b/>
          <w:color w:val="000000"/>
          <w:sz w:val="20"/>
          <w:szCs w:val="20"/>
        </w:rPr>
        <w:t>ompetitors </w:t>
      </w:r>
    </w:p>
    <w:p w14:paraId="48B707A8" w14:textId="0C8B1807" w:rsidR="00B5529F" w:rsidRDefault="00F0563F">
      <w:pPr>
        <w:pBdr>
          <w:top w:val="nil"/>
          <w:left w:val="nil"/>
          <w:bottom w:val="nil"/>
          <w:right w:val="nil"/>
          <w:between w:val="nil"/>
        </w:pBdr>
        <w:tabs>
          <w:tab w:val="left" w:pos="0"/>
          <w:tab w:val="left" w:pos="720"/>
        </w:tabs>
        <w:spacing w:after="0" w:line="360" w:lineRule="auto"/>
        <w:jc w:val="both"/>
        <w:rPr>
          <w:color w:val="000000"/>
          <w:sz w:val="20"/>
          <w:szCs w:val="20"/>
        </w:rPr>
      </w:pPr>
      <w:r w:rsidRPr="00F0563F">
        <w:rPr>
          <w:color w:val="000000"/>
          <w:sz w:val="20"/>
          <w:szCs w:val="20"/>
          <w:lang w:val="en-IN"/>
        </w:rPr>
        <w:t>&lt;INDUSTRY STRATEGY&gt;</w:t>
      </w:r>
      <w:r>
        <w:rPr>
          <w:color w:val="000000"/>
          <w:sz w:val="20"/>
          <w:szCs w:val="20"/>
        </w:rPr>
        <w:t xml:space="preserve"> </w:t>
      </w:r>
    </w:p>
    <w:p w14:paraId="30AD9684" w14:textId="3A2B2E79" w:rsidR="00B5529F" w:rsidRDefault="00972E0B">
      <w:pPr>
        <w:pBdr>
          <w:top w:val="nil"/>
          <w:left w:val="nil"/>
          <w:bottom w:val="nil"/>
          <w:right w:val="nil"/>
          <w:between w:val="nil"/>
        </w:pBdr>
        <w:tabs>
          <w:tab w:val="left" w:pos="0"/>
          <w:tab w:val="left" w:pos="720"/>
        </w:tabs>
        <w:spacing w:after="0" w:line="360" w:lineRule="auto"/>
        <w:jc w:val="both"/>
        <w:rPr>
          <w:color w:val="000000"/>
          <w:sz w:val="20"/>
          <w:szCs w:val="20"/>
        </w:rPr>
      </w:pPr>
      <w:r>
        <w:rPr>
          <w:color w:val="000000"/>
          <w:sz w:val="20"/>
          <w:szCs w:val="20"/>
        </w:rPr>
        <w:t xml:space="preserve">The Group’s main competitors include </w:t>
      </w:r>
      <w:r w:rsidR="00485DE0" w:rsidRPr="00485DE0">
        <w:rPr>
          <w:color w:val="000000"/>
          <w:sz w:val="20"/>
          <w:szCs w:val="20"/>
          <w:lang w:val="en-IN"/>
        </w:rPr>
        <w:t>&lt;KEY COMPETITORS&gt;</w:t>
      </w:r>
      <w:r>
        <w:rPr>
          <w:color w:val="000000"/>
          <w:sz w:val="20"/>
          <w:szCs w:val="20"/>
        </w:rPr>
        <w:t>.</w:t>
      </w:r>
    </w:p>
    <w:p w14:paraId="0E7421AB" w14:textId="77777777" w:rsidR="00B5529F" w:rsidRDefault="00972E0B">
      <w:pPr>
        <w:spacing w:before="240" w:after="120" w:line="240" w:lineRule="auto"/>
        <w:jc w:val="both"/>
        <w:rPr>
          <w:b/>
          <w:color w:val="000000"/>
          <w:sz w:val="20"/>
          <w:szCs w:val="20"/>
        </w:rPr>
      </w:pPr>
      <w:r>
        <w:rPr>
          <w:b/>
          <w:color w:val="000000"/>
          <w:sz w:val="20"/>
          <w:szCs w:val="20"/>
        </w:rPr>
        <w:t xml:space="preserve">Restructuring </w:t>
      </w:r>
    </w:p>
    <w:p w14:paraId="183C5D30" w14:textId="5E8AB2AF" w:rsidR="00B5529F" w:rsidRDefault="004C1A98">
      <w:pPr>
        <w:pBdr>
          <w:top w:val="nil"/>
          <w:left w:val="nil"/>
          <w:bottom w:val="nil"/>
          <w:right w:val="nil"/>
          <w:between w:val="nil"/>
        </w:pBdr>
        <w:tabs>
          <w:tab w:val="left" w:pos="0"/>
          <w:tab w:val="left" w:pos="720"/>
        </w:tabs>
        <w:spacing w:after="240" w:line="360" w:lineRule="auto"/>
        <w:jc w:val="both"/>
        <w:rPr>
          <w:color w:val="000000"/>
          <w:sz w:val="20"/>
          <w:szCs w:val="20"/>
        </w:rPr>
      </w:pPr>
      <w:r w:rsidRPr="004C1A98">
        <w:rPr>
          <w:color w:val="000000"/>
          <w:sz w:val="20"/>
          <w:szCs w:val="20"/>
          <w:lang w:val="en-IN"/>
        </w:rPr>
        <w:t>&lt;RESTRUCTURING&gt;</w:t>
      </w:r>
    </w:p>
    <w:p w14:paraId="5ECFB987" w14:textId="77777777" w:rsidR="00B5529F" w:rsidRDefault="00972E0B">
      <w:pPr>
        <w:spacing w:after="120" w:line="240" w:lineRule="auto"/>
        <w:jc w:val="both"/>
        <w:rPr>
          <w:rFonts w:ascii="Times New Roman" w:eastAsia="Times New Roman" w:hAnsi="Times New Roman" w:cs="Times New Roman"/>
          <w:sz w:val="24"/>
          <w:szCs w:val="24"/>
        </w:rPr>
      </w:pPr>
      <w:r>
        <w:rPr>
          <w:b/>
          <w:sz w:val="20"/>
          <w:szCs w:val="20"/>
        </w:rPr>
        <w:t>H</w:t>
      </w:r>
      <w:r>
        <w:rPr>
          <w:b/>
          <w:color w:val="000000"/>
          <w:sz w:val="20"/>
          <w:szCs w:val="20"/>
        </w:rPr>
        <w:t xml:space="preserve">olding </w:t>
      </w:r>
      <w:r>
        <w:rPr>
          <w:b/>
          <w:sz w:val="20"/>
          <w:szCs w:val="20"/>
        </w:rPr>
        <w:t>S</w:t>
      </w:r>
      <w:r>
        <w:rPr>
          <w:b/>
          <w:color w:val="000000"/>
          <w:sz w:val="20"/>
          <w:szCs w:val="20"/>
        </w:rPr>
        <w:t>tructure</w:t>
      </w:r>
    </w:p>
    <w:p w14:paraId="620D47A2" w14:textId="77777777" w:rsidR="00B5529F" w:rsidRDefault="00972E0B">
      <w:pPr>
        <w:spacing w:after="240" w:line="240" w:lineRule="auto"/>
        <w:rPr>
          <w:color w:val="000000"/>
          <w:sz w:val="20"/>
          <w:szCs w:val="20"/>
        </w:rPr>
      </w:pPr>
      <w:r>
        <w:rPr>
          <w:color w:val="000000"/>
          <w:sz w:val="20"/>
          <w:szCs w:val="20"/>
        </w:rPr>
        <w:t>The figure below depicts the entities involved in the Covered Transaction and their legal structure.</w:t>
      </w:r>
    </w:p>
    <w:p w14:paraId="3281F8A8" w14:textId="345CD3C3" w:rsidR="00B5529F" w:rsidRDefault="00BD5D7D">
      <w:pPr>
        <w:spacing w:after="240" w:line="240" w:lineRule="auto"/>
        <w:rPr>
          <w:color w:val="000000"/>
        </w:rPr>
      </w:pPr>
      <w:r>
        <w:rPr>
          <w:color w:val="000000"/>
        </w:rPr>
        <w:t>&lt;HOLDING STRUCTURE&gt;</w:t>
      </w:r>
    </w:p>
    <w:p w14:paraId="3F2D009A" w14:textId="7E5374D1" w:rsidR="00B5529F" w:rsidRDefault="0010133A">
      <w:pPr>
        <w:spacing w:after="120" w:line="240" w:lineRule="auto"/>
        <w:jc w:val="both"/>
        <w:rPr>
          <w:rFonts w:ascii="Times New Roman" w:eastAsia="Times New Roman" w:hAnsi="Times New Roman" w:cs="Times New Roman"/>
          <w:b/>
          <w:sz w:val="24"/>
          <w:szCs w:val="24"/>
        </w:rPr>
      </w:pPr>
      <w:r w:rsidRPr="0010133A">
        <w:rPr>
          <w:b/>
          <w:color w:val="000000"/>
          <w:sz w:val="20"/>
          <w:szCs w:val="20"/>
          <w:lang w:val="en-IN"/>
        </w:rPr>
        <w:t>&lt;Service Recipient /Product owner/Licensor ACRONYM&gt;</w:t>
      </w:r>
      <w:r>
        <w:rPr>
          <w:b/>
          <w:color w:val="000000"/>
          <w:sz w:val="20"/>
          <w:szCs w:val="20"/>
        </w:rPr>
        <w:t xml:space="preserve"> </w:t>
      </w:r>
    </w:p>
    <w:p w14:paraId="3C7CD6EF" w14:textId="7CC91322" w:rsidR="00B5529F" w:rsidRDefault="00CD0E97">
      <w:pPr>
        <w:pBdr>
          <w:top w:val="nil"/>
          <w:left w:val="nil"/>
          <w:bottom w:val="nil"/>
          <w:right w:val="nil"/>
          <w:between w:val="nil"/>
        </w:pBdr>
        <w:tabs>
          <w:tab w:val="left" w:pos="0"/>
          <w:tab w:val="left" w:pos="720"/>
        </w:tabs>
        <w:spacing w:after="240" w:line="360" w:lineRule="auto"/>
        <w:jc w:val="both"/>
        <w:rPr>
          <w:color w:val="000000"/>
          <w:sz w:val="20"/>
          <w:szCs w:val="20"/>
        </w:rPr>
      </w:pPr>
      <w:r w:rsidRPr="00CD0E97">
        <w:rPr>
          <w:color w:val="000000"/>
          <w:sz w:val="20"/>
          <w:szCs w:val="20"/>
          <w:lang w:val="en-IN"/>
        </w:rPr>
        <w:t>&lt;Service Recipient /Product owner/Licensor ACRONYM&gt;</w:t>
      </w:r>
      <w:r>
        <w:rPr>
          <w:color w:val="000000"/>
          <w:sz w:val="20"/>
          <w:szCs w:val="20"/>
        </w:rPr>
        <w:t xml:space="preserve"> </w:t>
      </w:r>
      <w:proofErr w:type="gramStart"/>
      <w:r>
        <w:rPr>
          <w:color w:val="000000"/>
          <w:sz w:val="20"/>
          <w:szCs w:val="20"/>
        </w:rPr>
        <w:t>is located in</w:t>
      </w:r>
      <w:proofErr w:type="gramEnd"/>
      <w:r>
        <w:rPr>
          <w:color w:val="000000"/>
          <w:sz w:val="20"/>
          <w:szCs w:val="20"/>
        </w:rPr>
        <w:t xml:space="preserve"> </w:t>
      </w:r>
      <w:r w:rsidR="00D10C17" w:rsidRPr="00D10C17">
        <w:rPr>
          <w:color w:val="000000"/>
          <w:sz w:val="20"/>
          <w:szCs w:val="20"/>
          <w:lang w:val="en-IN"/>
        </w:rPr>
        <w:t>&lt;Service Recipient/Product owner/Licensor ADDRESS&gt;</w:t>
      </w:r>
      <w:r>
        <w:rPr>
          <w:color w:val="000000"/>
          <w:sz w:val="20"/>
          <w:szCs w:val="20"/>
        </w:rPr>
        <w:t xml:space="preserve">, </w:t>
      </w:r>
      <w:r w:rsidR="00BA312B" w:rsidRPr="00BA312B">
        <w:rPr>
          <w:color w:val="000000"/>
          <w:sz w:val="20"/>
          <w:szCs w:val="20"/>
          <w:lang w:val="en-IN"/>
        </w:rPr>
        <w:t>&lt;Service Recipient/Product owner/Licensor COUNTRY&gt;</w:t>
      </w:r>
      <w:r>
        <w:rPr>
          <w:color w:val="000000"/>
          <w:sz w:val="20"/>
          <w:szCs w:val="20"/>
        </w:rPr>
        <w:t xml:space="preserve"> and was incorporated on </w:t>
      </w:r>
      <w:r w:rsidR="005E0011" w:rsidRPr="005E0011">
        <w:rPr>
          <w:color w:val="000000"/>
          <w:sz w:val="20"/>
          <w:szCs w:val="20"/>
          <w:lang w:val="en-IN"/>
        </w:rPr>
        <w:t>&lt;Service Recipient /Product owner/Licensor INCORPORATION&gt;</w:t>
      </w:r>
      <w:r>
        <w:rPr>
          <w:color w:val="000000"/>
          <w:sz w:val="20"/>
          <w:szCs w:val="20"/>
        </w:rPr>
        <w:t>.</w:t>
      </w:r>
      <w:r w:rsidR="003231B0">
        <w:rPr>
          <w:color w:val="000000"/>
          <w:sz w:val="20"/>
          <w:szCs w:val="20"/>
        </w:rPr>
        <w:t xml:space="preserve"> </w:t>
      </w:r>
      <w:r w:rsidR="00D928BA" w:rsidRPr="00D928BA">
        <w:rPr>
          <w:color w:val="000000"/>
          <w:sz w:val="20"/>
          <w:szCs w:val="20"/>
          <w:lang w:val="en-IN"/>
        </w:rPr>
        <w:t>&lt;Service Recipient /Product owner/Licensor ACRONYM&gt;</w:t>
      </w:r>
      <w:r>
        <w:rPr>
          <w:color w:val="000000"/>
          <w:sz w:val="20"/>
          <w:szCs w:val="20"/>
        </w:rPr>
        <w:t xml:space="preserve"> operates in </w:t>
      </w:r>
      <w:r w:rsidR="008E455A" w:rsidRPr="008E455A">
        <w:rPr>
          <w:color w:val="000000"/>
          <w:sz w:val="20"/>
          <w:szCs w:val="20"/>
          <w:lang w:val="en-IN"/>
        </w:rPr>
        <w:t>&lt;Service Recipient/Product owner/Licensor MARKETS&gt;</w:t>
      </w:r>
      <w:r>
        <w:rPr>
          <w:color w:val="000000"/>
          <w:sz w:val="20"/>
          <w:szCs w:val="20"/>
        </w:rPr>
        <w:t xml:space="preserve">, with teams responsible for </w:t>
      </w:r>
      <w:r w:rsidR="00AE5E2E" w:rsidRPr="00AE5E2E">
        <w:rPr>
          <w:color w:val="000000"/>
          <w:sz w:val="20"/>
          <w:szCs w:val="20"/>
          <w:lang w:val="en-IN"/>
        </w:rPr>
        <w:t>&lt;Service Recipient/Product owner/Licensor TEAMS&gt;</w:t>
      </w:r>
      <w:r>
        <w:rPr>
          <w:color w:val="000000"/>
          <w:sz w:val="20"/>
          <w:szCs w:val="20"/>
        </w:rPr>
        <w:t xml:space="preserve">. The Company had </w:t>
      </w:r>
      <w:r w:rsidR="004B7412" w:rsidRPr="004B7412">
        <w:rPr>
          <w:color w:val="000000"/>
          <w:sz w:val="20"/>
          <w:szCs w:val="20"/>
          <w:lang w:val="en-IN"/>
        </w:rPr>
        <w:t>&lt;Service Recipient /Product owner/Licensor EMPLOYEES&gt;</w:t>
      </w:r>
      <w:r>
        <w:rPr>
          <w:color w:val="000000"/>
          <w:sz w:val="20"/>
          <w:szCs w:val="20"/>
        </w:rPr>
        <w:t xml:space="preserve"> employees as of the end of FY &lt;FISCAL YEAR&gt;.  </w:t>
      </w:r>
    </w:p>
    <w:p w14:paraId="1C4E5123" w14:textId="573BB491" w:rsidR="00B5529F" w:rsidRPr="00600D15" w:rsidRDefault="009E3BFC">
      <w:pPr>
        <w:spacing w:after="120" w:line="240" w:lineRule="auto"/>
        <w:jc w:val="both"/>
        <w:rPr>
          <w:rFonts w:asciiTheme="minorHAnsi" w:eastAsia="Times New Roman" w:hAnsiTheme="minorHAnsi" w:cstheme="minorHAnsi"/>
          <w:b/>
          <w:bCs/>
          <w:sz w:val="20"/>
          <w:szCs w:val="20"/>
        </w:rPr>
      </w:pPr>
      <w:r w:rsidRPr="00600D15">
        <w:rPr>
          <w:rFonts w:asciiTheme="minorHAnsi" w:eastAsia="Times New Roman" w:hAnsiTheme="minorHAnsi" w:cstheme="minorHAnsi"/>
          <w:b/>
          <w:bCs/>
          <w:sz w:val="20"/>
          <w:szCs w:val="20"/>
          <w:lang w:val="en-IN"/>
        </w:rPr>
        <w:t>&lt;Service Provider/Distributor/Licensee ACRONYM&gt;</w:t>
      </w:r>
    </w:p>
    <w:p w14:paraId="038B7C0B" w14:textId="05174D27" w:rsidR="00B5529F" w:rsidRDefault="009E05CF">
      <w:pPr>
        <w:pBdr>
          <w:top w:val="nil"/>
          <w:left w:val="nil"/>
          <w:bottom w:val="nil"/>
          <w:right w:val="nil"/>
          <w:between w:val="nil"/>
        </w:pBdr>
        <w:tabs>
          <w:tab w:val="left" w:pos="0"/>
          <w:tab w:val="left" w:pos="720"/>
        </w:tabs>
        <w:spacing w:after="240" w:line="360" w:lineRule="auto"/>
        <w:jc w:val="both"/>
        <w:rPr>
          <w:color w:val="000000"/>
          <w:sz w:val="20"/>
          <w:szCs w:val="20"/>
        </w:rPr>
      </w:pPr>
      <w:r w:rsidRPr="009E05CF">
        <w:rPr>
          <w:color w:val="000000"/>
          <w:sz w:val="20"/>
          <w:szCs w:val="20"/>
          <w:lang w:val="en-IN"/>
        </w:rPr>
        <w:t>&lt;Service Provider/Distributor/Licensee ACRONYM&gt;</w:t>
      </w:r>
      <w:r>
        <w:rPr>
          <w:color w:val="000000"/>
          <w:sz w:val="20"/>
          <w:szCs w:val="20"/>
        </w:rPr>
        <w:t xml:space="preserve"> is located in </w:t>
      </w:r>
      <w:r w:rsidR="00A00B38" w:rsidRPr="00A00B38">
        <w:rPr>
          <w:color w:val="000000"/>
          <w:sz w:val="20"/>
          <w:szCs w:val="20"/>
          <w:lang w:val="en-IN"/>
        </w:rPr>
        <w:t>&lt;Service Provider/Distributor/Licensee ADDRESS&gt;</w:t>
      </w:r>
      <w:r>
        <w:rPr>
          <w:color w:val="000000"/>
          <w:sz w:val="20"/>
          <w:szCs w:val="20"/>
        </w:rPr>
        <w:t xml:space="preserve">,  </w:t>
      </w:r>
      <w:r w:rsidR="00AB2882" w:rsidRPr="00AB2882">
        <w:rPr>
          <w:color w:val="000000"/>
          <w:sz w:val="20"/>
          <w:szCs w:val="20"/>
          <w:lang w:val="en-IN"/>
        </w:rPr>
        <w:t>&lt;Service Provider/Distributor/Licensee COUNTRY&gt;</w:t>
      </w:r>
      <w:r>
        <w:rPr>
          <w:color w:val="000000"/>
          <w:sz w:val="20"/>
          <w:szCs w:val="20"/>
        </w:rPr>
        <w:t xml:space="preserve"> and was incorporated on </w:t>
      </w:r>
      <w:r w:rsidR="00442115" w:rsidRPr="00442115">
        <w:rPr>
          <w:color w:val="000000"/>
          <w:sz w:val="20"/>
          <w:szCs w:val="20"/>
          <w:lang w:val="en-IN"/>
        </w:rPr>
        <w:t>&lt;Service Provider/Distributor/Licensee INCORPORATION&gt;</w:t>
      </w:r>
      <w:r>
        <w:rPr>
          <w:color w:val="000000"/>
          <w:sz w:val="20"/>
          <w:szCs w:val="20"/>
        </w:rPr>
        <w:t xml:space="preserve"> It operates in </w:t>
      </w:r>
      <w:r w:rsidR="00CA5D63" w:rsidRPr="00CA5D63">
        <w:rPr>
          <w:color w:val="000000"/>
          <w:sz w:val="20"/>
          <w:szCs w:val="20"/>
          <w:lang w:val="en-IN"/>
        </w:rPr>
        <w:t>&lt;Service Provider/Distributor/Licensee MARKETS&gt;</w:t>
      </w:r>
      <w:r>
        <w:rPr>
          <w:color w:val="000000"/>
          <w:sz w:val="20"/>
          <w:szCs w:val="20"/>
        </w:rPr>
        <w:t xml:space="preserve">, with teams responsible for </w:t>
      </w:r>
      <w:r w:rsidR="000123AD" w:rsidRPr="000123AD">
        <w:rPr>
          <w:color w:val="000000"/>
          <w:sz w:val="20"/>
          <w:szCs w:val="20"/>
          <w:lang w:val="en-IN"/>
        </w:rPr>
        <w:t>&lt;Service Provider/Product owner/Licensee TEAMS&gt;</w:t>
      </w:r>
      <w:r>
        <w:rPr>
          <w:color w:val="000000"/>
          <w:sz w:val="20"/>
          <w:szCs w:val="20"/>
        </w:rPr>
        <w:t>.</w:t>
      </w:r>
      <w:r w:rsidR="008C208A" w:rsidRPr="008C208A">
        <w:rPr>
          <w:color w:val="000000"/>
          <w:sz w:val="20"/>
          <w:szCs w:val="20"/>
          <w:lang w:val="en-IN"/>
        </w:rPr>
        <w:t>&lt;Service Provider/Distributor/Licensee ACRONYM&gt;</w:t>
      </w:r>
      <w:r>
        <w:rPr>
          <w:color w:val="000000"/>
          <w:sz w:val="20"/>
          <w:szCs w:val="20"/>
        </w:rPr>
        <w:t xml:space="preserve"> had </w:t>
      </w:r>
      <w:r w:rsidR="00951D33" w:rsidRPr="00951D33">
        <w:rPr>
          <w:color w:val="000000"/>
          <w:sz w:val="20"/>
          <w:szCs w:val="20"/>
          <w:lang w:val="en-IN"/>
        </w:rPr>
        <w:t>&lt;Service Provider/Distributor/Licensee EMPLOYEES&gt;</w:t>
      </w:r>
      <w:r>
        <w:rPr>
          <w:color w:val="000000"/>
          <w:sz w:val="20"/>
          <w:szCs w:val="20"/>
        </w:rPr>
        <w:t xml:space="preserve"> employees as of the end of FY &lt;FISCAL YEAR&gt;.  </w:t>
      </w:r>
    </w:p>
    <w:p w14:paraId="19225AAF" w14:textId="77777777" w:rsidR="00B5529F" w:rsidRDefault="00972E0B">
      <w:pPr>
        <w:spacing w:after="120" w:line="240" w:lineRule="auto"/>
        <w:jc w:val="both"/>
        <w:rPr>
          <w:b/>
          <w:color w:val="000000"/>
          <w:sz w:val="20"/>
          <w:szCs w:val="20"/>
        </w:rPr>
      </w:pPr>
      <w:r>
        <w:rPr>
          <w:b/>
          <w:color w:val="000000"/>
          <w:sz w:val="20"/>
          <w:szCs w:val="20"/>
        </w:rPr>
        <w:t xml:space="preserve">Reporting </w:t>
      </w:r>
      <w:r>
        <w:rPr>
          <w:b/>
          <w:sz w:val="20"/>
          <w:szCs w:val="20"/>
        </w:rPr>
        <w:t>S</w:t>
      </w:r>
      <w:r>
        <w:rPr>
          <w:b/>
          <w:color w:val="000000"/>
          <w:sz w:val="20"/>
          <w:szCs w:val="20"/>
        </w:rPr>
        <w:t>tructure </w:t>
      </w:r>
    </w:p>
    <w:p w14:paraId="55FDB740" w14:textId="219BEAEF" w:rsidR="00B5529F" w:rsidRDefault="00774EA3">
      <w:pPr>
        <w:spacing w:after="240" w:line="240" w:lineRule="auto"/>
      </w:pPr>
      <w:r>
        <w:t>&lt;REPORTING STRUCTURE&gt;</w:t>
      </w:r>
    </w:p>
    <w:p w14:paraId="287441F4" w14:textId="77777777" w:rsidR="007A1E3A" w:rsidRDefault="007A1E3A">
      <w:pPr>
        <w:rPr>
          <w:b/>
          <w:color w:val="7F7F7F"/>
          <w:sz w:val="28"/>
          <w:szCs w:val="28"/>
        </w:rPr>
      </w:pPr>
      <w:r>
        <w:rPr>
          <w:b/>
          <w:color w:val="7F7F7F"/>
          <w:sz w:val="28"/>
          <w:szCs w:val="28"/>
        </w:rPr>
        <w:br w:type="page"/>
      </w:r>
    </w:p>
    <w:p w14:paraId="26EDA1C4" w14:textId="51C9093D" w:rsidR="00B5529F" w:rsidRDefault="00972E0B">
      <w:pPr>
        <w:numPr>
          <w:ilvl w:val="0"/>
          <w:numId w:val="3"/>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Functional Analysis</w:t>
      </w:r>
    </w:p>
    <w:p w14:paraId="0563B05A" w14:textId="77777777" w:rsidR="00B5529F" w:rsidRDefault="00972E0B">
      <w:pPr>
        <w:spacing w:after="120" w:line="360" w:lineRule="auto"/>
        <w:rPr>
          <w:rFonts w:ascii="Times New Roman" w:eastAsia="Times New Roman" w:hAnsi="Times New Roman" w:cs="Times New Roman"/>
          <w:sz w:val="24"/>
          <w:szCs w:val="24"/>
        </w:rPr>
      </w:pPr>
      <w:r>
        <w:rPr>
          <w:color w:val="000000"/>
          <w:sz w:val="20"/>
          <w:szCs w:val="20"/>
        </w:rPr>
        <w:t>A functional analysis is performed to identify and evaluate the role and contribution of each group member with respect to the Covered Transaction. Namely, the functions performed, economic risks assumed, and tangible and intangible assets owned by each party, with respect to the Covered Transaction. This analysis is the basis of the economic analysis.  </w:t>
      </w:r>
    </w:p>
    <w:p w14:paraId="5C712AFF" w14:textId="77777777" w:rsidR="00B5529F" w:rsidRDefault="00972E0B">
      <w:pPr>
        <w:pBdr>
          <w:top w:val="nil"/>
          <w:left w:val="nil"/>
          <w:bottom w:val="nil"/>
          <w:right w:val="nil"/>
          <w:between w:val="nil"/>
        </w:pBdr>
        <w:spacing w:after="120" w:line="240" w:lineRule="auto"/>
        <w:rPr>
          <w:b/>
          <w:color w:val="000000"/>
          <w:sz w:val="24"/>
          <w:szCs w:val="24"/>
        </w:rPr>
      </w:pPr>
      <w:r>
        <w:rPr>
          <w:b/>
          <w:color w:val="000000"/>
          <w:sz w:val="24"/>
          <w:szCs w:val="24"/>
        </w:rPr>
        <w:t>Functions  </w:t>
      </w:r>
    </w:p>
    <w:p w14:paraId="7C8B66F7" w14:textId="77777777" w:rsidR="00B5529F" w:rsidRDefault="00972E0B">
      <w:pPr>
        <w:spacing w:after="120" w:line="360" w:lineRule="auto"/>
        <w:rPr>
          <w:color w:val="000000"/>
          <w:sz w:val="20"/>
          <w:szCs w:val="20"/>
        </w:rPr>
      </w:pPr>
      <w:r>
        <w:rPr>
          <w:color w:val="000000"/>
          <w:sz w:val="20"/>
          <w:szCs w:val="20"/>
        </w:rPr>
        <w:t xml:space="preserve">The following table summarizes the functions performed by the parties with respect </w:t>
      </w:r>
      <w:r>
        <w:rPr>
          <w:sz w:val="20"/>
          <w:szCs w:val="20"/>
        </w:rPr>
        <w:t xml:space="preserve">to </w:t>
      </w:r>
      <w:r>
        <w:rPr>
          <w:color w:val="000000"/>
          <w:sz w:val="20"/>
          <w:szCs w:val="20"/>
        </w:rPr>
        <w:t>the Covered Transaction. Performing the function means the entity contractually performs the function and employs the personnel who perform each function:</w:t>
      </w:r>
    </w:p>
    <w:tbl>
      <w:tblPr>
        <w:tblStyle w:val="af"/>
        <w:tblW w:w="9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3445"/>
        <w:gridCol w:w="2070"/>
        <w:gridCol w:w="2405"/>
      </w:tblGrid>
      <w:tr w:rsidR="00662DA9" w14:paraId="155308EF" w14:textId="77777777" w:rsidTr="00E55AC0">
        <w:trPr>
          <w:trHeight w:val="457"/>
        </w:trPr>
        <w:tc>
          <w:tcPr>
            <w:tcW w:w="1500" w:type="dxa"/>
            <w:shd w:val="clear" w:color="auto" w:fill="4A86E8"/>
            <w:tcMar>
              <w:top w:w="100" w:type="dxa"/>
              <w:left w:w="115" w:type="dxa"/>
              <w:bottom w:w="100" w:type="dxa"/>
              <w:right w:w="115" w:type="dxa"/>
            </w:tcMar>
          </w:tcPr>
          <w:p w14:paraId="0375E083" w14:textId="77777777" w:rsidR="00662DA9" w:rsidRPr="00452C79" w:rsidRDefault="00662DA9" w:rsidP="00C81A54">
            <w:pPr>
              <w:jc w:val="center"/>
              <w:rPr>
                <w:b/>
                <w:color w:val="FFFFFF"/>
                <w:sz w:val="20"/>
                <w:szCs w:val="20"/>
              </w:rPr>
            </w:pPr>
            <w:r>
              <w:rPr>
                <w:b/>
                <w:color w:val="FFFFFF"/>
                <w:sz w:val="20"/>
                <w:szCs w:val="20"/>
              </w:rPr>
              <w:t>Function</w:t>
            </w:r>
          </w:p>
        </w:tc>
        <w:tc>
          <w:tcPr>
            <w:tcW w:w="3445" w:type="dxa"/>
            <w:shd w:val="clear" w:color="auto" w:fill="4A86E8"/>
            <w:tcMar>
              <w:top w:w="100" w:type="dxa"/>
              <w:left w:w="115" w:type="dxa"/>
              <w:bottom w:w="100" w:type="dxa"/>
              <w:right w:w="115" w:type="dxa"/>
            </w:tcMar>
          </w:tcPr>
          <w:p w14:paraId="5C32C553" w14:textId="77777777" w:rsidR="00662DA9" w:rsidRPr="00452C79" w:rsidRDefault="00662DA9" w:rsidP="00C81A54">
            <w:pPr>
              <w:jc w:val="center"/>
              <w:rPr>
                <w:b/>
                <w:color w:val="FFFFFF"/>
                <w:sz w:val="20"/>
                <w:szCs w:val="20"/>
              </w:rPr>
            </w:pPr>
            <w:r>
              <w:rPr>
                <w:b/>
                <w:color w:val="FFFFFF"/>
                <w:sz w:val="20"/>
                <w:szCs w:val="20"/>
              </w:rPr>
              <w:t>Description</w:t>
            </w:r>
          </w:p>
        </w:tc>
        <w:tc>
          <w:tcPr>
            <w:tcW w:w="2070" w:type="dxa"/>
            <w:shd w:val="clear" w:color="auto" w:fill="4A86E8"/>
            <w:tcMar>
              <w:top w:w="100" w:type="dxa"/>
              <w:left w:w="115" w:type="dxa"/>
              <w:bottom w:w="100" w:type="dxa"/>
              <w:right w:w="115" w:type="dxa"/>
            </w:tcMar>
          </w:tcPr>
          <w:p w14:paraId="22C8E2C9" w14:textId="77777777" w:rsidR="00662DA9" w:rsidRDefault="00662DA9" w:rsidP="00C81A54">
            <w:pPr>
              <w:jc w:val="center"/>
              <w:rPr>
                <w:b/>
                <w:color w:val="FFFFFF"/>
                <w:sz w:val="20"/>
                <w:szCs w:val="20"/>
              </w:rPr>
            </w:pPr>
            <w:r w:rsidRPr="00452C79">
              <w:rPr>
                <w:b/>
                <w:color w:val="FFFFFF"/>
                <w:sz w:val="20"/>
                <w:szCs w:val="20"/>
              </w:rPr>
              <w:t>&lt;Service Provider/Distributor/Licensee ACRONYM&gt;</w:t>
            </w:r>
          </w:p>
        </w:tc>
        <w:tc>
          <w:tcPr>
            <w:tcW w:w="2405" w:type="dxa"/>
            <w:shd w:val="clear" w:color="auto" w:fill="4A86E8"/>
            <w:tcMar>
              <w:top w:w="100" w:type="dxa"/>
              <w:left w:w="115" w:type="dxa"/>
              <w:bottom w:w="100" w:type="dxa"/>
              <w:right w:w="115" w:type="dxa"/>
            </w:tcMar>
          </w:tcPr>
          <w:p w14:paraId="0FB10680" w14:textId="77777777" w:rsidR="00662DA9" w:rsidRPr="00452C79" w:rsidRDefault="00662DA9" w:rsidP="00C81A54">
            <w:pPr>
              <w:jc w:val="center"/>
              <w:rPr>
                <w:b/>
                <w:color w:val="FFFFFF"/>
                <w:sz w:val="20"/>
                <w:szCs w:val="20"/>
              </w:rPr>
            </w:pPr>
            <w:r>
              <w:rPr>
                <w:b/>
                <w:color w:val="FFFFFF"/>
                <w:sz w:val="20"/>
                <w:szCs w:val="20"/>
              </w:rPr>
              <w:t>&lt;Service Recipient /Product owner/Licensor ACRONYM&gt;</w:t>
            </w:r>
          </w:p>
        </w:tc>
      </w:tr>
      <w:tr w:rsidR="00662DA9" w14:paraId="5B5CC63E" w14:textId="77777777" w:rsidTr="004D6FD8">
        <w:tc>
          <w:tcPr>
            <w:tcW w:w="1500"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2D8A87A6" w14:textId="77777777" w:rsidR="00662DA9" w:rsidRDefault="00662DA9" w:rsidP="00C81A54">
            <w:pPr>
              <w:spacing w:after="120"/>
              <w:jc w:val="both"/>
              <w:rPr>
                <w:rFonts w:ascii="Times New Roman" w:eastAsia="Times New Roman" w:hAnsi="Times New Roman" w:cs="Times New Roman"/>
                <w:sz w:val="24"/>
                <w:szCs w:val="24"/>
              </w:rPr>
            </w:pPr>
            <w:r>
              <w:rPr>
                <w:color w:val="000000"/>
                <w:sz w:val="20"/>
                <w:szCs w:val="20"/>
              </w:rPr>
              <w:t>Corporate Strategic Management</w:t>
            </w:r>
          </w:p>
        </w:tc>
        <w:tc>
          <w:tcPr>
            <w:tcW w:w="3445"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3682C871" w14:textId="77777777" w:rsidR="00662DA9" w:rsidRDefault="00662DA9" w:rsidP="00C81A54">
            <w:pPr>
              <w:spacing w:after="120"/>
              <w:jc w:val="both"/>
              <w:rPr>
                <w:rFonts w:ascii="Times New Roman" w:eastAsia="Times New Roman" w:hAnsi="Times New Roman" w:cs="Times New Roman"/>
                <w:sz w:val="24"/>
                <w:szCs w:val="24"/>
              </w:rPr>
            </w:pPr>
            <w:r>
              <w:rPr>
                <w:color w:val="000000"/>
                <w:sz w:val="20"/>
                <w:szCs w:val="20"/>
              </w:rPr>
              <w:t xml:space="preserve">The corporate strategy provides the basis for selecting lines of business; choosing the organizational structure and operating procedures; analyzing and undertaking acquisitions; responding to competitors and market forces and setting </w:t>
            </w:r>
            <w:proofErr w:type="gramStart"/>
            <w:r>
              <w:rPr>
                <w:color w:val="000000"/>
                <w:sz w:val="20"/>
                <w:szCs w:val="20"/>
              </w:rPr>
              <w:t>the marketing</w:t>
            </w:r>
            <w:proofErr w:type="gramEnd"/>
            <w:r>
              <w:rPr>
                <w:color w:val="000000"/>
                <w:sz w:val="20"/>
                <w:szCs w:val="20"/>
              </w:rPr>
              <w:t xml:space="preserve"> strategies.</w:t>
            </w:r>
          </w:p>
        </w:tc>
        <w:tc>
          <w:tcPr>
            <w:tcW w:w="2070"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5250686C" w14:textId="77777777" w:rsidR="00662DA9" w:rsidRDefault="00662DA9" w:rsidP="00C81A54">
            <w:pPr>
              <w:spacing w:after="240"/>
              <w:jc w:val="center"/>
              <w:rPr>
                <w:color w:val="000000"/>
                <w:sz w:val="20"/>
                <w:szCs w:val="20"/>
              </w:rPr>
            </w:pPr>
            <w:r>
              <w:rPr>
                <w:sz w:val="20"/>
                <w:szCs w:val="20"/>
              </w:rPr>
              <w:t>&lt;COR-Licensee&gt;</w:t>
            </w:r>
            <w:r>
              <w:rPr>
                <w:sz w:val="20"/>
                <w:szCs w:val="20"/>
              </w:rPr>
              <w:br/>
            </w:r>
          </w:p>
        </w:tc>
        <w:tc>
          <w:tcPr>
            <w:tcW w:w="2405"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71C2DB1C" w14:textId="77777777" w:rsidR="00662DA9" w:rsidRDefault="00662DA9" w:rsidP="00C81A54">
            <w:pPr>
              <w:spacing w:after="240"/>
              <w:jc w:val="center"/>
              <w:rPr>
                <w:sz w:val="20"/>
                <w:szCs w:val="20"/>
              </w:rPr>
            </w:pPr>
            <w:r>
              <w:rPr>
                <w:sz w:val="20"/>
                <w:szCs w:val="20"/>
              </w:rPr>
              <w:t>&lt;COR-Licensor&gt;</w:t>
            </w:r>
          </w:p>
        </w:tc>
      </w:tr>
      <w:tr w:rsidR="00662DA9" w14:paraId="417477CC" w14:textId="77777777" w:rsidTr="004D6FD8">
        <w:trPr>
          <w:trHeight w:val="82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12E2925" w14:textId="77777777" w:rsidR="00662DA9" w:rsidRDefault="00662DA9" w:rsidP="00C81A54">
            <w:pPr>
              <w:spacing w:after="120"/>
              <w:jc w:val="both"/>
              <w:rPr>
                <w:rFonts w:ascii="Times New Roman" w:eastAsia="Times New Roman" w:hAnsi="Times New Roman" w:cs="Times New Roman"/>
                <w:sz w:val="20"/>
                <w:szCs w:val="20"/>
              </w:rPr>
            </w:pPr>
            <w:r>
              <w:rPr>
                <w:sz w:val="20"/>
                <w:szCs w:val="20"/>
              </w:rPr>
              <w:t>Research &amp; Development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2ED2425" w14:textId="77777777" w:rsidR="00662DA9" w:rsidRDefault="00662DA9" w:rsidP="00C81A54">
            <w:pPr>
              <w:spacing w:after="120"/>
              <w:jc w:val="both"/>
              <w:rPr>
                <w:rFonts w:ascii="Times New Roman" w:eastAsia="Times New Roman" w:hAnsi="Times New Roman" w:cs="Times New Roman"/>
                <w:sz w:val="20"/>
                <w:szCs w:val="20"/>
              </w:rPr>
            </w:pPr>
            <w:r>
              <w:rPr>
                <w:color w:val="000000"/>
                <w:sz w:val="20"/>
                <w:szCs w:val="20"/>
              </w:rPr>
              <w:t xml:space="preserve">The R&amp;D function includes </w:t>
            </w:r>
            <w:proofErr w:type="gramStart"/>
            <w:r>
              <w:rPr>
                <w:color w:val="000000"/>
                <w:sz w:val="20"/>
                <w:szCs w:val="20"/>
              </w:rPr>
              <w:t>technology</w:t>
            </w:r>
            <w:proofErr w:type="gramEnd"/>
            <w:r>
              <w:rPr>
                <w:color w:val="000000"/>
                <w:sz w:val="20"/>
                <w:szCs w:val="20"/>
              </w:rPr>
              <w:t xml:space="preserve"> development, enhancing</w:t>
            </w:r>
            <w:r>
              <w:rPr>
                <w:sz w:val="20"/>
                <w:szCs w:val="20"/>
              </w:rPr>
              <w:t>,</w:t>
            </w:r>
            <w:r>
              <w:rPr>
                <w:color w:val="000000"/>
                <w:sz w:val="20"/>
                <w:szCs w:val="20"/>
              </w:rPr>
              <w:t xml:space="preserve"> improving</w:t>
            </w:r>
            <w:r>
              <w:rPr>
                <w:sz w:val="20"/>
                <w:szCs w:val="20"/>
              </w:rPr>
              <w:t>,</w:t>
            </w:r>
            <w:r>
              <w:rPr>
                <w:color w:val="000000"/>
                <w:sz w:val="20"/>
                <w:szCs w:val="20"/>
              </w:rPr>
              <w:t xml:space="preserve"> </w:t>
            </w:r>
            <w:r>
              <w:rPr>
                <w:sz w:val="20"/>
                <w:szCs w:val="20"/>
              </w:rPr>
              <w:t>or</w:t>
            </w:r>
            <w:r>
              <w:rPr>
                <w:color w:val="000000"/>
                <w:sz w:val="20"/>
                <w:szCs w:val="20"/>
              </w:rPr>
              <w:t xml:space="preserve"> </w:t>
            </w:r>
            <w:r>
              <w:rPr>
                <w:sz w:val="20"/>
                <w:szCs w:val="20"/>
              </w:rPr>
              <w:t>adding new features to</w:t>
            </w:r>
            <w:r>
              <w:rPr>
                <w:color w:val="000000"/>
                <w:sz w:val="20"/>
                <w:szCs w:val="20"/>
              </w:rPr>
              <w:t xml:space="preserve"> existing </w:t>
            </w:r>
            <w:r>
              <w:rPr>
                <w:sz w:val="20"/>
                <w:szCs w:val="20"/>
              </w:rPr>
              <w:t>products.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E905FA8" w14:textId="77777777" w:rsidR="00662DA9" w:rsidRDefault="00662DA9" w:rsidP="00C81A54">
            <w:pPr>
              <w:jc w:val="center"/>
              <w:rPr>
                <w:sz w:val="20"/>
                <w:szCs w:val="20"/>
              </w:rPr>
            </w:pPr>
            <w:r>
              <w:rPr>
                <w:sz w:val="20"/>
                <w:szCs w:val="20"/>
              </w:rPr>
              <w:t>&lt;Research-Licensee&gt;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3B27D10" w14:textId="77777777" w:rsidR="00662DA9" w:rsidRDefault="00662DA9" w:rsidP="00C81A54">
            <w:pPr>
              <w:spacing w:after="240"/>
              <w:jc w:val="center"/>
              <w:rPr>
                <w:sz w:val="24"/>
                <w:szCs w:val="24"/>
              </w:rPr>
            </w:pPr>
            <w:r>
              <w:rPr>
                <w:color w:val="000000"/>
                <w:sz w:val="20"/>
                <w:szCs w:val="20"/>
              </w:rPr>
              <w:t>&lt;Research-Licensor&gt;</w:t>
            </w:r>
          </w:p>
        </w:tc>
      </w:tr>
      <w:tr w:rsidR="00662DA9" w14:paraId="4646549C" w14:textId="77777777" w:rsidTr="004D6FD8">
        <w:trPr>
          <w:trHeight w:val="1006"/>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C24B4A9" w14:textId="77777777" w:rsidR="00662DA9" w:rsidRDefault="00662DA9" w:rsidP="00C81A54">
            <w:pPr>
              <w:spacing w:after="120"/>
              <w:jc w:val="both"/>
              <w:rPr>
                <w:rFonts w:ascii="Times New Roman" w:eastAsia="Times New Roman" w:hAnsi="Times New Roman" w:cs="Times New Roman"/>
                <w:sz w:val="20"/>
                <w:szCs w:val="20"/>
              </w:rPr>
            </w:pPr>
            <w:r>
              <w:rPr>
                <w:sz w:val="20"/>
                <w:szCs w:val="20"/>
              </w:rPr>
              <w:t>Quality Assurance</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7339249" w14:textId="77777777" w:rsidR="00662DA9" w:rsidRDefault="00662DA9" w:rsidP="00C81A54">
            <w:pPr>
              <w:spacing w:after="120"/>
              <w:jc w:val="both"/>
              <w:rPr>
                <w:rFonts w:ascii="Times New Roman" w:eastAsia="Times New Roman" w:hAnsi="Times New Roman" w:cs="Times New Roman"/>
                <w:sz w:val="20"/>
                <w:szCs w:val="20"/>
              </w:rPr>
            </w:pPr>
            <w:r>
              <w:rPr>
                <w:color w:val="000000"/>
                <w:sz w:val="20"/>
                <w:szCs w:val="20"/>
              </w:rPr>
              <w:t>The quality assurance function includes the oversight activity concerning the production process, the final products, including software QA.</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07FBAA9" w14:textId="77777777" w:rsidR="00662DA9" w:rsidRDefault="00662DA9" w:rsidP="00C81A54">
            <w:pPr>
              <w:jc w:val="center"/>
              <w:rPr>
                <w:color w:val="000000"/>
                <w:sz w:val="20"/>
                <w:szCs w:val="20"/>
              </w:rPr>
            </w:pPr>
            <w:r>
              <w:rPr>
                <w:color w:val="000000"/>
                <w:sz w:val="20"/>
                <w:szCs w:val="20"/>
              </w:rPr>
              <w:t>&lt;QA-Licensee&gt;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F28AB74" w14:textId="77777777" w:rsidR="00662DA9" w:rsidRDefault="00662DA9" w:rsidP="00C81A54">
            <w:pPr>
              <w:spacing w:after="240"/>
              <w:jc w:val="center"/>
              <w:rPr>
                <w:sz w:val="24"/>
                <w:szCs w:val="24"/>
              </w:rPr>
            </w:pPr>
            <w:r>
              <w:rPr>
                <w:color w:val="000000"/>
                <w:sz w:val="20"/>
                <w:szCs w:val="20"/>
              </w:rPr>
              <w:t>&lt;QA-Licensor&gt;</w:t>
            </w:r>
          </w:p>
        </w:tc>
      </w:tr>
      <w:tr w:rsidR="00662DA9" w14:paraId="1EF44C55" w14:textId="77777777" w:rsidTr="004D6FD8">
        <w:trPr>
          <w:trHeight w:val="533"/>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328CBDA" w14:textId="77777777" w:rsidR="00662DA9" w:rsidRDefault="00662DA9" w:rsidP="00C81A54">
            <w:pPr>
              <w:rPr>
                <w:rFonts w:ascii="Times New Roman" w:eastAsia="Times New Roman" w:hAnsi="Times New Roman" w:cs="Times New Roman"/>
                <w:sz w:val="20"/>
                <w:szCs w:val="20"/>
              </w:rPr>
            </w:pPr>
            <w:r>
              <w:rPr>
                <w:sz w:val="20"/>
                <w:szCs w:val="20"/>
              </w:rPr>
              <w:t>Administration</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F21223E" w14:textId="77777777" w:rsidR="00662DA9" w:rsidRDefault="00662DA9" w:rsidP="00C81A54">
            <w:pPr>
              <w:spacing w:after="120"/>
              <w:jc w:val="both"/>
              <w:rPr>
                <w:rFonts w:ascii="Times New Roman" w:eastAsia="Times New Roman" w:hAnsi="Times New Roman" w:cs="Times New Roman"/>
                <w:sz w:val="20"/>
                <w:szCs w:val="20"/>
              </w:rPr>
            </w:pPr>
            <w:r>
              <w:rPr>
                <w:color w:val="000000"/>
                <w:sz w:val="20"/>
                <w:szCs w:val="20"/>
              </w:rPr>
              <w:t>The administration function includes finance, legal, and HR.</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52B7944" w14:textId="77777777" w:rsidR="00662DA9" w:rsidRDefault="00662DA9" w:rsidP="00C81A54">
            <w:pPr>
              <w:jc w:val="center"/>
              <w:rPr>
                <w:sz w:val="24"/>
                <w:szCs w:val="24"/>
              </w:rPr>
            </w:pPr>
            <w:r>
              <w:rPr>
                <w:color w:val="000000"/>
                <w:sz w:val="20"/>
                <w:szCs w:val="20"/>
              </w:rPr>
              <w:t>&lt;ADMIN-Licensee&gt;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FD8103F" w14:textId="77777777" w:rsidR="00662DA9" w:rsidRDefault="00662DA9" w:rsidP="00C81A54">
            <w:pPr>
              <w:spacing w:after="240"/>
              <w:jc w:val="center"/>
              <w:rPr>
                <w:color w:val="000000"/>
                <w:sz w:val="20"/>
                <w:szCs w:val="20"/>
              </w:rPr>
            </w:pPr>
            <w:r>
              <w:rPr>
                <w:color w:val="000000"/>
                <w:sz w:val="20"/>
                <w:szCs w:val="20"/>
              </w:rPr>
              <w:t>&lt;ADMIN-Licensor&gt;</w:t>
            </w:r>
          </w:p>
        </w:tc>
      </w:tr>
      <w:tr w:rsidR="00662DA9" w14:paraId="6C7726A1" w14:textId="77777777" w:rsidTr="004D6FD8">
        <w:trPr>
          <w:trHeight w:val="957"/>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D210DB5" w14:textId="77777777" w:rsidR="00662DA9" w:rsidRDefault="00662DA9" w:rsidP="00C81A54">
            <w:pPr>
              <w:spacing w:after="120"/>
              <w:jc w:val="both"/>
              <w:rPr>
                <w:rFonts w:ascii="Times New Roman" w:eastAsia="Times New Roman" w:hAnsi="Times New Roman" w:cs="Times New Roman"/>
                <w:sz w:val="20"/>
                <w:szCs w:val="20"/>
              </w:rPr>
            </w:pPr>
            <w:r>
              <w:rPr>
                <w:sz w:val="20"/>
                <w:szCs w:val="20"/>
              </w:rPr>
              <w:t>Design</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8178E68" w14:textId="77777777" w:rsidR="00662DA9" w:rsidRDefault="00662DA9" w:rsidP="00C81A54">
            <w:pPr>
              <w:spacing w:after="120"/>
              <w:jc w:val="both"/>
              <w:rPr>
                <w:rFonts w:ascii="Times New Roman" w:eastAsia="Times New Roman" w:hAnsi="Times New Roman" w:cs="Times New Roman"/>
                <w:sz w:val="20"/>
                <w:szCs w:val="20"/>
              </w:rPr>
            </w:pPr>
            <w:r>
              <w:rPr>
                <w:color w:val="000000"/>
                <w:sz w:val="20"/>
                <w:szCs w:val="20"/>
              </w:rPr>
              <w:t>The design function includes the design process of products, hardware, and software products.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ABEE15B" w14:textId="77777777" w:rsidR="00662DA9" w:rsidRDefault="00662DA9" w:rsidP="00C81A54">
            <w:pPr>
              <w:spacing w:after="240"/>
              <w:jc w:val="center"/>
              <w:rPr>
                <w:color w:val="000000"/>
                <w:sz w:val="20"/>
                <w:szCs w:val="20"/>
              </w:rPr>
            </w:pPr>
            <w:r>
              <w:rPr>
                <w:color w:val="000000"/>
                <w:sz w:val="20"/>
                <w:szCs w:val="20"/>
              </w:rPr>
              <w:t>&lt;D-Licensee&gt;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D83506" w14:textId="77777777" w:rsidR="00662DA9" w:rsidRDefault="00662DA9" w:rsidP="00C81A54">
            <w:pPr>
              <w:spacing w:after="240"/>
              <w:jc w:val="center"/>
              <w:rPr>
                <w:sz w:val="24"/>
                <w:szCs w:val="24"/>
              </w:rPr>
            </w:pPr>
            <w:r>
              <w:rPr>
                <w:color w:val="000000"/>
                <w:sz w:val="20"/>
                <w:szCs w:val="20"/>
              </w:rPr>
              <w:t>&lt;D-Licensor&gt;</w:t>
            </w:r>
          </w:p>
        </w:tc>
      </w:tr>
      <w:tr w:rsidR="00662DA9" w14:paraId="1B3A857C"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211ED91" w14:textId="77777777" w:rsidR="00662DA9" w:rsidRDefault="00662DA9" w:rsidP="00C81A54">
            <w:pPr>
              <w:spacing w:after="120"/>
              <w:jc w:val="both"/>
              <w:rPr>
                <w:sz w:val="20"/>
                <w:szCs w:val="20"/>
              </w:rPr>
            </w:pPr>
            <w:r>
              <w:rPr>
                <w:sz w:val="20"/>
                <w:szCs w:val="20"/>
              </w:rPr>
              <w:t>Business Development</w:t>
            </w:r>
            <w:r>
              <w:rPr>
                <w:rFonts w:ascii="Roboto" w:eastAsia="Roboto" w:hAnsi="Roboto" w:cs="Roboto"/>
                <w:color w:val="1F1F1F"/>
                <w:sz w:val="18"/>
                <w:szCs w:val="18"/>
                <w:highlight w:val="white"/>
              </w:rPr>
              <w:t xml:space="preserve"> </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4D3AFE9" w14:textId="77777777" w:rsidR="00662DA9" w:rsidRDefault="00662DA9" w:rsidP="00C81A54">
            <w:pPr>
              <w:spacing w:after="120"/>
              <w:jc w:val="both"/>
              <w:rPr>
                <w:color w:val="000000"/>
                <w:sz w:val="20"/>
                <w:szCs w:val="20"/>
              </w:rPr>
            </w:pPr>
            <w:r>
              <w:rPr>
                <w:sz w:val="20"/>
                <w:szCs w:val="20"/>
              </w:rPr>
              <w:t xml:space="preserve">The business development function includes the process of searching for </w:t>
            </w:r>
            <w:r>
              <w:rPr>
                <w:sz w:val="20"/>
                <w:szCs w:val="20"/>
              </w:rPr>
              <w:lastRenderedPageBreak/>
              <w:t>and maintaining partners, clients, and markets.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8106E7C" w14:textId="77777777" w:rsidR="00662DA9" w:rsidRDefault="00662DA9" w:rsidP="00C81A54">
            <w:pPr>
              <w:spacing w:after="240"/>
              <w:jc w:val="center"/>
              <w:rPr>
                <w:color w:val="000000"/>
                <w:sz w:val="20"/>
                <w:szCs w:val="20"/>
              </w:rPr>
            </w:pPr>
            <w:r>
              <w:rPr>
                <w:color w:val="000000"/>
                <w:sz w:val="20"/>
                <w:szCs w:val="20"/>
              </w:rPr>
              <w:lastRenderedPageBreak/>
              <w:t>&lt;Business-Licensee&gt;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96B7A2B" w14:textId="77777777" w:rsidR="00662DA9" w:rsidRDefault="00662DA9" w:rsidP="00C81A54">
            <w:pPr>
              <w:spacing w:after="240"/>
              <w:jc w:val="center"/>
              <w:rPr>
                <w:color w:val="000000"/>
                <w:sz w:val="20"/>
                <w:szCs w:val="20"/>
              </w:rPr>
            </w:pPr>
            <w:r>
              <w:rPr>
                <w:color w:val="000000"/>
                <w:sz w:val="20"/>
                <w:szCs w:val="20"/>
              </w:rPr>
              <w:t>&lt;Business-Licensor&gt;</w:t>
            </w:r>
          </w:p>
        </w:tc>
      </w:tr>
      <w:tr w:rsidR="00662DA9" w14:paraId="1AA2C130"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F1FB2ED" w14:textId="77777777" w:rsidR="00662DA9" w:rsidRDefault="00662DA9" w:rsidP="00C81A54">
            <w:pPr>
              <w:spacing w:after="120"/>
              <w:jc w:val="both"/>
              <w:rPr>
                <w:sz w:val="20"/>
                <w:szCs w:val="20"/>
              </w:rPr>
            </w:pPr>
            <w:r>
              <w:rPr>
                <w:sz w:val="20"/>
                <w:szCs w:val="20"/>
              </w:rPr>
              <w:t>Manufacturing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E1FEF82" w14:textId="77777777" w:rsidR="00662DA9" w:rsidRDefault="00662DA9" w:rsidP="00C81A54">
            <w:pPr>
              <w:spacing w:after="120"/>
              <w:jc w:val="both"/>
              <w:rPr>
                <w:sz w:val="20"/>
                <w:szCs w:val="20"/>
              </w:rPr>
            </w:pPr>
            <w:r>
              <w:rPr>
                <w:sz w:val="20"/>
                <w:szCs w:val="20"/>
              </w:rPr>
              <w:t>The manufacturing function includes managing the manufacturing, assembly, and production process, whether of finished goods or semi-finished goods.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A343E05" w14:textId="77777777" w:rsidR="00662DA9" w:rsidRDefault="00662DA9" w:rsidP="00C81A54">
            <w:pPr>
              <w:spacing w:after="240"/>
              <w:jc w:val="center"/>
              <w:rPr>
                <w:color w:val="000000"/>
                <w:sz w:val="20"/>
                <w:szCs w:val="20"/>
              </w:rPr>
            </w:pPr>
            <w:r>
              <w:rPr>
                <w:color w:val="000000"/>
                <w:sz w:val="20"/>
                <w:szCs w:val="20"/>
              </w:rPr>
              <w:t>&lt;Manu-Licensee&gt;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13C1FF5" w14:textId="77777777" w:rsidR="00662DA9" w:rsidRDefault="00662DA9" w:rsidP="00C81A54">
            <w:pPr>
              <w:spacing w:after="240"/>
              <w:jc w:val="center"/>
              <w:rPr>
                <w:color w:val="000000"/>
                <w:sz w:val="20"/>
                <w:szCs w:val="20"/>
              </w:rPr>
            </w:pPr>
            <w:r>
              <w:rPr>
                <w:color w:val="000000"/>
                <w:sz w:val="20"/>
                <w:szCs w:val="20"/>
              </w:rPr>
              <w:t>&lt;Manu-Licensor&gt;</w:t>
            </w:r>
          </w:p>
        </w:tc>
      </w:tr>
      <w:tr w:rsidR="00662DA9" w14:paraId="03088025"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0DA1757" w14:textId="77777777" w:rsidR="00662DA9" w:rsidRDefault="00662DA9" w:rsidP="00C81A54">
            <w:pPr>
              <w:spacing w:after="120"/>
              <w:jc w:val="both"/>
              <w:rPr>
                <w:sz w:val="20"/>
                <w:szCs w:val="20"/>
              </w:rPr>
            </w:pPr>
            <w:r>
              <w:rPr>
                <w:sz w:val="20"/>
                <w:szCs w:val="20"/>
              </w:rPr>
              <w:t>Procurement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9BE5AB0" w14:textId="77777777" w:rsidR="00662DA9" w:rsidRDefault="00662DA9" w:rsidP="00C81A54">
            <w:pPr>
              <w:spacing w:after="120"/>
              <w:jc w:val="both"/>
              <w:rPr>
                <w:sz w:val="20"/>
                <w:szCs w:val="20"/>
              </w:rPr>
            </w:pPr>
            <w:r>
              <w:rPr>
                <w:sz w:val="20"/>
                <w:szCs w:val="20"/>
              </w:rPr>
              <w:t>The procurement function includes sourcing raw materials and components and managing suppliers.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6AA1C55" w14:textId="77777777" w:rsidR="00662DA9" w:rsidRDefault="00662DA9" w:rsidP="00C81A54">
            <w:pPr>
              <w:spacing w:after="240"/>
              <w:jc w:val="center"/>
              <w:rPr>
                <w:color w:val="000000"/>
                <w:sz w:val="20"/>
                <w:szCs w:val="20"/>
              </w:rPr>
            </w:pPr>
            <w:r>
              <w:rPr>
                <w:color w:val="000000"/>
                <w:sz w:val="20"/>
                <w:szCs w:val="20"/>
              </w:rPr>
              <w:t>&lt;Pro-Licensee&gt;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70DAF3D" w14:textId="77777777" w:rsidR="00662DA9" w:rsidRDefault="00662DA9" w:rsidP="00C81A54">
            <w:pPr>
              <w:spacing w:after="240"/>
              <w:jc w:val="center"/>
              <w:rPr>
                <w:color w:val="000000"/>
                <w:sz w:val="20"/>
                <w:szCs w:val="20"/>
              </w:rPr>
            </w:pPr>
            <w:r>
              <w:rPr>
                <w:color w:val="000000"/>
                <w:sz w:val="20"/>
                <w:szCs w:val="20"/>
              </w:rPr>
              <w:t>&lt;Pro-Licensor&gt;</w:t>
            </w:r>
          </w:p>
        </w:tc>
      </w:tr>
      <w:tr w:rsidR="00662DA9" w14:paraId="0F9CCA62"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828BBC4" w14:textId="77777777" w:rsidR="00662DA9" w:rsidRDefault="00662DA9" w:rsidP="00C81A54">
            <w:pPr>
              <w:spacing w:after="120"/>
              <w:jc w:val="both"/>
              <w:rPr>
                <w:sz w:val="20"/>
                <w:szCs w:val="20"/>
              </w:rPr>
            </w:pPr>
            <w:r>
              <w:rPr>
                <w:sz w:val="20"/>
                <w:szCs w:val="20"/>
              </w:rPr>
              <w:t>Sales</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DB8547A" w14:textId="77777777" w:rsidR="00662DA9" w:rsidRDefault="00662DA9" w:rsidP="00C81A54">
            <w:pPr>
              <w:spacing w:after="120"/>
              <w:jc w:val="both"/>
              <w:rPr>
                <w:sz w:val="20"/>
                <w:szCs w:val="20"/>
              </w:rPr>
            </w:pPr>
            <w:r>
              <w:rPr>
                <w:sz w:val="20"/>
                <w:szCs w:val="20"/>
              </w:rPr>
              <w:t>The sales function includes managing the sales cycle, negotiating and closing deals or transactions with new and existing clients. Contractually, issuing invoices to clients.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38DAA0F" w14:textId="77777777" w:rsidR="00662DA9" w:rsidRDefault="00662DA9" w:rsidP="00C81A54">
            <w:pPr>
              <w:spacing w:after="240"/>
              <w:jc w:val="center"/>
              <w:rPr>
                <w:color w:val="000000"/>
                <w:sz w:val="20"/>
                <w:szCs w:val="20"/>
              </w:rPr>
            </w:pPr>
            <w:r>
              <w:rPr>
                <w:color w:val="000000"/>
                <w:sz w:val="20"/>
                <w:szCs w:val="20"/>
              </w:rPr>
              <w:t>&lt;Sale-Licensee&gt;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CC1BDD7" w14:textId="77777777" w:rsidR="00662DA9" w:rsidRDefault="00662DA9" w:rsidP="00C81A54">
            <w:pPr>
              <w:spacing w:after="240"/>
              <w:jc w:val="center"/>
              <w:rPr>
                <w:color w:val="000000"/>
                <w:sz w:val="20"/>
                <w:szCs w:val="20"/>
              </w:rPr>
            </w:pPr>
            <w:r>
              <w:rPr>
                <w:color w:val="000000"/>
                <w:sz w:val="20"/>
                <w:szCs w:val="20"/>
              </w:rPr>
              <w:t>&lt;Sale-Licensor&gt;</w:t>
            </w:r>
          </w:p>
        </w:tc>
      </w:tr>
      <w:tr w:rsidR="00662DA9" w14:paraId="2F8495C6"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D0CCCF3" w14:textId="77777777" w:rsidR="00662DA9" w:rsidRDefault="00662DA9" w:rsidP="00C81A54">
            <w:pPr>
              <w:spacing w:after="120"/>
              <w:jc w:val="both"/>
              <w:rPr>
                <w:sz w:val="20"/>
                <w:szCs w:val="20"/>
              </w:rPr>
            </w:pPr>
            <w:r>
              <w:rPr>
                <w:sz w:val="20"/>
                <w:szCs w:val="20"/>
              </w:rPr>
              <w:t>Marketing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F1F345C" w14:textId="77777777" w:rsidR="00662DA9" w:rsidRDefault="00662DA9" w:rsidP="00C81A54">
            <w:pPr>
              <w:spacing w:after="120"/>
              <w:jc w:val="both"/>
              <w:rPr>
                <w:sz w:val="20"/>
                <w:szCs w:val="20"/>
              </w:rPr>
            </w:pPr>
            <w:r>
              <w:rPr>
                <w:sz w:val="20"/>
                <w:szCs w:val="20"/>
              </w:rPr>
              <w:t>The marketing function includes executing or localizing market strategies, managing leads, advertising, PR, social media, and brand management.</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B287C19" w14:textId="77777777" w:rsidR="00662DA9" w:rsidRDefault="00662DA9" w:rsidP="00C81A54">
            <w:pPr>
              <w:spacing w:after="240"/>
              <w:jc w:val="center"/>
              <w:rPr>
                <w:color w:val="000000"/>
                <w:sz w:val="20"/>
                <w:szCs w:val="20"/>
              </w:rPr>
            </w:pPr>
            <w:r>
              <w:rPr>
                <w:color w:val="000000"/>
                <w:sz w:val="20"/>
                <w:szCs w:val="20"/>
              </w:rPr>
              <w:t>&lt;Marketing-Licensee&gt;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B2D9A48" w14:textId="77777777" w:rsidR="00662DA9" w:rsidRDefault="00662DA9" w:rsidP="00C81A54">
            <w:pPr>
              <w:spacing w:after="240"/>
              <w:jc w:val="center"/>
              <w:rPr>
                <w:color w:val="000000"/>
                <w:sz w:val="20"/>
                <w:szCs w:val="20"/>
              </w:rPr>
            </w:pPr>
            <w:r>
              <w:rPr>
                <w:color w:val="000000"/>
                <w:sz w:val="20"/>
                <w:szCs w:val="20"/>
              </w:rPr>
              <w:t>&lt;Marketing-Licensor&gt;</w:t>
            </w:r>
          </w:p>
        </w:tc>
      </w:tr>
      <w:tr w:rsidR="00662DA9" w14:paraId="12614D5D"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C7289B3" w14:textId="77777777" w:rsidR="00662DA9" w:rsidRDefault="00662DA9" w:rsidP="00C81A54">
            <w:pPr>
              <w:pBdr>
                <w:top w:val="nil"/>
                <w:left w:val="nil"/>
                <w:bottom w:val="nil"/>
                <w:right w:val="nil"/>
                <w:between w:val="nil"/>
              </w:pBdr>
              <w:spacing w:after="120"/>
              <w:jc w:val="both"/>
              <w:rPr>
                <w:sz w:val="20"/>
                <w:szCs w:val="20"/>
              </w:rPr>
            </w:pPr>
            <w:r>
              <w:rPr>
                <w:sz w:val="20"/>
                <w:szCs w:val="20"/>
              </w:rPr>
              <w:t>Customer support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119576B" w14:textId="77777777" w:rsidR="00662DA9" w:rsidRDefault="00662DA9" w:rsidP="00C81A54">
            <w:pPr>
              <w:pBdr>
                <w:top w:val="nil"/>
                <w:left w:val="nil"/>
                <w:bottom w:val="nil"/>
                <w:right w:val="nil"/>
                <w:between w:val="nil"/>
              </w:pBdr>
              <w:spacing w:after="120"/>
              <w:jc w:val="both"/>
              <w:rPr>
                <w:sz w:val="20"/>
                <w:szCs w:val="20"/>
              </w:rPr>
            </w:pPr>
            <w:r>
              <w:rPr>
                <w:sz w:val="20"/>
                <w:szCs w:val="20"/>
              </w:rPr>
              <w:t xml:space="preserve">The customer support function includes post-sale services, such as technical support, </w:t>
            </w:r>
            <w:proofErr w:type="gramStart"/>
            <w:r>
              <w:rPr>
                <w:sz w:val="20"/>
                <w:szCs w:val="20"/>
              </w:rPr>
              <w:t>troubleshooting,  implementation</w:t>
            </w:r>
            <w:proofErr w:type="gramEnd"/>
            <w:r>
              <w:rPr>
                <w:sz w:val="20"/>
                <w:szCs w:val="20"/>
              </w:rPr>
              <w:t xml:space="preserve">, </w:t>
            </w:r>
            <w:proofErr w:type="gramStart"/>
            <w:r>
              <w:rPr>
                <w:sz w:val="20"/>
                <w:szCs w:val="20"/>
              </w:rPr>
              <w:t>repair,  maintenance</w:t>
            </w:r>
            <w:proofErr w:type="gramEnd"/>
            <w:r>
              <w:rPr>
                <w:sz w:val="20"/>
                <w:szCs w:val="20"/>
              </w:rPr>
              <w:t xml:space="preserve"> and installation </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43B70F8" w14:textId="77777777" w:rsidR="00662DA9" w:rsidRDefault="00662DA9" w:rsidP="00C81A54">
            <w:pPr>
              <w:spacing w:after="240"/>
              <w:jc w:val="center"/>
              <w:rPr>
                <w:color w:val="000000"/>
                <w:sz w:val="20"/>
                <w:szCs w:val="20"/>
              </w:rPr>
            </w:pPr>
            <w:r>
              <w:rPr>
                <w:color w:val="000000"/>
                <w:sz w:val="20"/>
                <w:szCs w:val="20"/>
              </w:rPr>
              <w:t>&lt;CS-Licensee&gt;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769D6C6" w14:textId="77777777" w:rsidR="00662DA9" w:rsidRDefault="00662DA9" w:rsidP="00C81A54">
            <w:pPr>
              <w:spacing w:after="240"/>
              <w:jc w:val="center"/>
              <w:rPr>
                <w:color w:val="000000"/>
                <w:sz w:val="20"/>
                <w:szCs w:val="20"/>
              </w:rPr>
            </w:pPr>
            <w:r>
              <w:rPr>
                <w:color w:val="000000"/>
                <w:sz w:val="20"/>
                <w:szCs w:val="20"/>
              </w:rPr>
              <w:t>&lt;CS-Licensor&gt;</w:t>
            </w:r>
          </w:p>
        </w:tc>
      </w:tr>
      <w:tr w:rsidR="00662DA9" w14:paraId="1733D27C"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9E19DAF" w14:textId="77777777" w:rsidR="00662DA9" w:rsidRDefault="00662DA9" w:rsidP="00C81A54">
            <w:pPr>
              <w:pBdr>
                <w:top w:val="nil"/>
                <w:left w:val="nil"/>
                <w:bottom w:val="nil"/>
                <w:right w:val="nil"/>
                <w:between w:val="nil"/>
              </w:pBdr>
              <w:spacing w:after="120"/>
              <w:jc w:val="both"/>
              <w:rPr>
                <w:sz w:val="20"/>
                <w:szCs w:val="20"/>
              </w:rPr>
            </w:pPr>
            <w:r>
              <w:rPr>
                <w:sz w:val="20"/>
                <w:szCs w:val="20"/>
              </w:rPr>
              <w:t>Logistics</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F6B258F" w14:textId="77777777" w:rsidR="00662DA9" w:rsidRDefault="00662DA9" w:rsidP="00C81A54">
            <w:pPr>
              <w:pBdr>
                <w:top w:val="nil"/>
                <w:left w:val="nil"/>
                <w:bottom w:val="nil"/>
                <w:right w:val="nil"/>
                <w:between w:val="nil"/>
              </w:pBdr>
              <w:spacing w:after="120"/>
              <w:jc w:val="both"/>
              <w:rPr>
                <w:sz w:val="20"/>
                <w:szCs w:val="20"/>
              </w:rPr>
            </w:pPr>
            <w:r>
              <w:rPr>
                <w:sz w:val="20"/>
                <w:szCs w:val="20"/>
              </w:rPr>
              <w:t>The logistics function includes inbound and outbound transportation management, warehousing, inventory management, supply and demand planning, packaging, and inventory management</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C8C9066" w14:textId="77777777" w:rsidR="00662DA9" w:rsidRDefault="00662DA9" w:rsidP="00C81A54">
            <w:pPr>
              <w:spacing w:after="240"/>
              <w:jc w:val="center"/>
              <w:rPr>
                <w:color w:val="000000"/>
                <w:sz w:val="20"/>
                <w:szCs w:val="20"/>
              </w:rPr>
            </w:pPr>
            <w:r>
              <w:rPr>
                <w:color w:val="000000"/>
                <w:sz w:val="20"/>
                <w:szCs w:val="20"/>
              </w:rPr>
              <w:t>&lt;Logistic-Licensee&gt;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8C94C2" w14:textId="77777777" w:rsidR="00662DA9" w:rsidRDefault="00662DA9" w:rsidP="00C81A54">
            <w:pPr>
              <w:spacing w:after="240"/>
              <w:jc w:val="center"/>
              <w:rPr>
                <w:color w:val="000000"/>
                <w:sz w:val="20"/>
                <w:szCs w:val="20"/>
              </w:rPr>
            </w:pPr>
            <w:r>
              <w:rPr>
                <w:color w:val="000000"/>
                <w:sz w:val="20"/>
                <w:szCs w:val="20"/>
              </w:rPr>
              <w:t>&lt;Logistic-Licensor&gt;</w:t>
            </w:r>
          </w:p>
        </w:tc>
      </w:tr>
      <w:tr w:rsidR="00662DA9" w14:paraId="2BE6D955"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A1EAA20" w14:textId="77777777" w:rsidR="00662DA9" w:rsidRDefault="00662DA9" w:rsidP="00C81A54">
            <w:pPr>
              <w:pBdr>
                <w:top w:val="nil"/>
                <w:left w:val="nil"/>
                <w:bottom w:val="nil"/>
                <w:right w:val="nil"/>
                <w:between w:val="nil"/>
              </w:pBdr>
              <w:spacing w:after="120"/>
              <w:jc w:val="both"/>
              <w:rPr>
                <w:sz w:val="20"/>
                <w:szCs w:val="20"/>
              </w:rPr>
            </w:pPr>
            <w:r>
              <w:rPr>
                <w:sz w:val="20"/>
                <w:szCs w:val="20"/>
              </w:rPr>
              <w:t>Lab testing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571679D" w14:textId="77777777" w:rsidR="00662DA9" w:rsidRDefault="00662DA9" w:rsidP="00C81A54">
            <w:pPr>
              <w:pBdr>
                <w:top w:val="nil"/>
                <w:left w:val="nil"/>
                <w:bottom w:val="nil"/>
                <w:right w:val="nil"/>
                <w:between w:val="nil"/>
              </w:pBdr>
              <w:spacing w:after="120"/>
              <w:jc w:val="both"/>
              <w:rPr>
                <w:sz w:val="20"/>
                <w:szCs w:val="20"/>
              </w:rPr>
            </w:pPr>
            <w:r>
              <w:rPr>
                <w:sz w:val="20"/>
                <w:szCs w:val="20"/>
              </w:rPr>
              <w:t>Includes lab testing, chemical assurance process, pharmaceutical testing, and clinical trials.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A0D1A5" w14:textId="77777777" w:rsidR="00662DA9" w:rsidRDefault="00662DA9" w:rsidP="00C81A54">
            <w:pPr>
              <w:spacing w:after="240"/>
              <w:jc w:val="center"/>
              <w:rPr>
                <w:color w:val="000000"/>
                <w:sz w:val="20"/>
                <w:szCs w:val="20"/>
              </w:rPr>
            </w:pPr>
            <w:r>
              <w:rPr>
                <w:color w:val="000000"/>
                <w:sz w:val="20"/>
                <w:szCs w:val="20"/>
              </w:rPr>
              <w:t>&lt;Lab-Licensee&gt;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6977816" w14:textId="77777777" w:rsidR="00662DA9" w:rsidRDefault="00662DA9" w:rsidP="00C81A54">
            <w:pPr>
              <w:spacing w:after="240"/>
              <w:jc w:val="center"/>
              <w:rPr>
                <w:color w:val="000000"/>
                <w:sz w:val="20"/>
                <w:szCs w:val="20"/>
              </w:rPr>
            </w:pPr>
            <w:r>
              <w:rPr>
                <w:color w:val="000000"/>
                <w:sz w:val="20"/>
                <w:szCs w:val="20"/>
              </w:rPr>
              <w:t>&lt;Lab-Licensor&gt;</w:t>
            </w:r>
          </w:p>
        </w:tc>
      </w:tr>
      <w:tr w:rsidR="00662DA9" w14:paraId="6903B898" w14:textId="77777777" w:rsidTr="004D6FD8">
        <w:trPr>
          <w:trHeight w:val="675"/>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22C56BD" w14:textId="77777777" w:rsidR="00662DA9" w:rsidRDefault="00662DA9" w:rsidP="00C81A54">
            <w:pPr>
              <w:spacing w:after="120"/>
              <w:jc w:val="both"/>
              <w:rPr>
                <w:sz w:val="20"/>
                <w:szCs w:val="20"/>
              </w:rPr>
            </w:pPr>
            <w:r>
              <w:rPr>
                <w:sz w:val="20"/>
                <w:szCs w:val="20"/>
              </w:rPr>
              <w:t>Engineering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A0867BB" w14:textId="77777777" w:rsidR="00662DA9" w:rsidRDefault="00662DA9" w:rsidP="00C81A54">
            <w:pPr>
              <w:pBdr>
                <w:top w:val="nil"/>
                <w:left w:val="nil"/>
                <w:bottom w:val="nil"/>
                <w:right w:val="nil"/>
                <w:between w:val="nil"/>
              </w:pBdr>
              <w:spacing w:after="120"/>
              <w:jc w:val="both"/>
              <w:rPr>
                <w:sz w:val="20"/>
                <w:szCs w:val="20"/>
              </w:rPr>
            </w:pPr>
            <w:r>
              <w:rPr>
                <w:sz w:val="20"/>
                <w:szCs w:val="20"/>
              </w:rPr>
              <w:t>Includes civil, infrastructure, product, and manufacturing process engineering.</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F8026F4" w14:textId="77777777" w:rsidR="00662DA9" w:rsidRDefault="00662DA9" w:rsidP="00C81A54">
            <w:pPr>
              <w:spacing w:after="240"/>
              <w:jc w:val="center"/>
              <w:rPr>
                <w:color w:val="000000"/>
                <w:sz w:val="20"/>
                <w:szCs w:val="20"/>
              </w:rPr>
            </w:pPr>
            <w:r>
              <w:rPr>
                <w:color w:val="000000"/>
                <w:sz w:val="20"/>
                <w:szCs w:val="20"/>
              </w:rPr>
              <w:t>&lt;</w:t>
            </w:r>
            <w:proofErr w:type="spellStart"/>
            <w:r>
              <w:rPr>
                <w:color w:val="000000"/>
                <w:sz w:val="20"/>
                <w:szCs w:val="20"/>
              </w:rPr>
              <w:t>Engg</w:t>
            </w:r>
            <w:proofErr w:type="spellEnd"/>
            <w:r>
              <w:rPr>
                <w:color w:val="000000"/>
                <w:sz w:val="20"/>
                <w:szCs w:val="20"/>
              </w:rPr>
              <w:t>-Licensee&gt;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2635D6B" w14:textId="77777777" w:rsidR="00662DA9" w:rsidRDefault="00662DA9" w:rsidP="00C81A54">
            <w:pPr>
              <w:spacing w:after="240"/>
              <w:jc w:val="center"/>
              <w:rPr>
                <w:color w:val="000000"/>
                <w:sz w:val="20"/>
                <w:szCs w:val="20"/>
              </w:rPr>
            </w:pPr>
            <w:r>
              <w:rPr>
                <w:color w:val="000000"/>
                <w:sz w:val="20"/>
                <w:szCs w:val="20"/>
              </w:rPr>
              <w:t>&lt;</w:t>
            </w:r>
            <w:proofErr w:type="spellStart"/>
            <w:r>
              <w:rPr>
                <w:color w:val="000000"/>
                <w:sz w:val="20"/>
                <w:szCs w:val="20"/>
              </w:rPr>
              <w:t>Engg</w:t>
            </w:r>
            <w:proofErr w:type="spellEnd"/>
            <w:r>
              <w:rPr>
                <w:color w:val="000000"/>
                <w:sz w:val="20"/>
                <w:szCs w:val="20"/>
              </w:rPr>
              <w:t>-Licensor&gt;</w:t>
            </w:r>
          </w:p>
        </w:tc>
      </w:tr>
      <w:tr w:rsidR="00662DA9" w14:paraId="20980A7F" w14:textId="77777777" w:rsidTr="004D6FD8">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ECDA09F" w14:textId="77777777" w:rsidR="00662DA9" w:rsidRDefault="00662DA9" w:rsidP="00C81A54">
            <w:pPr>
              <w:spacing w:after="120"/>
              <w:jc w:val="both"/>
              <w:rPr>
                <w:sz w:val="20"/>
                <w:szCs w:val="20"/>
              </w:rPr>
            </w:pPr>
            <w:r>
              <w:rPr>
                <w:sz w:val="20"/>
                <w:szCs w:val="20"/>
              </w:rPr>
              <w:lastRenderedPageBreak/>
              <w:t>Project management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197C1D6" w14:textId="77777777" w:rsidR="00662DA9" w:rsidRDefault="00662DA9" w:rsidP="00C81A54">
            <w:pPr>
              <w:pBdr>
                <w:top w:val="nil"/>
                <w:left w:val="nil"/>
                <w:bottom w:val="nil"/>
                <w:right w:val="nil"/>
                <w:between w:val="nil"/>
              </w:pBdr>
              <w:spacing w:after="120"/>
              <w:jc w:val="both"/>
              <w:rPr>
                <w:sz w:val="20"/>
                <w:szCs w:val="20"/>
              </w:rPr>
            </w:pPr>
            <w:r>
              <w:rPr>
                <w:sz w:val="20"/>
                <w:szCs w:val="20"/>
              </w:rPr>
              <w:t xml:space="preserve">Includes the execution, operations, and management of the project. Including </w:t>
            </w:r>
          </w:p>
          <w:p w14:paraId="75F412EB" w14:textId="77777777" w:rsidR="00662DA9" w:rsidRDefault="00662DA9" w:rsidP="00C81A54">
            <w:pPr>
              <w:pBdr>
                <w:top w:val="nil"/>
                <w:left w:val="nil"/>
                <w:bottom w:val="nil"/>
                <w:right w:val="nil"/>
                <w:between w:val="nil"/>
              </w:pBdr>
              <w:spacing w:after="120"/>
              <w:jc w:val="both"/>
              <w:rPr>
                <w:sz w:val="20"/>
                <w:szCs w:val="20"/>
              </w:rPr>
            </w:pPr>
            <w:r>
              <w:rPr>
                <w:sz w:val="20"/>
                <w:szCs w:val="20"/>
              </w:rPr>
              <w:t xml:space="preserve">coordination, communicating, and responding to issues as they occur during the project. </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F86BBF5" w14:textId="77777777" w:rsidR="00662DA9" w:rsidRDefault="00662DA9" w:rsidP="00C81A54">
            <w:pPr>
              <w:spacing w:after="240"/>
              <w:jc w:val="center"/>
              <w:rPr>
                <w:color w:val="000000"/>
                <w:sz w:val="20"/>
                <w:szCs w:val="20"/>
              </w:rPr>
            </w:pPr>
            <w:r>
              <w:rPr>
                <w:color w:val="000000"/>
                <w:sz w:val="20"/>
                <w:szCs w:val="20"/>
              </w:rPr>
              <w:t>&lt;PM-Licensee&gt;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EE55FC6" w14:textId="77777777" w:rsidR="00662DA9" w:rsidRDefault="00662DA9" w:rsidP="00C81A54">
            <w:pPr>
              <w:spacing w:after="240"/>
              <w:jc w:val="center"/>
              <w:rPr>
                <w:color w:val="000000"/>
                <w:sz w:val="20"/>
                <w:szCs w:val="20"/>
              </w:rPr>
            </w:pPr>
            <w:r>
              <w:rPr>
                <w:color w:val="000000"/>
                <w:sz w:val="20"/>
                <w:szCs w:val="20"/>
              </w:rPr>
              <w:t>&lt;PM-Licensor&gt;</w:t>
            </w:r>
          </w:p>
        </w:tc>
      </w:tr>
    </w:tbl>
    <w:p w14:paraId="12925743" w14:textId="77777777" w:rsidR="00B5529F" w:rsidRDefault="00B5529F">
      <w:pPr>
        <w:spacing w:after="120" w:line="360" w:lineRule="auto"/>
        <w:rPr>
          <w:sz w:val="20"/>
          <w:szCs w:val="20"/>
        </w:rPr>
      </w:pPr>
    </w:p>
    <w:p w14:paraId="132A4E07" w14:textId="77777777" w:rsidR="00B5529F" w:rsidRDefault="00972E0B">
      <w:pPr>
        <w:pBdr>
          <w:top w:val="nil"/>
          <w:left w:val="nil"/>
          <w:bottom w:val="nil"/>
          <w:right w:val="nil"/>
          <w:between w:val="nil"/>
        </w:pBdr>
        <w:spacing w:after="120" w:line="240" w:lineRule="auto"/>
        <w:rPr>
          <w:sz w:val="20"/>
          <w:szCs w:val="20"/>
        </w:rPr>
      </w:pPr>
      <w:r>
        <w:br w:type="page"/>
      </w:r>
    </w:p>
    <w:p w14:paraId="59002E38" w14:textId="77777777" w:rsidR="00B5529F" w:rsidRDefault="00972E0B">
      <w:pPr>
        <w:pBdr>
          <w:top w:val="nil"/>
          <w:left w:val="nil"/>
          <w:bottom w:val="nil"/>
          <w:right w:val="nil"/>
          <w:between w:val="nil"/>
        </w:pBdr>
        <w:spacing w:after="120" w:line="240" w:lineRule="auto"/>
        <w:rPr>
          <w:b/>
          <w:color w:val="000000"/>
          <w:sz w:val="24"/>
          <w:szCs w:val="24"/>
        </w:rPr>
      </w:pPr>
      <w:r>
        <w:rPr>
          <w:b/>
          <w:color w:val="000000"/>
          <w:sz w:val="24"/>
          <w:szCs w:val="24"/>
        </w:rPr>
        <w:lastRenderedPageBreak/>
        <w:t>Risks</w:t>
      </w:r>
    </w:p>
    <w:p w14:paraId="76FA05B7" w14:textId="77777777" w:rsidR="00B5529F" w:rsidRDefault="00972E0B">
      <w:pPr>
        <w:spacing w:after="120" w:line="360" w:lineRule="auto"/>
        <w:rPr>
          <w:color w:val="000000"/>
          <w:sz w:val="20"/>
          <w:szCs w:val="20"/>
        </w:rPr>
      </w:pPr>
      <w:r>
        <w:rPr>
          <w:color w:val="000000"/>
          <w:sz w:val="20"/>
          <w:szCs w:val="20"/>
        </w:rPr>
        <w:t xml:space="preserve">The following table summarizes the functions performed by the parties with respect to each of the Covered Transactions. Risks the entity bears means legally </w:t>
      </w:r>
      <w:proofErr w:type="gramStart"/>
      <w:r>
        <w:rPr>
          <w:color w:val="000000"/>
          <w:sz w:val="20"/>
          <w:szCs w:val="20"/>
        </w:rPr>
        <w:t>bears</w:t>
      </w:r>
      <w:proofErr w:type="gramEnd"/>
      <w:r>
        <w:rPr>
          <w:color w:val="000000"/>
          <w:sz w:val="20"/>
          <w:szCs w:val="20"/>
        </w:rPr>
        <w:t xml:space="preserve"> the risk </w:t>
      </w:r>
      <w:proofErr w:type="gramStart"/>
      <w:r>
        <w:rPr>
          <w:color w:val="000000"/>
          <w:sz w:val="20"/>
          <w:szCs w:val="20"/>
        </w:rPr>
        <w:t>and also</w:t>
      </w:r>
      <w:proofErr w:type="gramEnd"/>
      <w:r>
        <w:rPr>
          <w:color w:val="000000"/>
          <w:sz w:val="20"/>
          <w:szCs w:val="20"/>
        </w:rPr>
        <w:t xml:space="preserve"> </w:t>
      </w:r>
      <w:proofErr w:type="gramStart"/>
      <w:r>
        <w:rPr>
          <w:color w:val="000000"/>
          <w:sz w:val="20"/>
          <w:szCs w:val="20"/>
        </w:rPr>
        <w:t>employs</w:t>
      </w:r>
      <w:proofErr w:type="gramEnd"/>
      <w:r>
        <w:rPr>
          <w:color w:val="000000"/>
          <w:sz w:val="20"/>
          <w:szCs w:val="20"/>
        </w:rPr>
        <w:t xml:space="preserve"> the employees who </w:t>
      </w:r>
      <w:proofErr w:type="gramStart"/>
      <w:r>
        <w:rPr>
          <w:color w:val="000000"/>
          <w:sz w:val="20"/>
          <w:szCs w:val="20"/>
        </w:rPr>
        <w:t>have the ability to</w:t>
      </w:r>
      <w:proofErr w:type="gramEnd"/>
      <w:r>
        <w:rPr>
          <w:color w:val="000000"/>
          <w:sz w:val="20"/>
          <w:szCs w:val="20"/>
        </w:rPr>
        <w:t xml:space="preserve"> make </w:t>
      </w:r>
      <w:proofErr w:type="gramStart"/>
      <w:r>
        <w:rPr>
          <w:color w:val="000000"/>
          <w:sz w:val="20"/>
          <w:szCs w:val="20"/>
        </w:rPr>
        <w:t>decision</w:t>
      </w:r>
      <w:proofErr w:type="gramEnd"/>
      <w:r>
        <w:rPr>
          <w:color w:val="000000"/>
          <w:sz w:val="20"/>
          <w:szCs w:val="20"/>
        </w:rPr>
        <w:t xml:space="preserve"> with respect to the risk:</w:t>
      </w: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3615"/>
        <w:gridCol w:w="2175"/>
        <w:gridCol w:w="1965"/>
      </w:tblGrid>
      <w:tr w:rsidR="00EE4DFE" w14:paraId="7FCF0421" w14:textId="77777777" w:rsidTr="00C81A54">
        <w:tc>
          <w:tcPr>
            <w:tcW w:w="160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3318A9F0" w14:textId="77777777" w:rsidR="00EE4DFE" w:rsidRDefault="00EE4DFE" w:rsidP="00C81A54">
            <w:pPr>
              <w:jc w:val="center"/>
              <w:rPr>
                <w:rFonts w:ascii="Times New Roman" w:eastAsia="Times New Roman" w:hAnsi="Times New Roman" w:cs="Times New Roman"/>
                <w:b/>
                <w:color w:val="FFFFFF"/>
                <w:sz w:val="24"/>
                <w:szCs w:val="24"/>
              </w:rPr>
            </w:pPr>
            <w:r>
              <w:rPr>
                <w:b/>
                <w:color w:val="FFFFFF"/>
                <w:sz w:val="20"/>
                <w:szCs w:val="20"/>
              </w:rPr>
              <w:t>Risk</w:t>
            </w:r>
          </w:p>
        </w:tc>
        <w:tc>
          <w:tcPr>
            <w:tcW w:w="361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543C2B16" w14:textId="77777777" w:rsidR="00EE4DFE" w:rsidRDefault="00EE4DFE" w:rsidP="00C81A54">
            <w:pPr>
              <w:jc w:val="center"/>
              <w:rPr>
                <w:rFonts w:ascii="Times New Roman" w:eastAsia="Times New Roman" w:hAnsi="Times New Roman" w:cs="Times New Roman"/>
                <w:b/>
                <w:color w:val="FFFFFF"/>
                <w:sz w:val="24"/>
                <w:szCs w:val="24"/>
              </w:rPr>
            </w:pPr>
            <w:r>
              <w:rPr>
                <w:b/>
                <w:color w:val="FFFFFF"/>
                <w:sz w:val="20"/>
                <w:szCs w:val="20"/>
              </w:rPr>
              <w:t>Description</w:t>
            </w:r>
          </w:p>
        </w:tc>
        <w:tc>
          <w:tcPr>
            <w:tcW w:w="217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234DCF19" w14:textId="77777777" w:rsidR="00EE4DFE" w:rsidRPr="001908D4" w:rsidRDefault="00EE4DFE" w:rsidP="00C81A54">
            <w:pPr>
              <w:jc w:val="center"/>
              <w:rPr>
                <w:rFonts w:asciiTheme="minorHAnsi" w:eastAsia="Times New Roman" w:hAnsiTheme="minorHAnsi" w:cstheme="minorHAnsi"/>
                <w:b/>
                <w:color w:val="FFFFFF"/>
                <w:sz w:val="20"/>
                <w:szCs w:val="20"/>
              </w:rPr>
            </w:pPr>
            <w:r w:rsidRPr="001908D4">
              <w:rPr>
                <w:rFonts w:asciiTheme="minorHAnsi" w:eastAsia="Times New Roman" w:hAnsiTheme="minorHAnsi" w:cstheme="minorHAnsi"/>
                <w:b/>
                <w:color w:val="FFFFFF"/>
                <w:sz w:val="20"/>
                <w:szCs w:val="20"/>
                <w:lang w:val="en-IN"/>
              </w:rPr>
              <w:t>&lt;Service Provider/Distributor/Licensee ACRONYM&gt;</w:t>
            </w:r>
          </w:p>
        </w:tc>
        <w:tc>
          <w:tcPr>
            <w:tcW w:w="196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7B0EBF54" w14:textId="77777777" w:rsidR="00EE4DFE" w:rsidRDefault="00EE4DFE" w:rsidP="00C81A54">
            <w:pPr>
              <w:jc w:val="center"/>
              <w:rPr>
                <w:b/>
                <w:color w:val="FFFFFF"/>
                <w:sz w:val="20"/>
                <w:szCs w:val="20"/>
              </w:rPr>
            </w:pPr>
            <w:r>
              <w:rPr>
                <w:b/>
                <w:color w:val="FFFFFF"/>
                <w:sz w:val="20"/>
                <w:szCs w:val="20"/>
              </w:rPr>
              <w:t>&lt;Service Recipient /Product owner/Licensor ACRONYM&gt;</w:t>
            </w:r>
          </w:p>
        </w:tc>
      </w:tr>
      <w:tr w:rsidR="00EE4DFE" w14:paraId="090D1908" w14:textId="77777777" w:rsidTr="00C81A54">
        <w:tc>
          <w:tcPr>
            <w:tcW w:w="1605" w:type="dxa"/>
          </w:tcPr>
          <w:p w14:paraId="43DE67B0" w14:textId="77777777" w:rsidR="00EE4DFE" w:rsidRDefault="00EE4DFE" w:rsidP="00C81A54">
            <w:pPr>
              <w:spacing w:after="120"/>
              <w:rPr>
                <w:sz w:val="20"/>
                <w:szCs w:val="20"/>
              </w:rPr>
            </w:pPr>
            <w:r>
              <w:rPr>
                <w:sz w:val="20"/>
                <w:szCs w:val="20"/>
              </w:rPr>
              <w:t>Market risk</w:t>
            </w:r>
          </w:p>
        </w:tc>
        <w:tc>
          <w:tcPr>
            <w:tcW w:w="3615" w:type="dxa"/>
          </w:tcPr>
          <w:p w14:paraId="463CB4F6" w14:textId="137BD7FF" w:rsidR="00EE4DFE" w:rsidRDefault="00EE4DFE" w:rsidP="00603DB7">
            <w:pPr>
              <w:spacing w:after="120"/>
              <w:ind w:left="72"/>
              <w:rPr>
                <w:sz w:val="20"/>
                <w:szCs w:val="20"/>
              </w:rPr>
            </w:pPr>
            <w:r>
              <w:rPr>
                <w:sz w:val="20"/>
                <w:szCs w:val="20"/>
              </w:rPr>
              <w:t xml:space="preserve">Market risk refers to the risk that an entity may be unable to sell its products or services at prices that will allow it to generate a profit or that it may be unable to sell its products or services at all. Such </w:t>
            </w:r>
            <w:proofErr w:type="gramStart"/>
            <w:r>
              <w:rPr>
                <w:sz w:val="20"/>
                <w:szCs w:val="20"/>
              </w:rPr>
              <w:t>risk</w:t>
            </w:r>
            <w:proofErr w:type="gramEnd"/>
            <w:r>
              <w:rPr>
                <w:sz w:val="20"/>
                <w:szCs w:val="20"/>
              </w:rPr>
              <w:t xml:space="preserve"> may result from increased competition, a decline in market demand, or regulatory changes.</w:t>
            </w:r>
          </w:p>
        </w:tc>
        <w:tc>
          <w:tcPr>
            <w:tcW w:w="2175" w:type="dxa"/>
          </w:tcPr>
          <w:p w14:paraId="21F71C08" w14:textId="77777777" w:rsidR="00EE4DFE" w:rsidRDefault="00EE4DFE" w:rsidP="00C81A54">
            <w:pPr>
              <w:spacing w:after="240"/>
              <w:jc w:val="center"/>
              <w:rPr>
                <w:sz w:val="24"/>
                <w:szCs w:val="24"/>
              </w:rPr>
            </w:pPr>
          </w:p>
          <w:p w14:paraId="1FFB3081" w14:textId="77777777" w:rsidR="00EE4DFE" w:rsidRDefault="00EE4DFE" w:rsidP="00C81A54">
            <w:pPr>
              <w:spacing w:after="240"/>
              <w:jc w:val="center"/>
              <w:rPr>
                <w:sz w:val="20"/>
                <w:szCs w:val="20"/>
              </w:rPr>
            </w:pPr>
            <w:r>
              <w:rPr>
                <w:sz w:val="20"/>
                <w:szCs w:val="20"/>
              </w:rPr>
              <w:t>O</w:t>
            </w:r>
          </w:p>
        </w:tc>
        <w:tc>
          <w:tcPr>
            <w:tcW w:w="1965" w:type="dxa"/>
          </w:tcPr>
          <w:p w14:paraId="0280974A" w14:textId="77777777" w:rsidR="00EE4DFE" w:rsidRDefault="00EE4DFE" w:rsidP="00C81A54">
            <w:pPr>
              <w:spacing w:after="240"/>
              <w:jc w:val="center"/>
              <w:rPr>
                <w:sz w:val="24"/>
                <w:szCs w:val="24"/>
              </w:rPr>
            </w:pPr>
          </w:p>
          <w:p w14:paraId="1A389DDE" w14:textId="77777777" w:rsidR="00EE4DFE" w:rsidRDefault="00EE4DFE" w:rsidP="00C81A54">
            <w:pPr>
              <w:spacing w:after="240"/>
              <w:jc w:val="center"/>
              <w:rPr>
                <w:sz w:val="20"/>
                <w:szCs w:val="20"/>
              </w:rPr>
            </w:pPr>
            <w:r>
              <w:rPr>
                <w:sz w:val="20"/>
                <w:szCs w:val="20"/>
              </w:rPr>
              <w:t xml:space="preserve">O </w:t>
            </w:r>
            <w:proofErr w:type="spellStart"/>
            <w:r>
              <w:rPr>
                <w:sz w:val="20"/>
                <w:szCs w:val="20"/>
              </w:rPr>
              <w:t>O</w:t>
            </w:r>
            <w:proofErr w:type="spellEnd"/>
          </w:p>
        </w:tc>
      </w:tr>
      <w:tr w:rsidR="00EE4DFE" w14:paraId="42AF8592" w14:textId="77777777" w:rsidTr="00C81A54">
        <w:tc>
          <w:tcPr>
            <w:tcW w:w="1605" w:type="dxa"/>
          </w:tcPr>
          <w:p w14:paraId="5686080B" w14:textId="77777777" w:rsidR="00EE4DFE" w:rsidRDefault="00EE4DFE" w:rsidP="00C81A54">
            <w:pPr>
              <w:spacing w:after="120"/>
              <w:rPr>
                <w:sz w:val="20"/>
                <w:szCs w:val="20"/>
              </w:rPr>
            </w:pPr>
            <w:r>
              <w:rPr>
                <w:sz w:val="20"/>
                <w:szCs w:val="20"/>
              </w:rPr>
              <w:t>Research and development risk</w:t>
            </w:r>
          </w:p>
          <w:p w14:paraId="6EEF7A6A" w14:textId="77777777" w:rsidR="00EE4DFE" w:rsidRDefault="00EE4DFE" w:rsidP="00C81A54">
            <w:pPr>
              <w:spacing w:after="120"/>
              <w:rPr>
                <w:sz w:val="20"/>
                <w:szCs w:val="20"/>
              </w:rPr>
            </w:pPr>
          </w:p>
        </w:tc>
        <w:tc>
          <w:tcPr>
            <w:tcW w:w="3615" w:type="dxa"/>
          </w:tcPr>
          <w:p w14:paraId="74382E57" w14:textId="77777777" w:rsidR="00EE4DFE" w:rsidRDefault="00EE4DFE" w:rsidP="00603DB7">
            <w:pPr>
              <w:spacing w:after="120"/>
              <w:ind w:left="72"/>
              <w:rPr>
                <w:sz w:val="20"/>
                <w:szCs w:val="20"/>
              </w:rPr>
            </w:pPr>
            <w:r>
              <w:rPr>
                <w:sz w:val="20"/>
                <w:szCs w:val="20"/>
              </w:rPr>
              <w:t xml:space="preserve">R&amp;D risk refers to the risk of unsuccessful R&amp;D and related costs. Thus, an entity incurs the R&amp;D risk when it invests resources into the discovery and improvement of products and processes without the assurance that the market will reward it for these efforts. </w:t>
            </w:r>
          </w:p>
        </w:tc>
        <w:tc>
          <w:tcPr>
            <w:tcW w:w="2175" w:type="dxa"/>
          </w:tcPr>
          <w:p w14:paraId="2A56A6EF" w14:textId="77777777" w:rsidR="00EE4DFE" w:rsidRDefault="00EE4DFE" w:rsidP="00C81A54">
            <w:pPr>
              <w:jc w:val="center"/>
              <w:rPr>
                <w:sz w:val="20"/>
                <w:szCs w:val="20"/>
              </w:rPr>
            </w:pPr>
            <w:r>
              <w:rPr>
                <w:sz w:val="20"/>
                <w:szCs w:val="20"/>
              </w:rPr>
              <w:t>&lt;RDR-Licensee&gt;</w:t>
            </w:r>
          </w:p>
        </w:tc>
        <w:tc>
          <w:tcPr>
            <w:tcW w:w="1965" w:type="dxa"/>
          </w:tcPr>
          <w:p w14:paraId="594EE4E2" w14:textId="77777777" w:rsidR="00EE4DFE" w:rsidRDefault="00EE4DFE" w:rsidP="00C81A54">
            <w:pPr>
              <w:jc w:val="center"/>
              <w:rPr>
                <w:sz w:val="20"/>
                <w:szCs w:val="20"/>
              </w:rPr>
            </w:pPr>
            <w:r>
              <w:rPr>
                <w:sz w:val="20"/>
                <w:szCs w:val="20"/>
              </w:rPr>
              <w:t>&lt;RDR-Licensor&gt;</w:t>
            </w:r>
          </w:p>
        </w:tc>
      </w:tr>
      <w:tr w:rsidR="00EE4DFE" w14:paraId="497F4812" w14:textId="77777777" w:rsidTr="00C81A54">
        <w:tc>
          <w:tcPr>
            <w:tcW w:w="1605" w:type="dxa"/>
          </w:tcPr>
          <w:p w14:paraId="62A41937" w14:textId="77777777" w:rsidR="00EE4DFE" w:rsidRDefault="00EE4DFE" w:rsidP="00C81A54">
            <w:pPr>
              <w:spacing w:after="120"/>
              <w:rPr>
                <w:sz w:val="20"/>
                <w:szCs w:val="20"/>
              </w:rPr>
            </w:pPr>
            <w:r>
              <w:rPr>
                <w:sz w:val="20"/>
                <w:szCs w:val="20"/>
              </w:rPr>
              <w:t>Product/service Liability risk</w:t>
            </w:r>
          </w:p>
        </w:tc>
        <w:tc>
          <w:tcPr>
            <w:tcW w:w="3615" w:type="dxa"/>
          </w:tcPr>
          <w:p w14:paraId="4C683164" w14:textId="77777777" w:rsidR="00EE4DFE" w:rsidRDefault="00EE4DFE" w:rsidP="00603DB7">
            <w:pPr>
              <w:spacing w:after="120"/>
              <w:ind w:left="72"/>
              <w:rPr>
                <w:sz w:val="20"/>
                <w:szCs w:val="20"/>
              </w:rPr>
            </w:pPr>
            <w:r>
              <w:rPr>
                <w:sz w:val="20"/>
                <w:szCs w:val="20"/>
              </w:rPr>
              <w:t xml:space="preserve">Product or service liability/warranty risk is borne by a company when its products or services fail to perform the contractual </w:t>
            </w:r>
            <w:proofErr w:type="gramStart"/>
            <w:r>
              <w:rPr>
                <w:sz w:val="20"/>
                <w:szCs w:val="20"/>
              </w:rPr>
              <w:t>standards</w:t>
            </w:r>
            <w:proofErr w:type="gramEnd"/>
            <w:r>
              <w:rPr>
                <w:sz w:val="20"/>
                <w:szCs w:val="20"/>
              </w:rPr>
              <w:t xml:space="preserve"> and the company is required to correct defective product/service. A product/service liability claim could result in costs to a company's reputation, and consequently in a decline in revenues.</w:t>
            </w:r>
          </w:p>
        </w:tc>
        <w:tc>
          <w:tcPr>
            <w:tcW w:w="2175" w:type="dxa"/>
          </w:tcPr>
          <w:p w14:paraId="543B9E12" w14:textId="77777777" w:rsidR="00EE4DFE" w:rsidRDefault="00EE4DFE" w:rsidP="00C81A54">
            <w:pPr>
              <w:jc w:val="center"/>
              <w:rPr>
                <w:sz w:val="20"/>
                <w:szCs w:val="20"/>
              </w:rPr>
            </w:pPr>
            <w:r>
              <w:rPr>
                <w:sz w:val="20"/>
                <w:szCs w:val="20"/>
              </w:rPr>
              <w:t>&lt;LR-Licensee&gt;</w:t>
            </w:r>
          </w:p>
        </w:tc>
        <w:tc>
          <w:tcPr>
            <w:tcW w:w="1965" w:type="dxa"/>
          </w:tcPr>
          <w:p w14:paraId="0E2C0317" w14:textId="77777777" w:rsidR="00EE4DFE" w:rsidRDefault="00EE4DFE" w:rsidP="00C81A54">
            <w:pPr>
              <w:jc w:val="center"/>
              <w:rPr>
                <w:sz w:val="20"/>
                <w:szCs w:val="20"/>
              </w:rPr>
            </w:pPr>
            <w:r>
              <w:rPr>
                <w:sz w:val="20"/>
                <w:szCs w:val="20"/>
              </w:rPr>
              <w:t>&lt;LR-Licensor&gt;</w:t>
            </w:r>
          </w:p>
        </w:tc>
      </w:tr>
      <w:tr w:rsidR="00EE4DFE" w14:paraId="3284E62A" w14:textId="77777777" w:rsidTr="00C81A54">
        <w:tc>
          <w:tcPr>
            <w:tcW w:w="1605" w:type="dxa"/>
          </w:tcPr>
          <w:p w14:paraId="32FCB5A7" w14:textId="77777777" w:rsidR="00EE4DFE" w:rsidRDefault="00EE4DFE" w:rsidP="00C81A54">
            <w:pPr>
              <w:spacing w:after="120"/>
              <w:rPr>
                <w:sz w:val="20"/>
                <w:szCs w:val="20"/>
              </w:rPr>
            </w:pPr>
            <w:r>
              <w:rPr>
                <w:sz w:val="20"/>
                <w:szCs w:val="20"/>
              </w:rPr>
              <w:t>Foreign Exchange risk</w:t>
            </w:r>
          </w:p>
        </w:tc>
        <w:tc>
          <w:tcPr>
            <w:tcW w:w="3615" w:type="dxa"/>
          </w:tcPr>
          <w:p w14:paraId="23D19CB7" w14:textId="77777777" w:rsidR="00EE4DFE" w:rsidRDefault="00EE4DFE" w:rsidP="00603DB7">
            <w:pPr>
              <w:spacing w:after="120"/>
              <w:ind w:left="72"/>
              <w:rPr>
                <w:sz w:val="20"/>
                <w:szCs w:val="20"/>
              </w:rPr>
            </w:pPr>
            <w:r>
              <w:rPr>
                <w:sz w:val="20"/>
                <w:szCs w:val="20"/>
              </w:rPr>
              <w:t>The potential variability of profits can arise because of changes in foreign exchange rates. Foreign exchange risk occurs, for example, when expenses are denominated in one currency while revenue is denominated in another currency.</w:t>
            </w:r>
          </w:p>
        </w:tc>
        <w:tc>
          <w:tcPr>
            <w:tcW w:w="2175" w:type="dxa"/>
          </w:tcPr>
          <w:p w14:paraId="3B75D22D" w14:textId="77777777" w:rsidR="00EE4DFE" w:rsidRDefault="00EE4DFE" w:rsidP="00C81A54">
            <w:pPr>
              <w:jc w:val="center"/>
              <w:rPr>
                <w:sz w:val="20"/>
                <w:szCs w:val="20"/>
              </w:rPr>
            </w:pPr>
            <w:r>
              <w:rPr>
                <w:sz w:val="20"/>
                <w:szCs w:val="20"/>
              </w:rPr>
              <w:t>&lt;FER-Licensee&gt;</w:t>
            </w:r>
          </w:p>
        </w:tc>
        <w:tc>
          <w:tcPr>
            <w:tcW w:w="1965" w:type="dxa"/>
          </w:tcPr>
          <w:p w14:paraId="320CDCF1" w14:textId="77777777" w:rsidR="00EE4DFE" w:rsidRDefault="00EE4DFE" w:rsidP="00C81A54">
            <w:pPr>
              <w:spacing w:after="120"/>
              <w:jc w:val="center"/>
              <w:rPr>
                <w:sz w:val="20"/>
                <w:szCs w:val="20"/>
              </w:rPr>
            </w:pPr>
            <w:r>
              <w:rPr>
                <w:sz w:val="20"/>
                <w:szCs w:val="20"/>
              </w:rPr>
              <w:t>&lt;FER-Licensor&gt;</w:t>
            </w:r>
          </w:p>
        </w:tc>
      </w:tr>
      <w:tr w:rsidR="00EE4DFE" w14:paraId="221F9420" w14:textId="77777777" w:rsidTr="00C81A54">
        <w:tc>
          <w:tcPr>
            <w:tcW w:w="1605" w:type="dxa"/>
          </w:tcPr>
          <w:p w14:paraId="2F7EA037" w14:textId="77777777" w:rsidR="00EE4DFE" w:rsidRDefault="00EE4DFE" w:rsidP="00C81A54">
            <w:pPr>
              <w:spacing w:after="120"/>
              <w:rPr>
                <w:sz w:val="20"/>
                <w:szCs w:val="20"/>
              </w:rPr>
            </w:pPr>
            <w:r>
              <w:rPr>
                <w:sz w:val="20"/>
                <w:szCs w:val="20"/>
              </w:rPr>
              <w:t>Inventory risk</w:t>
            </w:r>
          </w:p>
        </w:tc>
        <w:tc>
          <w:tcPr>
            <w:tcW w:w="3615" w:type="dxa"/>
          </w:tcPr>
          <w:p w14:paraId="27D53859" w14:textId="77777777" w:rsidR="00EE4DFE" w:rsidRDefault="00EE4DFE" w:rsidP="00603DB7">
            <w:pPr>
              <w:spacing w:after="120"/>
              <w:ind w:left="72"/>
              <w:rPr>
                <w:sz w:val="20"/>
                <w:szCs w:val="20"/>
              </w:rPr>
            </w:pPr>
            <w:r>
              <w:rPr>
                <w:sz w:val="20"/>
                <w:szCs w:val="20"/>
              </w:rPr>
              <w:t xml:space="preserve">Inventory risk relates to the potential for losses associated with carrying raw materials, work-in-progress or finished products inventory. Losses include obsolescence, shrinkage, or market collapse such that products are only salable at prices that are inadequate to cover the company’s costs. There is also a risk associated with excess inventory. This </w:t>
            </w:r>
            <w:r>
              <w:rPr>
                <w:sz w:val="20"/>
                <w:szCs w:val="20"/>
              </w:rPr>
              <w:lastRenderedPageBreak/>
              <w:t xml:space="preserve">risk occurs when distributors hold large amounts of inventory and thus their cash is tied up, limiting the distributors’ ability to purchase new products. </w:t>
            </w:r>
          </w:p>
        </w:tc>
        <w:tc>
          <w:tcPr>
            <w:tcW w:w="2175" w:type="dxa"/>
          </w:tcPr>
          <w:p w14:paraId="39DF640E" w14:textId="77777777" w:rsidR="00EE4DFE" w:rsidRDefault="00EE4DFE" w:rsidP="00C81A54">
            <w:pPr>
              <w:jc w:val="center"/>
              <w:rPr>
                <w:sz w:val="20"/>
                <w:szCs w:val="20"/>
              </w:rPr>
            </w:pPr>
            <w:r>
              <w:rPr>
                <w:sz w:val="20"/>
                <w:szCs w:val="20"/>
              </w:rPr>
              <w:lastRenderedPageBreak/>
              <w:t>&lt;IR-Licensee&gt;</w:t>
            </w:r>
          </w:p>
        </w:tc>
        <w:tc>
          <w:tcPr>
            <w:tcW w:w="1965" w:type="dxa"/>
          </w:tcPr>
          <w:p w14:paraId="4A0E4FFE" w14:textId="77777777" w:rsidR="00EE4DFE" w:rsidRDefault="00EE4DFE" w:rsidP="00C81A54">
            <w:pPr>
              <w:spacing w:after="120"/>
              <w:jc w:val="center"/>
              <w:rPr>
                <w:sz w:val="20"/>
                <w:szCs w:val="20"/>
              </w:rPr>
            </w:pPr>
            <w:r>
              <w:rPr>
                <w:sz w:val="20"/>
                <w:szCs w:val="20"/>
              </w:rPr>
              <w:t>&lt;IR-Licensor&gt;</w:t>
            </w:r>
          </w:p>
        </w:tc>
      </w:tr>
      <w:tr w:rsidR="00EE4DFE" w14:paraId="62C85814" w14:textId="77777777" w:rsidTr="00C81A54">
        <w:tc>
          <w:tcPr>
            <w:tcW w:w="1605" w:type="dxa"/>
          </w:tcPr>
          <w:p w14:paraId="308242BA" w14:textId="77777777" w:rsidR="00EE4DFE" w:rsidRDefault="00EE4DFE" w:rsidP="00C81A54">
            <w:pPr>
              <w:spacing w:after="120"/>
              <w:rPr>
                <w:sz w:val="20"/>
                <w:szCs w:val="20"/>
              </w:rPr>
            </w:pPr>
            <w:r>
              <w:rPr>
                <w:sz w:val="20"/>
                <w:szCs w:val="20"/>
              </w:rPr>
              <w:t>Credit / Bad Debt risk</w:t>
            </w:r>
          </w:p>
        </w:tc>
        <w:tc>
          <w:tcPr>
            <w:tcW w:w="3615" w:type="dxa"/>
          </w:tcPr>
          <w:p w14:paraId="1046AEC4" w14:textId="77777777" w:rsidR="00EE4DFE" w:rsidRPr="00603DB7" w:rsidRDefault="00EE4DFE" w:rsidP="00603DB7">
            <w:pPr>
              <w:spacing w:after="120"/>
              <w:ind w:left="72"/>
              <w:rPr>
                <w:sz w:val="20"/>
                <w:szCs w:val="20"/>
              </w:rPr>
            </w:pPr>
            <w:r>
              <w:rPr>
                <w:sz w:val="20"/>
                <w:szCs w:val="20"/>
              </w:rPr>
              <w:t xml:space="preserve">Bad debt risk refers to the risks of clients not paying part or the whole amount they owe for receiving the goods or services. </w:t>
            </w:r>
          </w:p>
        </w:tc>
        <w:tc>
          <w:tcPr>
            <w:tcW w:w="2175" w:type="dxa"/>
          </w:tcPr>
          <w:p w14:paraId="02AB5CD7" w14:textId="77777777" w:rsidR="00EE4DFE" w:rsidRDefault="00EE4DFE" w:rsidP="00C81A54">
            <w:pPr>
              <w:jc w:val="center"/>
              <w:rPr>
                <w:sz w:val="20"/>
                <w:szCs w:val="20"/>
              </w:rPr>
            </w:pPr>
            <w:r>
              <w:rPr>
                <w:sz w:val="20"/>
                <w:szCs w:val="20"/>
              </w:rPr>
              <w:t>&lt;CBR-Licensee&gt;</w:t>
            </w:r>
          </w:p>
        </w:tc>
        <w:tc>
          <w:tcPr>
            <w:tcW w:w="1965" w:type="dxa"/>
          </w:tcPr>
          <w:p w14:paraId="03154A19" w14:textId="77777777" w:rsidR="00EE4DFE" w:rsidRDefault="00EE4DFE" w:rsidP="00C81A54">
            <w:pPr>
              <w:spacing w:after="120"/>
              <w:jc w:val="center"/>
              <w:rPr>
                <w:sz w:val="20"/>
                <w:szCs w:val="20"/>
              </w:rPr>
            </w:pPr>
            <w:r>
              <w:rPr>
                <w:sz w:val="20"/>
                <w:szCs w:val="20"/>
              </w:rPr>
              <w:t>&lt;CBR-Licensor&gt;</w:t>
            </w:r>
          </w:p>
        </w:tc>
      </w:tr>
      <w:tr w:rsidR="00EE4DFE" w14:paraId="0BBD73DB" w14:textId="77777777" w:rsidTr="00C81A54">
        <w:tc>
          <w:tcPr>
            <w:tcW w:w="1605" w:type="dxa"/>
          </w:tcPr>
          <w:p w14:paraId="3AE7F48B" w14:textId="77777777" w:rsidR="00EE4DFE" w:rsidRDefault="00EE4DFE" w:rsidP="00C81A54">
            <w:pPr>
              <w:jc w:val="both"/>
              <w:rPr>
                <w:sz w:val="20"/>
                <w:szCs w:val="20"/>
              </w:rPr>
            </w:pPr>
            <w:r>
              <w:rPr>
                <w:sz w:val="20"/>
                <w:szCs w:val="20"/>
              </w:rPr>
              <w:t>Manufacturing risk</w:t>
            </w:r>
          </w:p>
        </w:tc>
        <w:tc>
          <w:tcPr>
            <w:tcW w:w="3615" w:type="dxa"/>
          </w:tcPr>
          <w:p w14:paraId="6F9D3F4D" w14:textId="77777777" w:rsidR="00EE4DFE" w:rsidRDefault="00EE4DFE" w:rsidP="00603DB7">
            <w:pPr>
              <w:spacing w:after="120"/>
              <w:ind w:left="72"/>
              <w:rPr>
                <w:sz w:val="20"/>
                <w:szCs w:val="20"/>
              </w:rPr>
            </w:pPr>
            <w:r>
              <w:rPr>
                <w:sz w:val="20"/>
                <w:szCs w:val="20"/>
              </w:rPr>
              <w:t>Manufacturing risk includes loss resulting from the manufacturing process, whether due to machinery or equipment malfunction, or missing planning or workforce.</w:t>
            </w:r>
          </w:p>
        </w:tc>
        <w:tc>
          <w:tcPr>
            <w:tcW w:w="2175" w:type="dxa"/>
          </w:tcPr>
          <w:p w14:paraId="7E925FC2" w14:textId="77777777" w:rsidR="00EE4DFE" w:rsidRDefault="00EE4DFE" w:rsidP="00C81A54">
            <w:pPr>
              <w:jc w:val="center"/>
              <w:rPr>
                <w:sz w:val="20"/>
                <w:szCs w:val="20"/>
              </w:rPr>
            </w:pPr>
            <w:r>
              <w:rPr>
                <w:sz w:val="20"/>
                <w:szCs w:val="20"/>
              </w:rPr>
              <w:t>&lt;MR-Licensee&gt;</w:t>
            </w:r>
          </w:p>
        </w:tc>
        <w:tc>
          <w:tcPr>
            <w:tcW w:w="1965" w:type="dxa"/>
          </w:tcPr>
          <w:p w14:paraId="5070A02B" w14:textId="77777777" w:rsidR="00EE4DFE" w:rsidRDefault="00EE4DFE" w:rsidP="00C81A54">
            <w:pPr>
              <w:spacing w:after="120"/>
              <w:jc w:val="center"/>
              <w:rPr>
                <w:sz w:val="20"/>
                <w:szCs w:val="20"/>
              </w:rPr>
            </w:pPr>
            <w:r>
              <w:rPr>
                <w:sz w:val="20"/>
                <w:szCs w:val="20"/>
              </w:rPr>
              <w:t>&lt;MR-Licensor&gt;</w:t>
            </w:r>
          </w:p>
        </w:tc>
      </w:tr>
      <w:tr w:rsidR="00EE4DFE" w14:paraId="71DAC8A8" w14:textId="77777777" w:rsidTr="00C81A54">
        <w:tc>
          <w:tcPr>
            <w:tcW w:w="1605" w:type="dxa"/>
          </w:tcPr>
          <w:p w14:paraId="7E12510D" w14:textId="77777777" w:rsidR="00EE4DFE" w:rsidRDefault="00EE4DFE" w:rsidP="00C81A54">
            <w:pPr>
              <w:jc w:val="both"/>
              <w:rPr>
                <w:sz w:val="20"/>
                <w:szCs w:val="20"/>
              </w:rPr>
            </w:pPr>
            <w:r>
              <w:rPr>
                <w:sz w:val="20"/>
                <w:szCs w:val="20"/>
              </w:rPr>
              <w:t>Project management risk</w:t>
            </w:r>
          </w:p>
        </w:tc>
        <w:tc>
          <w:tcPr>
            <w:tcW w:w="3615" w:type="dxa"/>
          </w:tcPr>
          <w:p w14:paraId="1FBC5E47" w14:textId="77777777" w:rsidR="00EE4DFE" w:rsidRDefault="00EE4DFE" w:rsidP="00603DB7">
            <w:pPr>
              <w:spacing w:after="120"/>
              <w:ind w:left="72"/>
              <w:rPr>
                <w:sz w:val="20"/>
                <w:szCs w:val="20"/>
              </w:rPr>
            </w:pPr>
            <w:r>
              <w:rPr>
                <w:sz w:val="20"/>
                <w:szCs w:val="20"/>
              </w:rPr>
              <w:t xml:space="preserve">Project management risk includes losses due to unexpected events throughout the project, including hiring additional contractors, and renting equipment, properties or purchasing products to ensure the completion of the project as planned. </w:t>
            </w:r>
          </w:p>
        </w:tc>
        <w:tc>
          <w:tcPr>
            <w:tcW w:w="2175" w:type="dxa"/>
          </w:tcPr>
          <w:p w14:paraId="18799BB1" w14:textId="77777777" w:rsidR="00EE4DFE" w:rsidRDefault="00EE4DFE" w:rsidP="00C81A54">
            <w:pPr>
              <w:jc w:val="center"/>
              <w:rPr>
                <w:sz w:val="20"/>
                <w:szCs w:val="20"/>
              </w:rPr>
            </w:pPr>
            <w:r>
              <w:rPr>
                <w:sz w:val="20"/>
                <w:szCs w:val="20"/>
              </w:rPr>
              <w:t>&lt;PMR-Licensee&gt;</w:t>
            </w:r>
          </w:p>
        </w:tc>
        <w:tc>
          <w:tcPr>
            <w:tcW w:w="1965" w:type="dxa"/>
          </w:tcPr>
          <w:p w14:paraId="0C569D3C" w14:textId="77777777" w:rsidR="00EE4DFE" w:rsidRDefault="00EE4DFE" w:rsidP="00C81A54">
            <w:pPr>
              <w:spacing w:after="120"/>
              <w:jc w:val="center"/>
              <w:rPr>
                <w:sz w:val="20"/>
                <w:szCs w:val="20"/>
              </w:rPr>
            </w:pPr>
            <w:r>
              <w:rPr>
                <w:sz w:val="20"/>
                <w:szCs w:val="20"/>
              </w:rPr>
              <w:t>&lt;PMR-Licensor&gt;</w:t>
            </w:r>
          </w:p>
        </w:tc>
      </w:tr>
    </w:tbl>
    <w:p w14:paraId="091D3808" w14:textId="77777777" w:rsidR="00B5529F" w:rsidRDefault="00B5529F">
      <w:pPr>
        <w:spacing w:after="120" w:line="360" w:lineRule="auto"/>
        <w:rPr>
          <w:color w:val="000000"/>
          <w:sz w:val="20"/>
          <w:szCs w:val="20"/>
        </w:rPr>
      </w:pPr>
    </w:p>
    <w:p w14:paraId="40FB3D42" w14:textId="77777777" w:rsidR="00B5529F" w:rsidRDefault="00B5529F">
      <w:pPr>
        <w:spacing w:after="120" w:line="360" w:lineRule="auto"/>
        <w:rPr>
          <w:color w:val="000000"/>
          <w:sz w:val="20"/>
          <w:szCs w:val="20"/>
        </w:rPr>
      </w:pPr>
    </w:p>
    <w:p w14:paraId="0169E938" w14:textId="77777777" w:rsidR="00B5529F" w:rsidRDefault="00B5529F">
      <w:pPr>
        <w:spacing w:after="120" w:line="360" w:lineRule="auto"/>
        <w:rPr>
          <w:color w:val="000000"/>
          <w:sz w:val="20"/>
          <w:szCs w:val="20"/>
        </w:rPr>
      </w:pPr>
    </w:p>
    <w:p w14:paraId="5724AD75" w14:textId="77777777" w:rsidR="00B5529F" w:rsidRDefault="00B5529F">
      <w:pPr>
        <w:spacing w:after="120" w:line="360" w:lineRule="auto"/>
        <w:rPr>
          <w:b/>
          <w:color w:val="000000"/>
          <w:sz w:val="24"/>
          <w:szCs w:val="24"/>
        </w:rPr>
      </w:pPr>
    </w:p>
    <w:p w14:paraId="351F507A" w14:textId="77777777" w:rsidR="00B5529F" w:rsidRDefault="00B5529F">
      <w:pPr>
        <w:spacing w:after="120" w:line="360" w:lineRule="auto"/>
        <w:rPr>
          <w:b/>
          <w:color w:val="000000"/>
          <w:sz w:val="24"/>
          <w:szCs w:val="24"/>
        </w:rPr>
      </w:pPr>
    </w:p>
    <w:p w14:paraId="0D5F17A3" w14:textId="77777777" w:rsidR="00B5529F" w:rsidRDefault="00B5529F">
      <w:pPr>
        <w:spacing w:after="120" w:line="360" w:lineRule="auto"/>
        <w:rPr>
          <w:b/>
          <w:color w:val="000000"/>
          <w:sz w:val="24"/>
          <w:szCs w:val="24"/>
        </w:rPr>
      </w:pPr>
    </w:p>
    <w:p w14:paraId="141A8E5A" w14:textId="77777777" w:rsidR="00B5529F" w:rsidRDefault="00B5529F">
      <w:pPr>
        <w:spacing w:after="120" w:line="360" w:lineRule="auto"/>
        <w:rPr>
          <w:b/>
          <w:color w:val="000000"/>
          <w:sz w:val="24"/>
          <w:szCs w:val="24"/>
        </w:rPr>
      </w:pPr>
    </w:p>
    <w:p w14:paraId="59D3C6C5" w14:textId="77777777" w:rsidR="00B5529F" w:rsidRDefault="00972E0B">
      <w:pPr>
        <w:spacing w:after="120" w:line="360" w:lineRule="auto"/>
        <w:rPr>
          <w:b/>
          <w:sz w:val="24"/>
          <w:szCs w:val="24"/>
        </w:rPr>
      </w:pPr>
      <w:r>
        <w:br w:type="page"/>
      </w:r>
    </w:p>
    <w:p w14:paraId="2C7D56A0" w14:textId="77777777" w:rsidR="00B5529F" w:rsidRDefault="00972E0B">
      <w:pPr>
        <w:spacing w:after="120" w:line="360" w:lineRule="auto"/>
        <w:rPr>
          <w:b/>
          <w:color w:val="000000"/>
          <w:sz w:val="24"/>
          <w:szCs w:val="24"/>
        </w:rPr>
      </w:pPr>
      <w:r>
        <w:rPr>
          <w:b/>
          <w:color w:val="000000"/>
          <w:sz w:val="24"/>
          <w:szCs w:val="24"/>
        </w:rPr>
        <w:lastRenderedPageBreak/>
        <w:t>Assets</w:t>
      </w:r>
    </w:p>
    <w:p w14:paraId="5F70F08B" w14:textId="77777777" w:rsidR="00B5529F" w:rsidRDefault="00972E0B">
      <w:pPr>
        <w:spacing w:after="240" w:line="240" w:lineRule="auto"/>
        <w:rPr>
          <w:rFonts w:ascii="Times New Roman" w:eastAsia="Times New Roman" w:hAnsi="Times New Roman" w:cs="Times New Roman"/>
          <w:sz w:val="24"/>
          <w:szCs w:val="24"/>
        </w:rPr>
      </w:pPr>
      <w:r>
        <w:rPr>
          <w:color w:val="000000"/>
          <w:sz w:val="20"/>
          <w:szCs w:val="20"/>
        </w:rPr>
        <w:t>The following table summarizes the assets owned by the parties with respect to the Covered Transaction.</w:t>
      </w:r>
    </w:p>
    <w:tbl>
      <w:tblPr>
        <w:tblStyle w:val="af1"/>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3580"/>
        <w:gridCol w:w="2070"/>
        <w:gridCol w:w="2330"/>
      </w:tblGrid>
      <w:tr w:rsidR="00D83E1D" w14:paraId="42DB092C" w14:textId="77777777" w:rsidTr="000E22A8">
        <w:trPr>
          <w:trHeight w:val="439"/>
        </w:trPr>
        <w:tc>
          <w:tcPr>
            <w:tcW w:w="136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240B7228" w14:textId="77777777" w:rsidR="00D83E1D" w:rsidRDefault="00D83E1D" w:rsidP="00C81A54">
            <w:pPr>
              <w:jc w:val="center"/>
              <w:rPr>
                <w:rFonts w:ascii="Times New Roman" w:eastAsia="Times New Roman" w:hAnsi="Times New Roman" w:cs="Times New Roman"/>
                <w:b/>
                <w:color w:val="FFFFFF"/>
                <w:sz w:val="24"/>
                <w:szCs w:val="24"/>
              </w:rPr>
            </w:pPr>
            <w:r>
              <w:rPr>
                <w:b/>
                <w:color w:val="FFFFFF"/>
                <w:sz w:val="20"/>
                <w:szCs w:val="20"/>
              </w:rPr>
              <w:t>Asset</w:t>
            </w:r>
          </w:p>
        </w:tc>
        <w:tc>
          <w:tcPr>
            <w:tcW w:w="3580"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6627400C" w14:textId="77777777" w:rsidR="00D83E1D" w:rsidRDefault="00D83E1D" w:rsidP="00C81A54">
            <w:pPr>
              <w:jc w:val="center"/>
              <w:rPr>
                <w:rFonts w:ascii="Times New Roman" w:eastAsia="Times New Roman" w:hAnsi="Times New Roman" w:cs="Times New Roman"/>
                <w:b/>
                <w:color w:val="FFFFFF"/>
                <w:sz w:val="24"/>
                <w:szCs w:val="24"/>
              </w:rPr>
            </w:pPr>
            <w:r>
              <w:rPr>
                <w:b/>
                <w:color w:val="FFFFFF"/>
                <w:sz w:val="20"/>
                <w:szCs w:val="20"/>
              </w:rPr>
              <w:t>Description</w:t>
            </w:r>
          </w:p>
        </w:tc>
        <w:tc>
          <w:tcPr>
            <w:tcW w:w="2070"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0AD0EC32" w14:textId="77777777" w:rsidR="00D83E1D" w:rsidRDefault="00D83E1D" w:rsidP="00C81A54">
            <w:pPr>
              <w:jc w:val="center"/>
              <w:rPr>
                <w:rFonts w:ascii="Times New Roman" w:eastAsia="Times New Roman" w:hAnsi="Times New Roman" w:cs="Times New Roman"/>
                <w:b/>
                <w:color w:val="FFFFFF"/>
                <w:sz w:val="24"/>
                <w:szCs w:val="24"/>
              </w:rPr>
            </w:pPr>
            <w:r w:rsidRPr="00E21112">
              <w:rPr>
                <w:b/>
                <w:color w:val="FFFFFF"/>
                <w:sz w:val="20"/>
                <w:szCs w:val="20"/>
                <w:lang w:val="en-IN"/>
              </w:rPr>
              <w:t>&lt;Service Provider/Distributor/Licensee ACRONYM&gt;</w:t>
            </w:r>
            <w:r>
              <w:rPr>
                <w:b/>
                <w:color w:val="FFFFFF"/>
                <w:sz w:val="20"/>
                <w:szCs w:val="20"/>
              </w:rPr>
              <w:t>  </w:t>
            </w:r>
          </w:p>
        </w:tc>
        <w:tc>
          <w:tcPr>
            <w:tcW w:w="2330"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0C01F9DB" w14:textId="77777777" w:rsidR="00D83E1D" w:rsidRDefault="00D83E1D" w:rsidP="00C81A54">
            <w:pPr>
              <w:jc w:val="center"/>
              <w:rPr>
                <w:b/>
                <w:color w:val="FFFFFF"/>
                <w:sz w:val="20"/>
                <w:szCs w:val="20"/>
              </w:rPr>
            </w:pPr>
            <w:r>
              <w:rPr>
                <w:b/>
                <w:color w:val="FFFFFF"/>
                <w:sz w:val="20"/>
                <w:szCs w:val="20"/>
              </w:rPr>
              <w:t>&lt;Service Recipient /Product owner/Licensor ACRONYM&gt;</w:t>
            </w:r>
          </w:p>
        </w:tc>
      </w:tr>
      <w:tr w:rsidR="00D83E1D" w14:paraId="6D82D66F" w14:textId="77777777" w:rsidTr="000E22A8">
        <w:trPr>
          <w:trHeight w:val="867"/>
        </w:trPr>
        <w:tc>
          <w:tcPr>
            <w:tcW w:w="13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FBA2D1" w14:textId="77777777" w:rsidR="00D83E1D" w:rsidRDefault="00D83E1D" w:rsidP="00C81A54">
            <w:pPr>
              <w:spacing w:after="120"/>
              <w:rPr>
                <w:rFonts w:ascii="Times New Roman" w:eastAsia="Times New Roman" w:hAnsi="Times New Roman" w:cs="Times New Roman"/>
                <w:sz w:val="24"/>
                <w:szCs w:val="24"/>
              </w:rPr>
            </w:pPr>
            <w:r>
              <w:rPr>
                <w:sz w:val="20"/>
                <w:szCs w:val="20"/>
              </w:rPr>
              <w:t>Significant tangible assets</w:t>
            </w:r>
          </w:p>
        </w:tc>
        <w:tc>
          <w:tcPr>
            <w:tcW w:w="358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BA210DB" w14:textId="77777777" w:rsidR="00D83E1D" w:rsidRDefault="00D83E1D" w:rsidP="00C81A54">
            <w:pPr>
              <w:spacing w:after="120"/>
              <w:rPr>
                <w:rFonts w:ascii="Times New Roman" w:eastAsia="Times New Roman" w:hAnsi="Times New Roman" w:cs="Times New Roman"/>
                <w:sz w:val="24"/>
                <w:szCs w:val="24"/>
              </w:rPr>
            </w:pPr>
            <w:r>
              <w:rPr>
                <w:color w:val="000000"/>
                <w:sz w:val="20"/>
                <w:szCs w:val="20"/>
              </w:rPr>
              <w:t>May include, but not limited to Real Estate, machinery, computers, and office equipment </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6D6EBC" w14:textId="77777777" w:rsidR="00D83E1D" w:rsidRDefault="00D83E1D" w:rsidP="00C81A54">
            <w:pPr>
              <w:jc w:val="center"/>
              <w:rPr>
                <w:sz w:val="20"/>
                <w:szCs w:val="20"/>
              </w:rPr>
            </w:pPr>
            <w:r>
              <w:rPr>
                <w:sz w:val="20"/>
                <w:szCs w:val="20"/>
              </w:rPr>
              <w:t>&lt;TA-Licensee&gt;</w:t>
            </w:r>
          </w:p>
        </w:tc>
        <w:tc>
          <w:tcPr>
            <w:tcW w:w="23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83DFF96" w14:textId="77777777" w:rsidR="00D83E1D" w:rsidRDefault="00D83E1D" w:rsidP="00C81A54">
            <w:pPr>
              <w:spacing w:after="240"/>
              <w:jc w:val="center"/>
              <w:rPr>
                <w:sz w:val="20"/>
                <w:szCs w:val="20"/>
              </w:rPr>
            </w:pPr>
            <w:r>
              <w:rPr>
                <w:color w:val="000000"/>
                <w:sz w:val="20"/>
                <w:szCs w:val="20"/>
              </w:rPr>
              <w:t>&lt;TA-Licensor&gt;</w:t>
            </w:r>
          </w:p>
        </w:tc>
      </w:tr>
      <w:tr w:rsidR="00D83E1D" w14:paraId="79F2EF0B" w14:textId="77777777" w:rsidTr="000E22A8">
        <w:trPr>
          <w:trHeight w:val="592"/>
        </w:trPr>
        <w:tc>
          <w:tcPr>
            <w:tcW w:w="13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F696253" w14:textId="77777777" w:rsidR="00D83E1D" w:rsidRDefault="00D83E1D" w:rsidP="00C81A54">
            <w:pPr>
              <w:spacing w:after="120"/>
              <w:rPr>
                <w:rFonts w:ascii="Times New Roman" w:eastAsia="Times New Roman" w:hAnsi="Times New Roman" w:cs="Times New Roman"/>
                <w:sz w:val="24"/>
                <w:szCs w:val="24"/>
              </w:rPr>
            </w:pPr>
            <w:r>
              <w:rPr>
                <w:sz w:val="20"/>
                <w:szCs w:val="20"/>
              </w:rPr>
              <w:t>Significant non-routine intangible assets</w:t>
            </w:r>
          </w:p>
        </w:tc>
        <w:tc>
          <w:tcPr>
            <w:tcW w:w="358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8EDE9B0" w14:textId="77777777" w:rsidR="00D83E1D" w:rsidRDefault="00D83E1D" w:rsidP="00C81A54">
            <w:pPr>
              <w:spacing w:after="120"/>
              <w:rPr>
                <w:rFonts w:ascii="Times New Roman" w:eastAsia="Times New Roman" w:hAnsi="Times New Roman" w:cs="Times New Roman"/>
                <w:sz w:val="24"/>
                <w:szCs w:val="24"/>
              </w:rPr>
            </w:pPr>
            <w:r>
              <w:rPr>
                <w:color w:val="000000"/>
                <w:sz w:val="20"/>
                <w:szCs w:val="20"/>
              </w:rPr>
              <w:t xml:space="preserve">The significant </w:t>
            </w:r>
            <w:r>
              <w:rPr>
                <w:sz w:val="20"/>
                <w:szCs w:val="20"/>
              </w:rPr>
              <w:t>intangible</w:t>
            </w:r>
            <w:r>
              <w:rPr>
                <w:color w:val="000000"/>
                <w:sz w:val="20"/>
                <w:szCs w:val="20"/>
              </w:rPr>
              <w:t xml:space="preserve"> assets </w:t>
            </w:r>
            <w:r>
              <w:rPr>
                <w:sz w:val="20"/>
                <w:szCs w:val="20"/>
              </w:rPr>
              <w:t>in</w:t>
            </w:r>
            <w:r>
              <w:rPr>
                <w:color w:val="000000"/>
                <w:sz w:val="20"/>
                <w:szCs w:val="20"/>
              </w:rPr>
              <w:t xml:space="preserve"> the group. May include, but not limited to Patents, trademarks, tradenames, manufacturing know-how, formulas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A2ACF1D" w14:textId="77777777" w:rsidR="00D83E1D" w:rsidRDefault="00D83E1D" w:rsidP="00C81A54">
            <w:pPr>
              <w:jc w:val="center"/>
              <w:rPr>
                <w:sz w:val="20"/>
                <w:szCs w:val="20"/>
              </w:rPr>
            </w:pPr>
            <w:r>
              <w:rPr>
                <w:sz w:val="20"/>
                <w:szCs w:val="20"/>
              </w:rPr>
              <w:t>&lt;IA-Licensee&gt;</w:t>
            </w:r>
          </w:p>
        </w:tc>
        <w:tc>
          <w:tcPr>
            <w:tcW w:w="233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75884FE" w14:textId="77777777" w:rsidR="00D83E1D" w:rsidRDefault="00D83E1D" w:rsidP="00C81A54">
            <w:pPr>
              <w:spacing w:after="240"/>
              <w:jc w:val="center"/>
              <w:rPr>
                <w:sz w:val="24"/>
                <w:szCs w:val="24"/>
              </w:rPr>
            </w:pPr>
            <w:r>
              <w:rPr>
                <w:color w:val="000000"/>
                <w:sz w:val="20"/>
                <w:szCs w:val="20"/>
              </w:rPr>
              <w:t>&lt;IA-Licensor&gt;</w:t>
            </w:r>
          </w:p>
        </w:tc>
      </w:tr>
    </w:tbl>
    <w:p w14:paraId="658E9D0A" w14:textId="77777777" w:rsidR="00B5529F" w:rsidRDefault="00972E0B">
      <w:pPr>
        <w:spacing w:after="0" w:line="240" w:lineRule="auto"/>
        <w:rPr>
          <w:color w:val="000000"/>
          <w:sz w:val="20"/>
          <w:szCs w:val="20"/>
        </w:rPr>
      </w:pPr>
      <w:r>
        <w:rPr>
          <w:rFonts w:ascii="Times New Roman" w:eastAsia="Times New Roman" w:hAnsi="Times New Roman" w:cs="Times New Roman"/>
          <w:sz w:val="24"/>
          <w:szCs w:val="24"/>
        </w:rPr>
        <w:br/>
      </w:r>
      <w:r>
        <w:br w:type="page"/>
      </w:r>
    </w:p>
    <w:p w14:paraId="2B2B6971" w14:textId="77777777" w:rsidR="00B5529F" w:rsidRDefault="00972E0B">
      <w:pPr>
        <w:numPr>
          <w:ilvl w:val="0"/>
          <w:numId w:val="3"/>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Economic Analysis</w:t>
      </w:r>
    </w:p>
    <w:p w14:paraId="3B78E19A"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An economic analysis consistent with the arm’s-length principle and reflective of the US R</w:t>
      </w:r>
      <w:r>
        <w:rPr>
          <w:sz w:val="20"/>
          <w:szCs w:val="20"/>
        </w:rPr>
        <w:t xml:space="preserve">egulations and </w:t>
      </w:r>
      <w:proofErr w:type="gramStart"/>
      <w:r>
        <w:rPr>
          <w:sz w:val="20"/>
          <w:szCs w:val="20"/>
        </w:rPr>
        <w:t xml:space="preserve">the </w:t>
      </w:r>
      <w:r>
        <w:rPr>
          <w:color w:val="000000"/>
          <w:sz w:val="20"/>
          <w:szCs w:val="20"/>
        </w:rPr>
        <w:t xml:space="preserve"> OECD</w:t>
      </w:r>
      <w:proofErr w:type="gramEnd"/>
      <w:r>
        <w:rPr>
          <w:color w:val="000000"/>
          <w:sz w:val="20"/>
          <w:szCs w:val="20"/>
        </w:rPr>
        <w:t xml:space="preserve"> Guidelines was undertaken for the purpose of evaluating the intercompany pricing of the Covered Transaction.</w:t>
      </w:r>
    </w:p>
    <w:p w14:paraId="2773AAB6" w14:textId="77777777" w:rsidR="00B5529F" w:rsidRDefault="00972E0B">
      <w:pPr>
        <w:numPr>
          <w:ilvl w:val="0"/>
          <w:numId w:val="8"/>
        </w:numPr>
        <w:spacing w:after="240" w:line="240" w:lineRule="auto"/>
        <w:rPr>
          <w:b/>
          <w:sz w:val="24"/>
          <w:szCs w:val="24"/>
        </w:rPr>
      </w:pPr>
      <w:r>
        <w:rPr>
          <w:b/>
          <w:sz w:val="24"/>
          <w:szCs w:val="24"/>
        </w:rPr>
        <w:t>Selection of the best / most appropriate method</w:t>
      </w:r>
    </w:p>
    <w:p w14:paraId="1B68D2D3" w14:textId="77777777" w:rsidR="00B5529F" w:rsidRDefault="00972E0B">
      <w:pPr>
        <w:spacing w:after="60" w:line="276" w:lineRule="auto"/>
        <w:jc w:val="both"/>
        <w:rPr>
          <w:b/>
          <w:sz w:val="20"/>
          <w:szCs w:val="20"/>
        </w:rPr>
      </w:pPr>
      <w:r>
        <w:rPr>
          <w:b/>
          <w:sz w:val="20"/>
          <w:szCs w:val="20"/>
        </w:rPr>
        <w:t>Comparable Uncontrolled Service Price (“CUP”) Method</w:t>
      </w:r>
      <w:r>
        <w:rPr>
          <w:b/>
          <w:sz w:val="20"/>
          <w:szCs w:val="20"/>
          <w:vertAlign w:val="superscript"/>
        </w:rPr>
        <w:footnoteReference w:id="5"/>
      </w:r>
    </w:p>
    <w:p w14:paraId="1F6C9FCD" w14:textId="2BE720FA" w:rsidR="00B5529F" w:rsidRDefault="00972E0B">
      <w:pPr>
        <w:spacing w:after="120" w:line="360" w:lineRule="auto"/>
        <w:jc w:val="both"/>
        <w:rPr>
          <w:rFonts w:ascii="Times New Roman" w:eastAsia="Times New Roman" w:hAnsi="Times New Roman" w:cs="Times New Roman"/>
          <w:sz w:val="24"/>
          <w:szCs w:val="24"/>
        </w:rPr>
      </w:pPr>
      <w:r>
        <w:rPr>
          <w:sz w:val="20"/>
          <w:szCs w:val="20"/>
        </w:rPr>
        <w:t xml:space="preserve">The CUP method compares the price charged for services in a controlled taxpayer’s transaction to the price used by unrelated companies for comparable services in comparable circumstances. The arm’s length price under this method is the internal or external identical (or similar) product price that third parties would have exchanged under facts and circumstances that were identical (or similar) to those of the controlled transaction under review. Where it is possible to identify comparable uncontrolled transactions, the CUP method provides the most direct and reliable way to apply the arm's length principle. Thus, in such cases, the CUP method is preferable over all other methods. However, it may be difficult to find transactions between independent companies that are similar enough to the controlled Transactions such that no differences have a material effect on price. When this is the case, some adjustments are appropriate. To apply the CUP method, it is necessary to identify transactions between unrelated parties involving identical or similar services to the Covered Transaction. The unrelated transactions must take place under similar circumstances </w:t>
      </w:r>
      <w:proofErr w:type="gramStart"/>
      <w:r>
        <w:rPr>
          <w:sz w:val="20"/>
          <w:szCs w:val="20"/>
        </w:rPr>
        <w:t>and</w:t>
      </w:r>
      <w:proofErr w:type="gramEnd"/>
      <w:r>
        <w:rPr>
          <w:sz w:val="20"/>
          <w:szCs w:val="20"/>
        </w:rPr>
        <w:t xml:space="preserve"> market conditions.</w:t>
      </w:r>
      <w:r>
        <w:rPr>
          <w:rFonts w:ascii="Cascadia Mono" w:eastAsia="Cascadia Mono" w:hAnsi="Cascadia Mono" w:cs="Cascadia Mono"/>
          <w:color w:val="A31515"/>
          <w:sz w:val="19"/>
          <w:szCs w:val="19"/>
          <w:highlight w:val="white"/>
        </w:rPr>
        <w:t xml:space="preserve"> </w:t>
      </w:r>
      <w:r w:rsidR="00440403" w:rsidRPr="0054696F">
        <w:rPr>
          <w:rFonts w:asciiTheme="minorHAnsi" w:eastAsia="Cascadia Mono" w:hAnsiTheme="minorHAnsi" w:cstheme="minorHAnsi"/>
          <w:sz w:val="19"/>
          <w:szCs w:val="19"/>
          <w:highlight w:val="white"/>
          <w:lang w:val="en-IN"/>
        </w:rPr>
        <w:t>&lt;Service Recipient /Product owner/Licensor ACRONYM&gt;</w:t>
      </w:r>
      <w:r w:rsidRPr="0054696F">
        <w:rPr>
          <w:rFonts w:asciiTheme="minorHAnsi" w:hAnsiTheme="minorHAnsi" w:cstheme="minorHAnsi"/>
          <w:sz w:val="20"/>
          <w:szCs w:val="20"/>
        </w:rPr>
        <w:t xml:space="preserve"> </w:t>
      </w:r>
      <w:r>
        <w:rPr>
          <w:sz w:val="20"/>
          <w:szCs w:val="20"/>
        </w:rPr>
        <w:t xml:space="preserve">does not sell similar products to the Covered Transaction to any unrelated party, nor </w:t>
      </w:r>
      <w:r w:rsidR="00FE2065" w:rsidRPr="00FE2065">
        <w:rPr>
          <w:sz w:val="20"/>
          <w:szCs w:val="20"/>
          <w:lang w:val="en-IN"/>
        </w:rPr>
        <w:t>&lt;Service Provider/Distributor/Licensee ACRONYM&gt;</w:t>
      </w:r>
      <w:r>
        <w:rPr>
          <w:sz w:val="20"/>
          <w:szCs w:val="20"/>
        </w:rPr>
        <w:t xml:space="preserve"> purchases similar products from unrelated suppliers. In addition, we did not find comparable agreements between unrelated parties that adhere specifically to the Covered Transaction. Therefore, we rejected the CUP method in this case.</w:t>
      </w:r>
    </w:p>
    <w:p w14:paraId="253B4953" w14:textId="77777777" w:rsidR="00B5529F" w:rsidRDefault="00972E0B">
      <w:pPr>
        <w:spacing w:after="60" w:line="276" w:lineRule="auto"/>
        <w:jc w:val="both"/>
        <w:rPr>
          <w:b/>
          <w:sz w:val="20"/>
          <w:szCs w:val="20"/>
        </w:rPr>
      </w:pPr>
      <w:r>
        <w:rPr>
          <w:b/>
          <w:sz w:val="20"/>
          <w:szCs w:val="20"/>
        </w:rPr>
        <w:t>Resale Price Method (“RPM”) Method</w:t>
      </w:r>
      <w:r>
        <w:rPr>
          <w:b/>
          <w:sz w:val="20"/>
          <w:szCs w:val="20"/>
          <w:vertAlign w:val="superscript"/>
        </w:rPr>
        <w:footnoteReference w:id="6"/>
      </w:r>
    </w:p>
    <w:p w14:paraId="6E78C46D" w14:textId="4FA522B6" w:rsidR="00B5529F" w:rsidRDefault="00972E0B">
      <w:pPr>
        <w:spacing w:after="120" w:line="360" w:lineRule="auto"/>
        <w:jc w:val="both"/>
        <w:rPr>
          <w:rFonts w:ascii="Times New Roman" w:eastAsia="Times New Roman" w:hAnsi="Times New Roman" w:cs="Times New Roman"/>
          <w:sz w:val="24"/>
          <w:szCs w:val="24"/>
        </w:rPr>
      </w:pPr>
      <w:r>
        <w:rPr>
          <w:sz w:val="20"/>
          <w:szCs w:val="20"/>
        </w:rPr>
        <w:t xml:space="preserve">Under </w:t>
      </w:r>
      <w:proofErr w:type="gramStart"/>
      <w:r>
        <w:rPr>
          <w:sz w:val="20"/>
          <w:szCs w:val="20"/>
        </w:rPr>
        <w:t>the RPM</w:t>
      </w:r>
      <w:proofErr w:type="gramEnd"/>
      <w:r>
        <w:rPr>
          <w:sz w:val="20"/>
          <w:szCs w:val="20"/>
        </w:rPr>
        <w:t xml:space="preserve">, an arm’s length market price is determined as the price used for the sale of products to unrelated parties, decreased by an appropriate gross margin. Similarly to the CUP method, the level of comparability to unrelated transactions or companies should be high and no differences exist that would materially affect the gross margin in the open market, or that reasonably accurate adjustments can be made to reflect such differences. When comparing the gross margin of similar independent companies, the different generally accepted accounting principles should be considered. This method is typically used when the controlled parties have comparable internal transactions. Since </w:t>
      </w:r>
      <w:r w:rsidR="00FE4AB2" w:rsidRPr="00FE4AB2">
        <w:rPr>
          <w:sz w:val="20"/>
          <w:szCs w:val="20"/>
          <w:lang w:val="en-IN"/>
        </w:rPr>
        <w:t>&lt;Service Provider/Distributor/Licensee ACRONYM&gt;</w:t>
      </w:r>
      <w:r>
        <w:rPr>
          <w:sz w:val="20"/>
          <w:szCs w:val="20"/>
        </w:rPr>
        <w:t xml:space="preserve"> does not purchase similar products from unrelated suppliers and since we did not find comparable agreements between unrelated parties that adhere specifically to the Covered Transaction, nor independent comparable companies selling similar products. Therefore, the RPM was rejected.</w:t>
      </w:r>
    </w:p>
    <w:p w14:paraId="2A146A2F" w14:textId="77777777" w:rsidR="00B5529F" w:rsidRDefault="00972E0B">
      <w:pPr>
        <w:spacing w:after="60" w:line="276" w:lineRule="auto"/>
        <w:jc w:val="both"/>
        <w:rPr>
          <w:b/>
          <w:sz w:val="20"/>
          <w:szCs w:val="20"/>
        </w:rPr>
      </w:pPr>
      <w:r>
        <w:rPr>
          <w:b/>
          <w:sz w:val="20"/>
          <w:szCs w:val="20"/>
        </w:rPr>
        <w:lastRenderedPageBreak/>
        <w:t>Cost Plus Method (“Cost-Plus”)</w:t>
      </w:r>
      <w:r>
        <w:rPr>
          <w:b/>
          <w:sz w:val="20"/>
          <w:szCs w:val="20"/>
          <w:vertAlign w:val="superscript"/>
        </w:rPr>
        <w:footnoteReference w:id="7"/>
      </w:r>
    </w:p>
    <w:p w14:paraId="6C3A45CB" w14:textId="797BCB35" w:rsidR="00B5529F" w:rsidRDefault="00972E0B">
      <w:pPr>
        <w:spacing w:after="120" w:line="360" w:lineRule="auto"/>
        <w:jc w:val="both"/>
        <w:rPr>
          <w:sz w:val="20"/>
          <w:szCs w:val="20"/>
        </w:rPr>
      </w:pPr>
      <w:r>
        <w:rPr>
          <w:sz w:val="20"/>
          <w:szCs w:val="20"/>
        </w:rPr>
        <w:t xml:space="preserve">Under the Cost-Plus Method, an arm’s length market price in a controlled transaction is determined </w:t>
      </w:r>
      <w:proofErr w:type="gramStart"/>
      <w:r>
        <w:rPr>
          <w:sz w:val="20"/>
          <w:szCs w:val="20"/>
        </w:rPr>
        <w:t>as</w:t>
      </w:r>
      <w:proofErr w:type="gramEnd"/>
      <w:r>
        <w:rPr>
          <w:sz w:val="20"/>
          <w:szCs w:val="20"/>
        </w:rPr>
        <w:t xml:space="preserve"> the amount of the costs incurred by service providers, increased by an appropriate markup in view of the functions performed and the market conditions. The underlying rationale is that the markup on the manufacturer’s direct cost provides an appropriate profit for the functions performed, assets employed, and risks borne by the manufacturer. Comparability under the Cost-Plus method requires that no differences exist that would materially affect the Cost-Plus markup in the open market, or that reasonably accurate adjustments can be made to reflect such differences. The extent and reliability of adjustments will affect the relative reliability of the Cost-Plus analysis. Like the RPM, fewer adjustments are needed under the Cost-Plus method to account for service differences than is the case for the CUP method, but other comparability attributes (e.g., functions) generally are given more weight. Thus, it is important to focus on differences in the level and types of expenses associated with the functions performed and risks assumed. This method </w:t>
      </w:r>
      <w:proofErr w:type="gramStart"/>
      <w:r>
        <w:rPr>
          <w:sz w:val="20"/>
          <w:szCs w:val="20"/>
        </w:rPr>
        <w:t>is considered to be</w:t>
      </w:r>
      <w:proofErr w:type="gramEnd"/>
      <w:r>
        <w:rPr>
          <w:sz w:val="20"/>
          <w:szCs w:val="20"/>
        </w:rPr>
        <w:t xml:space="preserve"> most useful where similar services are provided to both related and unrelated parties. Since </w:t>
      </w:r>
      <w:r w:rsidR="005B1744" w:rsidRPr="005B1744">
        <w:rPr>
          <w:sz w:val="20"/>
          <w:szCs w:val="20"/>
          <w:lang w:val="en-IN"/>
        </w:rPr>
        <w:t>&lt;Service Provider/Distributor/Licensee ACRONYM&gt;</w:t>
      </w:r>
      <w:r>
        <w:rPr>
          <w:sz w:val="20"/>
          <w:szCs w:val="20"/>
        </w:rPr>
        <w:t xml:space="preserve"> does not sell similar products to unrelated parties, this method was rejected.</w:t>
      </w:r>
    </w:p>
    <w:p w14:paraId="129469D8" w14:textId="77777777" w:rsidR="00B5529F" w:rsidRDefault="00972E0B">
      <w:pPr>
        <w:spacing w:after="60" w:line="276" w:lineRule="auto"/>
        <w:jc w:val="both"/>
        <w:rPr>
          <w:b/>
          <w:sz w:val="20"/>
          <w:szCs w:val="20"/>
        </w:rPr>
      </w:pPr>
      <w:r>
        <w:rPr>
          <w:b/>
          <w:sz w:val="20"/>
          <w:szCs w:val="20"/>
        </w:rPr>
        <w:t>Profit Split Method (“PSM”)</w:t>
      </w:r>
      <w:r>
        <w:rPr>
          <w:b/>
          <w:sz w:val="20"/>
          <w:szCs w:val="20"/>
          <w:vertAlign w:val="superscript"/>
        </w:rPr>
        <w:footnoteReference w:id="8"/>
      </w:r>
    </w:p>
    <w:p w14:paraId="62AD48ED" w14:textId="77777777" w:rsidR="00B5529F" w:rsidRDefault="00972E0B">
      <w:pPr>
        <w:spacing w:after="120" w:line="360" w:lineRule="auto"/>
        <w:jc w:val="both"/>
        <w:rPr>
          <w:sz w:val="20"/>
          <w:szCs w:val="20"/>
        </w:rPr>
      </w:pPr>
      <w:r>
        <w:rPr>
          <w:sz w:val="20"/>
          <w:szCs w:val="20"/>
        </w:rPr>
        <w:t xml:space="preserve">The PSM determines the division of profit or </w:t>
      </w:r>
      <w:proofErr w:type="gramStart"/>
      <w:r>
        <w:rPr>
          <w:sz w:val="20"/>
          <w:szCs w:val="20"/>
        </w:rPr>
        <w:t>loss,</w:t>
      </w:r>
      <w:proofErr w:type="gramEnd"/>
      <w:r>
        <w:rPr>
          <w:sz w:val="20"/>
          <w:szCs w:val="20"/>
        </w:rPr>
        <w:t xml:space="preserve"> that independent companies would expect to realize under circumstances </w:t>
      </w:r>
      <w:proofErr w:type="gramStart"/>
      <w:r>
        <w:rPr>
          <w:sz w:val="20"/>
          <w:szCs w:val="20"/>
        </w:rPr>
        <w:t>similar to</w:t>
      </w:r>
      <w:proofErr w:type="gramEnd"/>
      <w:r>
        <w:rPr>
          <w:sz w:val="20"/>
          <w:szCs w:val="20"/>
        </w:rPr>
        <w:t xml:space="preserve"> the transaction under review. The PSM calculates the profit generated from a controlled transaction and splits those profits based on the contribution of each entity and is therefore consistent with what would have occurred at arm’s length. The contribution of each entity is determined by performing a functional analysis and valued, if possible, by reference to reliable external market data. There are two approaches to </w:t>
      </w:r>
      <w:proofErr w:type="gramStart"/>
      <w:r>
        <w:rPr>
          <w:sz w:val="20"/>
          <w:szCs w:val="20"/>
        </w:rPr>
        <w:t>applying</w:t>
      </w:r>
      <w:proofErr w:type="gramEnd"/>
      <w:r>
        <w:rPr>
          <w:sz w:val="20"/>
          <w:szCs w:val="20"/>
        </w:rPr>
        <w:t xml:space="preserve"> the PSM. The first approach splits the entire profit between the related parties involved in a controlled transaction </w:t>
      </w:r>
      <w:proofErr w:type="gramStart"/>
      <w:r>
        <w:rPr>
          <w:sz w:val="20"/>
          <w:szCs w:val="20"/>
        </w:rPr>
        <w:t>on the basis of</w:t>
      </w:r>
      <w:proofErr w:type="gramEnd"/>
      <w:r>
        <w:rPr>
          <w:sz w:val="20"/>
          <w:szCs w:val="20"/>
        </w:rPr>
        <w:t xml:space="preserve"> their relative contributions. The second approach applies a two-step process. It initially remunerates the related parties for their routine functions, related assets, and employed risks. Then, the residual profit is split (i.e., the entire profit less the compensation for routine activities) between the transacting parties based on their relative contributions; incorporating factors, such as intangible property contributed by the entities; relative bargaining positions; and references to external market data. The PSM is the most appropriate method in situations in which both parties to the transaction contribute or use significant intangible property. Given that </w:t>
      </w:r>
      <w:proofErr w:type="gramStart"/>
      <w:r>
        <w:rPr>
          <w:sz w:val="20"/>
          <w:szCs w:val="20"/>
        </w:rPr>
        <w:t>the Covered</w:t>
      </w:r>
      <w:proofErr w:type="gramEnd"/>
      <w:r>
        <w:rPr>
          <w:sz w:val="20"/>
          <w:szCs w:val="20"/>
        </w:rPr>
        <w:t xml:space="preserve"> Transaction does not involve valuable non-routine intangibles on the side of the service provider, the PSM is not appropriate for the Covered Transaction. Therefore, this method was rejected.</w:t>
      </w:r>
    </w:p>
    <w:p w14:paraId="2CD3948D" w14:textId="77777777" w:rsidR="00B5529F" w:rsidRDefault="00972E0B">
      <w:pPr>
        <w:spacing w:after="60" w:line="276" w:lineRule="auto"/>
        <w:jc w:val="both"/>
        <w:rPr>
          <w:b/>
          <w:sz w:val="20"/>
          <w:szCs w:val="20"/>
        </w:rPr>
      </w:pPr>
      <w:r>
        <w:rPr>
          <w:b/>
          <w:sz w:val="20"/>
          <w:szCs w:val="20"/>
        </w:rPr>
        <w:t>CPM/TNMM</w:t>
      </w:r>
    </w:p>
    <w:p w14:paraId="4BF6A0A4" w14:textId="5DD0A158" w:rsidR="00B5529F" w:rsidRDefault="00972E0B">
      <w:pPr>
        <w:spacing w:after="120" w:line="360" w:lineRule="auto"/>
        <w:jc w:val="both"/>
        <w:rPr>
          <w:sz w:val="20"/>
          <w:szCs w:val="20"/>
        </w:rPr>
      </w:pPr>
      <w:r>
        <w:rPr>
          <w:sz w:val="20"/>
          <w:szCs w:val="20"/>
        </w:rPr>
        <w:t xml:space="preserve">The CPM/TNMM is based on the general principle that similar entities under similar circumstances will tend to earn similar returns over a reasonable </w:t>
      </w:r>
      <w:proofErr w:type="gramStart"/>
      <w:r>
        <w:rPr>
          <w:sz w:val="20"/>
          <w:szCs w:val="20"/>
        </w:rPr>
        <w:t>time period</w:t>
      </w:r>
      <w:proofErr w:type="gramEnd"/>
      <w:r>
        <w:rPr>
          <w:sz w:val="20"/>
          <w:szCs w:val="20"/>
        </w:rPr>
        <w:t xml:space="preserve">. Consequently, under both methods, the arm’s length consideration </w:t>
      </w:r>
      <w:r>
        <w:rPr>
          <w:sz w:val="20"/>
          <w:szCs w:val="20"/>
        </w:rPr>
        <w:lastRenderedPageBreak/>
        <w:t xml:space="preserve">for a controlled transaction is determined through objective measures such as financial ratios, derived from uncontrolled parties who perform similar functions under similar circumstances. Comparability between controlled and uncontrolled transactions should be established through an analysis of functions and risks. Nevertheless, contrary to traditional transaction methods, the comparability requirements under the CPM/TNMM are less stringent since certain functional differences are likely to be reflected by the level of operational expenses. Furthermore, the use of an arm’s length range, rather than an observation point, will further reduce the effect of differences between the controlled and uncontrolled transactions. Since comparable data is available with respect to the entity performing functions </w:t>
      </w:r>
      <w:proofErr w:type="gramStart"/>
      <w:r>
        <w:rPr>
          <w:sz w:val="20"/>
          <w:szCs w:val="20"/>
        </w:rPr>
        <w:t>similar to</w:t>
      </w:r>
      <w:proofErr w:type="gramEnd"/>
      <w:r>
        <w:rPr>
          <w:sz w:val="20"/>
          <w:szCs w:val="20"/>
        </w:rPr>
        <w:t xml:space="preserve"> those performed by </w:t>
      </w:r>
      <w:r w:rsidR="00E5095C" w:rsidRPr="00E5095C">
        <w:rPr>
          <w:sz w:val="20"/>
          <w:szCs w:val="20"/>
          <w:lang w:val="en-IN"/>
        </w:rPr>
        <w:t>&lt;Service Provider/Distributor/Licensee ACRONYM&gt;</w:t>
      </w:r>
      <w:r>
        <w:rPr>
          <w:sz w:val="20"/>
          <w:szCs w:val="20"/>
        </w:rPr>
        <w:t xml:space="preserve"> at the operating margin level, the CPM/TNMM was selected as the best and most appropriate method for evaluating the arm’s length price for the Covered Transaction.</w:t>
      </w:r>
    </w:p>
    <w:p w14:paraId="4F7D8EFD" w14:textId="77777777" w:rsidR="00B5529F" w:rsidRDefault="00972E0B">
      <w:pPr>
        <w:spacing w:after="0" w:line="276" w:lineRule="auto"/>
        <w:jc w:val="both"/>
        <w:rPr>
          <w:b/>
          <w:sz w:val="20"/>
          <w:szCs w:val="20"/>
        </w:rPr>
      </w:pPr>
      <w:r>
        <w:rPr>
          <w:b/>
          <w:sz w:val="20"/>
          <w:szCs w:val="20"/>
        </w:rPr>
        <w:t>Other Methods</w:t>
      </w:r>
    </w:p>
    <w:p w14:paraId="1EE370D4" w14:textId="77777777" w:rsidR="00B5529F" w:rsidRDefault="00972E0B">
      <w:pPr>
        <w:spacing w:after="240" w:line="360" w:lineRule="auto"/>
        <w:rPr>
          <w:color w:val="000000"/>
          <w:sz w:val="20"/>
          <w:szCs w:val="20"/>
        </w:rPr>
      </w:pPr>
      <w:r>
        <w:rPr>
          <w:sz w:val="20"/>
          <w:szCs w:val="20"/>
        </w:rPr>
        <w:t xml:space="preserve">The US Regulations and </w:t>
      </w:r>
      <w:proofErr w:type="gramStart"/>
      <w:r>
        <w:rPr>
          <w:sz w:val="20"/>
          <w:szCs w:val="20"/>
        </w:rPr>
        <w:t>the  OECD</w:t>
      </w:r>
      <w:proofErr w:type="gramEnd"/>
      <w:r>
        <w:rPr>
          <w:sz w:val="20"/>
          <w:szCs w:val="20"/>
        </w:rPr>
        <w:t xml:space="preserve"> Guidelines allow the use of other, unspecified methods to determine an arm’s length charge for related party services if such a method will provide the most reliable measure of an arm’s length result. Consideration of other methods should </w:t>
      </w:r>
      <w:proofErr w:type="gramStart"/>
      <w:r>
        <w:rPr>
          <w:sz w:val="20"/>
          <w:szCs w:val="20"/>
        </w:rPr>
        <w:t>take into account</w:t>
      </w:r>
      <w:proofErr w:type="gramEnd"/>
      <w:r>
        <w:rPr>
          <w:sz w:val="20"/>
          <w:szCs w:val="20"/>
        </w:rPr>
        <w:t xml:space="preserve"> that under the arm’s length standard, uncontrolled taxpayers must compare the terms of a transaction to the realistic alternatives to </w:t>
      </w:r>
      <w:proofErr w:type="gramStart"/>
      <w:r>
        <w:rPr>
          <w:sz w:val="20"/>
          <w:szCs w:val="20"/>
        </w:rPr>
        <w:t>entering into</w:t>
      </w:r>
      <w:proofErr w:type="gramEnd"/>
      <w:r>
        <w:rPr>
          <w:sz w:val="20"/>
          <w:szCs w:val="20"/>
        </w:rPr>
        <w:t xml:space="preserve"> that transaction. Therefore, an unspecified method should provide information on the prices or profits the controlled taxpayer might have realized by choosing a realistic alternative to the controlled transaction. The selection of the CPM / TNMM as the best/most appropriate method for the Covered Transaction precludes the consideration of other methods</w:t>
      </w:r>
      <w:r>
        <w:rPr>
          <w:color w:val="000000"/>
          <w:sz w:val="20"/>
          <w:szCs w:val="20"/>
        </w:rPr>
        <w:t>.</w:t>
      </w:r>
    </w:p>
    <w:p w14:paraId="166C4498" w14:textId="77777777" w:rsidR="00B5529F" w:rsidRDefault="00972E0B">
      <w:pPr>
        <w:spacing w:after="240" w:line="360" w:lineRule="auto"/>
        <w:rPr>
          <w:sz w:val="20"/>
          <w:szCs w:val="20"/>
        </w:rPr>
      </w:pPr>
      <w:r>
        <w:br w:type="page"/>
      </w:r>
    </w:p>
    <w:p w14:paraId="52902AF3" w14:textId="77777777" w:rsidR="00B5529F" w:rsidRDefault="00972E0B">
      <w:pPr>
        <w:numPr>
          <w:ilvl w:val="0"/>
          <w:numId w:val="1"/>
        </w:numPr>
        <w:spacing w:after="240" w:line="240" w:lineRule="auto"/>
        <w:rPr>
          <w:b/>
          <w:color w:val="000000"/>
          <w:sz w:val="24"/>
          <w:szCs w:val="24"/>
        </w:rPr>
      </w:pPr>
      <w:r>
        <w:rPr>
          <w:b/>
          <w:color w:val="000000"/>
          <w:sz w:val="24"/>
          <w:szCs w:val="24"/>
        </w:rPr>
        <w:lastRenderedPageBreak/>
        <w:t>Application of the Transfer Pricing Method </w:t>
      </w:r>
    </w:p>
    <w:p w14:paraId="7FCC7ACC" w14:textId="77777777" w:rsidR="00B5529F" w:rsidRDefault="00972E0B">
      <w:pPr>
        <w:numPr>
          <w:ilvl w:val="0"/>
          <w:numId w:val="6"/>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t>Selection of the tested party</w:t>
      </w:r>
    </w:p>
    <w:p w14:paraId="628FF219" w14:textId="13A5F3F5" w:rsidR="00B5529F" w:rsidRDefault="00972E0B">
      <w:pPr>
        <w:pBdr>
          <w:top w:val="nil"/>
          <w:left w:val="nil"/>
          <w:bottom w:val="nil"/>
          <w:right w:val="nil"/>
          <w:between w:val="nil"/>
        </w:pBdr>
        <w:spacing w:line="360" w:lineRule="auto"/>
        <w:jc w:val="both"/>
        <w:rPr>
          <w:sz w:val="20"/>
          <w:szCs w:val="20"/>
        </w:rPr>
      </w:pPr>
      <w:r>
        <w:rPr>
          <w:color w:val="000000"/>
          <w:sz w:val="20"/>
          <w:szCs w:val="20"/>
        </w:rPr>
        <w:t xml:space="preserve">The first step in applying the CPM/TNMM is to choose one of the parties in the Covered Transaction as the “tested” party. The tested party is usually the party that is considered the least complex entity, and therefore, the analysis of its profitability is likely to be more reliable. Based on the entity characterization in the functional analysis, </w:t>
      </w:r>
      <w:r w:rsidR="00F2310C" w:rsidRPr="00F2310C">
        <w:rPr>
          <w:color w:val="000000"/>
          <w:sz w:val="20"/>
          <w:szCs w:val="20"/>
          <w:lang w:val="en-IN"/>
        </w:rPr>
        <w:t>&lt;Service Provider/Distributor/Licensee ACRONYM&gt;</w:t>
      </w:r>
      <w:r>
        <w:rPr>
          <w:color w:val="000000"/>
          <w:sz w:val="20"/>
          <w:szCs w:val="20"/>
        </w:rPr>
        <w:t xml:space="preserve"> is the least complex entity, since it is characterized as a routine, low-risk </w:t>
      </w:r>
      <w:r>
        <w:rPr>
          <w:sz w:val="20"/>
          <w:szCs w:val="20"/>
        </w:rPr>
        <w:t>distributor</w:t>
      </w:r>
      <w:r>
        <w:rPr>
          <w:color w:val="000000"/>
          <w:sz w:val="20"/>
          <w:szCs w:val="20"/>
        </w:rPr>
        <w:t xml:space="preserve"> and therefore was selected as the tested party. </w:t>
      </w:r>
    </w:p>
    <w:p w14:paraId="47478B03" w14:textId="77777777" w:rsidR="00B5529F" w:rsidRDefault="00972E0B">
      <w:pPr>
        <w:numPr>
          <w:ilvl w:val="0"/>
          <w:numId w:val="6"/>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t xml:space="preserve">Selection of the Profit Level Indicator </w:t>
      </w:r>
    </w:p>
    <w:p w14:paraId="1EACDB71" w14:textId="77777777" w:rsidR="00B5529F" w:rsidRDefault="00972E0B">
      <w:pPr>
        <w:spacing w:after="0" w:line="360" w:lineRule="auto"/>
        <w:jc w:val="both"/>
        <w:rPr>
          <w:sz w:val="20"/>
          <w:szCs w:val="20"/>
        </w:rPr>
      </w:pPr>
      <w:r>
        <w:rPr>
          <w:sz w:val="20"/>
          <w:szCs w:val="20"/>
        </w:rPr>
        <w:t>PLIs are financial ratios that measure the relationship among profits, costs incurred, and resources employed. The selection of the appropriate PLI depends upon a number of factors, including the nature of the activities of the tested party, the reliability of the available data for comparable uncontrolled taxpayers, and the extent to which a particular PLI is likely to produce a reasonable determination of the income that the tested party would have earned at arm’s length, taking into account all the facts and circumstances of a particular transaction under review.</w:t>
      </w:r>
    </w:p>
    <w:p w14:paraId="686B405C" w14:textId="77777777" w:rsidR="00B5529F" w:rsidRDefault="00972E0B">
      <w:pPr>
        <w:spacing w:after="0" w:line="360" w:lineRule="auto"/>
        <w:jc w:val="both"/>
        <w:rPr>
          <w:sz w:val="20"/>
          <w:szCs w:val="20"/>
        </w:rPr>
      </w:pPr>
      <w:r>
        <w:rPr>
          <w:sz w:val="20"/>
          <w:szCs w:val="20"/>
        </w:rPr>
        <w:t>There are several PLIs that can be used to compare the tested party’s profit to that of comparable companies. PLIs that may provide a reliable basis for comparing operating profits include:</w:t>
      </w:r>
    </w:p>
    <w:p w14:paraId="7591001B" w14:textId="77777777" w:rsidR="00B5529F" w:rsidRDefault="00972E0B">
      <w:pPr>
        <w:numPr>
          <w:ilvl w:val="0"/>
          <w:numId w:val="2"/>
        </w:numPr>
        <w:pBdr>
          <w:top w:val="nil"/>
          <w:left w:val="nil"/>
          <w:bottom w:val="nil"/>
          <w:right w:val="nil"/>
          <w:between w:val="nil"/>
        </w:pBdr>
        <w:spacing w:after="120" w:line="288" w:lineRule="auto"/>
        <w:jc w:val="both"/>
        <w:rPr>
          <w:sz w:val="20"/>
          <w:szCs w:val="20"/>
        </w:rPr>
      </w:pPr>
      <w:r>
        <w:rPr>
          <w:sz w:val="20"/>
          <w:szCs w:val="20"/>
        </w:rPr>
        <w:t>Rate of return on capital employed — the ratio of operating profits to operating assets. The reliability of this PLI increases as operating assets play a greater role in generating operating profits for the tested party and comparable companies. The composition of assets should be similar between the comparable company sample and the tested party.</w:t>
      </w:r>
    </w:p>
    <w:p w14:paraId="56BE0138" w14:textId="77777777" w:rsidR="00B5529F" w:rsidRDefault="00972E0B">
      <w:pPr>
        <w:numPr>
          <w:ilvl w:val="0"/>
          <w:numId w:val="2"/>
        </w:numPr>
        <w:pBdr>
          <w:top w:val="nil"/>
          <w:left w:val="nil"/>
          <w:bottom w:val="nil"/>
          <w:right w:val="nil"/>
          <w:between w:val="nil"/>
        </w:pBdr>
        <w:spacing w:after="240" w:line="288" w:lineRule="auto"/>
        <w:jc w:val="both"/>
        <w:rPr>
          <w:sz w:val="20"/>
          <w:szCs w:val="20"/>
        </w:rPr>
      </w:pPr>
      <w:r>
        <w:rPr>
          <w:sz w:val="20"/>
          <w:szCs w:val="20"/>
        </w:rPr>
        <w:t xml:space="preserve">Financial ratios — specifically operating margin (the percentage of operating profits to sales) and </w:t>
      </w:r>
      <w:proofErr w:type="gramStart"/>
      <w:r>
        <w:rPr>
          <w:sz w:val="20"/>
          <w:szCs w:val="20"/>
        </w:rPr>
        <w:t>berry</w:t>
      </w:r>
      <w:proofErr w:type="gramEnd"/>
      <w:r>
        <w:rPr>
          <w:sz w:val="20"/>
          <w:szCs w:val="20"/>
        </w:rPr>
        <w:t xml:space="preserve"> ratio (the ratio of gross profit to operating expenses). Financial ratios are more sensitive to functional differences than the rate of return on capital employed.</w:t>
      </w:r>
    </w:p>
    <w:p w14:paraId="5241B375" w14:textId="77777777" w:rsidR="00B5529F" w:rsidRDefault="00972E0B">
      <w:pPr>
        <w:spacing w:after="0" w:line="360" w:lineRule="auto"/>
        <w:jc w:val="both"/>
        <w:rPr>
          <w:sz w:val="20"/>
          <w:szCs w:val="20"/>
        </w:rPr>
      </w:pPr>
      <w:r>
        <w:rPr>
          <w:sz w:val="20"/>
          <w:szCs w:val="20"/>
        </w:rPr>
        <w:t xml:space="preserve">Both rates of return on capital </w:t>
      </w:r>
      <w:proofErr w:type="gramStart"/>
      <w:r>
        <w:rPr>
          <w:sz w:val="20"/>
          <w:szCs w:val="20"/>
        </w:rPr>
        <w:t>employed</w:t>
      </w:r>
      <w:proofErr w:type="gramEnd"/>
      <w:r>
        <w:rPr>
          <w:sz w:val="20"/>
          <w:szCs w:val="20"/>
        </w:rPr>
        <w:t xml:space="preserve"> and financial ratios were considered to determine the appropriate PLI. The return on capital was not selected as a reliable PLI because it would be an inappropriate measure for the activities (i.e., the capital is not the important driver of profitability) and whether the asset composition of the tested party was </w:t>
      </w:r>
      <w:proofErr w:type="gramStart"/>
      <w:r>
        <w:rPr>
          <w:sz w:val="20"/>
          <w:szCs w:val="20"/>
        </w:rPr>
        <w:t>similar to</w:t>
      </w:r>
      <w:proofErr w:type="gramEnd"/>
      <w:r>
        <w:rPr>
          <w:sz w:val="20"/>
          <w:szCs w:val="20"/>
        </w:rPr>
        <w:t xml:space="preserve"> that of the comparable companies could not be reliably determined.</w:t>
      </w:r>
    </w:p>
    <w:p w14:paraId="3D8E81D8" w14:textId="77777777" w:rsidR="00B5529F" w:rsidRDefault="00972E0B">
      <w:pPr>
        <w:spacing w:after="0" w:line="360" w:lineRule="auto"/>
        <w:jc w:val="both"/>
        <w:rPr>
          <w:sz w:val="20"/>
          <w:szCs w:val="20"/>
        </w:rPr>
      </w:pPr>
      <w:r>
        <w:rPr>
          <w:sz w:val="20"/>
          <w:szCs w:val="20"/>
        </w:rPr>
        <w:t>Thus, the OPM is the most appropriate PLI as it measures a company’s profitability derived from its revenues to third party clients, as for distributors, a key measure of profitability is linked to their revenues. The operating profit, which essentially provides a measure of the operating profit after the operating expenses, but before interest and tax, provides an effective measure to benchmark the rate of return on sales.</w:t>
      </w:r>
    </w:p>
    <w:p w14:paraId="1F181C5A" w14:textId="4F2F87FC" w:rsidR="00B5529F" w:rsidRDefault="00972E0B">
      <w:pPr>
        <w:spacing w:after="0" w:line="360" w:lineRule="auto"/>
        <w:ind w:firstLine="360"/>
        <w:jc w:val="both"/>
        <w:rPr>
          <w:sz w:val="20"/>
          <w:szCs w:val="20"/>
        </w:rPr>
      </w:pPr>
      <w:r>
        <w:rPr>
          <w:sz w:val="20"/>
          <w:szCs w:val="20"/>
        </w:rPr>
        <w:t xml:space="preserve">For our analysis, the OPM was selected as the PLI to measure the distribution activity of </w:t>
      </w:r>
      <w:r w:rsidR="0007071C" w:rsidRPr="0007071C">
        <w:rPr>
          <w:sz w:val="20"/>
          <w:szCs w:val="20"/>
          <w:lang w:val="en-IN"/>
        </w:rPr>
        <w:t>&lt;Service Provider/Distributor/Licensee ACRONYM&gt;</w:t>
      </w:r>
      <w:r>
        <w:rPr>
          <w:sz w:val="20"/>
          <w:szCs w:val="20"/>
        </w:rPr>
        <w:t xml:space="preserve"> as it was deemed the most reliable indicator of financial performance under the specific facts and circumstances of the Covered Transaction.</w:t>
      </w:r>
    </w:p>
    <w:p w14:paraId="7B047D36" w14:textId="77777777" w:rsidR="00B5529F" w:rsidRDefault="00972E0B">
      <w:pPr>
        <w:spacing w:after="0" w:line="360" w:lineRule="auto"/>
        <w:ind w:firstLine="360"/>
        <w:jc w:val="both"/>
        <w:rPr>
          <w:sz w:val="20"/>
          <w:szCs w:val="20"/>
        </w:rPr>
      </w:pPr>
      <w:r>
        <w:br w:type="page"/>
      </w:r>
    </w:p>
    <w:p w14:paraId="76447C9F" w14:textId="77777777" w:rsidR="00B5529F" w:rsidRDefault="00972E0B">
      <w:pPr>
        <w:numPr>
          <w:ilvl w:val="0"/>
          <w:numId w:val="6"/>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lastRenderedPageBreak/>
        <w:t>Search process</w:t>
      </w:r>
    </w:p>
    <w:p w14:paraId="3C6DD147" w14:textId="2A7149E3" w:rsidR="00B5529F" w:rsidRDefault="00972E0B">
      <w:pPr>
        <w:spacing w:after="120" w:line="360" w:lineRule="auto"/>
        <w:jc w:val="both"/>
      </w:pPr>
      <w:r>
        <w:rPr>
          <w:sz w:val="20"/>
          <w:szCs w:val="20"/>
        </w:rPr>
        <w:t xml:space="preserve">To determine the arm's length pricing of the Covered Transaction, we searched for companies engaged in comparable activity to </w:t>
      </w:r>
      <w:r w:rsidR="00153589" w:rsidRPr="00153589">
        <w:rPr>
          <w:sz w:val="20"/>
          <w:szCs w:val="20"/>
          <w:lang w:val="en-IN"/>
        </w:rPr>
        <w:t>&lt;Service Provider/Distributor/Licensee ACRONYM&gt;</w:t>
      </w:r>
      <w:r>
        <w:rPr>
          <w:sz w:val="20"/>
          <w:szCs w:val="20"/>
        </w:rPr>
        <w:t>. We used Bureau Van Dijk’s TP Catalyst</w:t>
      </w:r>
      <w:r>
        <w:rPr>
          <w:sz w:val="20"/>
          <w:szCs w:val="20"/>
          <w:vertAlign w:val="superscript"/>
        </w:rPr>
        <w:footnoteReference w:id="9"/>
      </w:r>
      <w:r>
        <w:rPr>
          <w:sz w:val="20"/>
          <w:szCs w:val="20"/>
        </w:rPr>
        <w:t>, a database that includes data on more than 100,000 global public companies. The following table summarizes the search process</w:t>
      </w:r>
      <w:r>
        <w:t xml:space="preserve">:  </w:t>
      </w:r>
    </w:p>
    <w:p w14:paraId="5C0271D3" w14:textId="77777777" w:rsidR="00B5529F" w:rsidRDefault="00972E0B">
      <w:pPr>
        <w:spacing w:after="120" w:line="360" w:lineRule="auto"/>
        <w:jc w:val="both"/>
      </w:pPr>
      <w:r>
        <w:t>&lt;SEARCH SUMMARY&gt;</w:t>
      </w:r>
    </w:p>
    <w:p w14:paraId="64D58E1B" w14:textId="77777777" w:rsidR="00B5529F" w:rsidRDefault="00972E0B">
      <w:pPr>
        <w:spacing w:before="120" w:after="120" w:line="360" w:lineRule="auto"/>
        <w:rPr>
          <w:sz w:val="20"/>
          <w:szCs w:val="20"/>
        </w:rPr>
      </w:pPr>
      <w:r>
        <w:rPr>
          <w:sz w:val="20"/>
          <w:szCs w:val="20"/>
        </w:rPr>
        <w:t>Step &lt;STEP&gt; Detailed Review.</w:t>
      </w:r>
      <w:r>
        <w:rPr>
          <w:b/>
          <w:sz w:val="20"/>
          <w:szCs w:val="20"/>
        </w:rPr>
        <w:t xml:space="preserve"> </w:t>
      </w:r>
      <w:r>
        <w:rPr>
          <w:sz w:val="20"/>
          <w:szCs w:val="20"/>
        </w:rPr>
        <w:t>The business descriptions and websites of the &lt;POTENTIAL COMPS&gt; potentially comparable companies were reviewed in detail. Companies were eliminated for one or more of the following reasons:</w:t>
      </w:r>
    </w:p>
    <w:p w14:paraId="6FB99592" w14:textId="77777777" w:rsidR="00B5529F" w:rsidRDefault="00972E0B">
      <w:pPr>
        <w:numPr>
          <w:ilvl w:val="0"/>
          <w:numId w:val="7"/>
        </w:numPr>
        <w:tabs>
          <w:tab w:val="left" w:pos="400"/>
        </w:tabs>
        <w:spacing w:after="0"/>
        <w:jc w:val="both"/>
        <w:rPr>
          <w:sz w:val="20"/>
          <w:szCs w:val="20"/>
        </w:rPr>
      </w:pPr>
      <w:r>
        <w:rPr>
          <w:sz w:val="20"/>
          <w:szCs w:val="20"/>
        </w:rPr>
        <w:t>Companies that are engaged in a non-similar function (e.g., holding company, etc.)</w:t>
      </w:r>
      <w:proofErr w:type="gramStart"/>
      <w:r>
        <w:rPr>
          <w:sz w:val="20"/>
          <w:szCs w:val="20"/>
        </w:rPr>
        <w:t>.;</w:t>
      </w:r>
      <w:proofErr w:type="gramEnd"/>
    </w:p>
    <w:p w14:paraId="3DABF43B" w14:textId="77777777" w:rsidR="00B5529F" w:rsidRDefault="00972E0B">
      <w:pPr>
        <w:numPr>
          <w:ilvl w:val="0"/>
          <w:numId w:val="7"/>
        </w:numPr>
        <w:tabs>
          <w:tab w:val="left" w:pos="400"/>
        </w:tabs>
        <w:spacing w:after="0"/>
        <w:jc w:val="both"/>
        <w:rPr>
          <w:sz w:val="20"/>
          <w:szCs w:val="20"/>
        </w:rPr>
      </w:pPr>
      <w:r>
        <w:rPr>
          <w:sz w:val="20"/>
          <w:szCs w:val="20"/>
        </w:rPr>
        <w:t>Companies that may own significant technology intellectual property;</w:t>
      </w:r>
      <w:r>
        <w:rPr>
          <w:sz w:val="20"/>
          <w:szCs w:val="20"/>
          <w:vertAlign w:val="superscript"/>
        </w:rPr>
        <w:footnoteReference w:id="10"/>
      </w:r>
    </w:p>
    <w:p w14:paraId="08C54E62" w14:textId="77777777" w:rsidR="00B5529F" w:rsidRDefault="00972E0B">
      <w:pPr>
        <w:numPr>
          <w:ilvl w:val="0"/>
          <w:numId w:val="7"/>
        </w:numPr>
        <w:tabs>
          <w:tab w:val="left" w:pos="400"/>
        </w:tabs>
        <w:spacing w:after="0"/>
        <w:jc w:val="both"/>
        <w:rPr>
          <w:sz w:val="20"/>
          <w:szCs w:val="20"/>
        </w:rPr>
      </w:pPr>
      <w:r>
        <w:rPr>
          <w:sz w:val="20"/>
          <w:szCs w:val="20"/>
        </w:rPr>
        <w:t xml:space="preserve">Companies engaged with significantly different activities, products, </w:t>
      </w:r>
      <w:proofErr w:type="gramStart"/>
      <w:r>
        <w:rPr>
          <w:sz w:val="20"/>
          <w:szCs w:val="20"/>
        </w:rPr>
        <w:t>or,</w:t>
      </w:r>
      <w:proofErr w:type="gramEnd"/>
      <w:r>
        <w:rPr>
          <w:sz w:val="20"/>
          <w:szCs w:val="20"/>
        </w:rPr>
        <w:t xml:space="preserve"> </w:t>
      </w:r>
      <w:proofErr w:type="gramStart"/>
      <w:r>
        <w:rPr>
          <w:sz w:val="20"/>
          <w:szCs w:val="20"/>
        </w:rPr>
        <w:t>services;</w:t>
      </w:r>
      <w:proofErr w:type="gramEnd"/>
    </w:p>
    <w:p w14:paraId="145CBC01" w14:textId="77777777" w:rsidR="00B5529F" w:rsidRDefault="00972E0B">
      <w:pPr>
        <w:numPr>
          <w:ilvl w:val="0"/>
          <w:numId w:val="7"/>
        </w:numPr>
        <w:tabs>
          <w:tab w:val="left" w:pos="400"/>
        </w:tabs>
        <w:spacing w:after="0"/>
        <w:jc w:val="both"/>
        <w:rPr>
          <w:sz w:val="20"/>
          <w:szCs w:val="20"/>
        </w:rPr>
      </w:pPr>
      <w:r>
        <w:rPr>
          <w:sz w:val="20"/>
          <w:szCs w:val="20"/>
        </w:rPr>
        <w:t>Companies with no or limited activity</w:t>
      </w:r>
    </w:p>
    <w:p w14:paraId="44A520E5" w14:textId="77777777" w:rsidR="00B5529F" w:rsidRDefault="00972E0B">
      <w:pPr>
        <w:numPr>
          <w:ilvl w:val="0"/>
          <w:numId w:val="7"/>
        </w:numPr>
        <w:tabs>
          <w:tab w:val="left" w:pos="400"/>
        </w:tabs>
        <w:spacing w:after="240"/>
        <w:jc w:val="both"/>
        <w:rPr>
          <w:sz w:val="20"/>
          <w:szCs w:val="20"/>
        </w:rPr>
      </w:pPr>
      <w:r>
        <w:rPr>
          <w:sz w:val="20"/>
          <w:szCs w:val="20"/>
        </w:rPr>
        <w:t>Other reasons (e.g., bankruptcy, developing proprietary products, etc.).</w:t>
      </w:r>
    </w:p>
    <w:p w14:paraId="0DEBC351" w14:textId="77777777" w:rsidR="00B5529F" w:rsidRDefault="00972E0B">
      <w:pPr>
        <w:spacing w:line="360" w:lineRule="auto"/>
        <w:jc w:val="both"/>
        <w:rPr>
          <w:sz w:val="20"/>
          <w:szCs w:val="20"/>
        </w:rPr>
      </w:pPr>
      <w:r>
        <w:rPr>
          <w:sz w:val="20"/>
          <w:szCs w:val="20"/>
        </w:rPr>
        <w:t>This step resulted in &lt;COMPS&gt; comparable companies. A detailed rejection matrix can be found in Appendix A. Financial information and business descriptions of these comparable companies can be found in Appendices B and C.</w:t>
      </w:r>
    </w:p>
    <w:p w14:paraId="28B0B0E7" w14:textId="77777777" w:rsidR="00B5529F" w:rsidRDefault="00972E0B">
      <w:pPr>
        <w:rPr>
          <w:sz w:val="20"/>
          <w:szCs w:val="20"/>
        </w:rPr>
      </w:pPr>
      <w:r>
        <w:br w:type="page"/>
      </w:r>
    </w:p>
    <w:p w14:paraId="1D7F436B" w14:textId="77777777" w:rsidR="00B5529F" w:rsidRDefault="00972E0B">
      <w:pPr>
        <w:numPr>
          <w:ilvl w:val="0"/>
          <w:numId w:val="6"/>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lastRenderedPageBreak/>
        <w:t>Financial analysis</w:t>
      </w:r>
    </w:p>
    <w:p w14:paraId="364A2DDF" w14:textId="77777777" w:rsidR="00B5529F" w:rsidRDefault="00972E0B">
      <w:pPr>
        <w:spacing w:after="120" w:line="360" w:lineRule="auto"/>
        <w:jc w:val="both"/>
        <w:rPr>
          <w:sz w:val="20"/>
          <w:szCs w:val="20"/>
        </w:rPr>
      </w:pPr>
      <w:r>
        <w:rPr>
          <w:sz w:val="20"/>
          <w:szCs w:val="20"/>
        </w:rPr>
        <w:t xml:space="preserve">The following criteria were </w:t>
      </w:r>
      <w:proofErr w:type="gramStart"/>
      <w:r>
        <w:rPr>
          <w:sz w:val="20"/>
          <w:szCs w:val="20"/>
        </w:rPr>
        <w:t>taken into account</w:t>
      </w:r>
      <w:proofErr w:type="gramEnd"/>
      <w:r>
        <w:rPr>
          <w:sz w:val="20"/>
          <w:szCs w:val="20"/>
        </w:rPr>
        <w:t xml:space="preserve"> in formalizing the comparable results:</w:t>
      </w:r>
    </w:p>
    <w:p w14:paraId="56CEA139" w14:textId="77777777" w:rsidR="00B5529F" w:rsidRDefault="00972E0B">
      <w:pPr>
        <w:spacing w:after="120" w:line="360" w:lineRule="auto"/>
        <w:jc w:val="both"/>
        <w:rPr>
          <w:sz w:val="20"/>
          <w:szCs w:val="20"/>
        </w:rPr>
      </w:pPr>
      <w:r>
        <w:rPr>
          <w:b/>
          <w:sz w:val="20"/>
          <w:szCs w:val="20"/>
        </w:rPr>
        <w:t>Interquartile Range</w:t>
      </w:r>
      <w:r>
        <w:rPr>
          <w:sz w:val="20"/>
          <w:szCs w:val="20"/>
        </w:rPr>
        <w:t>. Both the full and the interquartile ranges, established by the comparable companies, were calculated. The interquartile range constitutes the most probable and representative range of margins. For points that lie on either extreme of the range, there is a risk that these observations are anomalous and, therefore, unrepresentative of an arm’s length return.</w:t>
      </w:r>
    </w:p>
    <w:p w14:paraId="500BE00C" w14:textId="77777777" w:rsidR="00B5529F" w:rsidRDefault="00972E0B">
      <w:pPr>
        <w:spacing w:after="120" w:line="360" w:lineRule="auto"/>
        <w:jc w:val="both"/>
        <w:rPr>
          <w:sz w:val="20"/>
          <w:szCs w:val="20"/>
        </w:rPr>
      </w:pPr>
      <w:r>
        <w:rPr>
          <w:b/>
          <w:sz w:val="20"/>
          <w:szCs w:val="20"/>
        </w:rPr>
        <w:t xml:space="preserve">Multiple Years Used. </w:t>
      </w:r>
      <w:r>
        <w:rPr>
          <w:sz w:val="20"/>
          <w:szCs w:val="20"/>
        </w:rPr>
        <w:t xml:space="preserve">As described in </w:t>
      </w:r>
      <w:proofErr w:type="gramStart"/>
      <w:r>
        <w:rPr>
          <w:sz w:val="20"/>
          <w:szCs w:val="20"/>
        </w:rPr>
        <w:t>the  US</w:t>
      </w:r>
      <w:proofErr w:type="gramEnd"/>
      <w:r>
        <w:rPr>
          <w:sz w:val="20"/>
          <w:szCs w:val="20"/>
        </w:rPr>
        <w:t xml:space="preserve"> Regulations and </w:t>
      </w:r>
      <w:proofErr w:type="gramStart"/>
      <w:r>
        <w:rPr>
          <w:sz w:val="20"/>
          <w:szCs w:val="20"/>
        </w:rPr>
        <w:t>the  OECD</w:t>
      </w:r>
      <w:proofErr w:type="gramEnd"/>
      <w:r>
        <w:rPr>
          <w:sz w:val="20"/>
          <w:szCs w:val="20"/>
        </w:rPr>
        <w:t xml:space="preserve"> Guidelines, it may be appropriate to consider data relating to the uncontrolled comparable companies or the controlled taxpayer for one or more years before or after the year under review.”</w:t>
      </w:r>
      <w:r>
        <w:rPr>
          <w:sz w:val="20"/>
          <w:szCs w:val="20"/>
          <w:vertAlign w:val="superscript"/>
        </w:rPr>
        <w:footnoteReference w:id="11"/>
      </w:r>
      <w:r>
        <w:rPr>
          <w:sz w:val="20"/>
          <w:szCs w:val="20"/>
        </w:rPr>
        <w:t xml:space="preserve"> Thus, we have attempted to obtain the most recent publicly available financial data for all the comparable companies. Multiple years of financial data were used to evaluate the performance of these companies over time and to control for any aberrations in a single year result. </w:t>
      </w:r>
    </w:p>
    <w:p w14:paraId="729F0C1D" w14:textId="77777777" w:rsidR="00B5529F" w:rsidRDefault="00972E0B">
      <w:pPr>
        <w:spacing w:after="240" w:line="360" w:lineRule="auto"/>
        <w:jc w:val="both"/>
        <w:rPr>
          <w:sz w:val="20"/>
          <w:szCs w:val="20"/>
        </w:rPr>
      </w:pPr>
      <w:r>
        <w:rPr>
          <w:b/>
          <w:sz w:val="20"/>
          <w:szCs w:val="20"/>
        </w:rPr>
        <w:t>Averaging Method</w:t>
      </w:r>
      <w:r>
        <w:rPr>
          <w:sz w:val="20"/>
          <w:szCs w:val="20"/>
        </w:rPr>
        <w:t>. The financial data of the selected companies were used to calculate the weighted average results. Under the averaging method, the data points for each company for each year under review are averaged considering the proportional relevance of each data point rather than treating each data point equally.</w:t>
      </w:r>
    </w:p>
    <w:p w14:paraId="5AA0B9FB" w14:textId="77777777" w:rsidR="00B5529F" w:rsidRDefault="00B5529F">
      <w:pPr>
        <w:pBdr>
          <w:top w:val="nil"/>
          <w:left w:val="nil"/>
          <w:bottom w:val="nil"/>
          <w:right w:val="nil"/>
          <w:between w:val="nil"/>
        </w:pBdr>
        <w:spacing w:after="240" w:line="240" w:lineRule="auto"/>
        <w:jc w:val="both"/>
        <w:rPr>
          <w:color w:val="000000"/>
          <w:sz w:val="20"/>
          <w:szCs w:val="20"/>
        </w:rPr>
      </w:pPr>
    </w:p>
    <w:p w14:paraId="630BBF5A" w14:textId="77777777" w:rsidR="00B5529F" w:rsidRDefault="00972E0B">
      <w:pPr>
        <w:rPr>
          <w:color w:val="000000"/>
          <w:sz w:val="20"/>
          <w:szCs w:val="20"/>
        </w:rPr>
      </w:pPr>
      <w:r>
        <w:br w:type="page"/>
      </w:r>
    </w:p>
    <w:p w14:paraId="54B8D27C" w14:textId="77777777" w:rsidR="00B5529F" w:rsidRDefault="00972E0B">
      <w:pPr>
        <w:numPr>
          <w:ilvl w:val="0"/>
          <w:numId w:val="3"/>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Comparable Results</w:t>
      </w:r>
    </w:p>
    <w:p w14:paraId="516FC360" w14:textId="77777777" w:rsidR="00B5529F" w:rsidRDefault="00972E0B">
      <w:pPr>
        <w:spacing w:after="120" w:line="240" w:lineRule="auto"/>
        <w:rPr>
          <w:sz w:val="20"/>
          <w:szCs w:val="20"/>
        </w:rPr>
      </w:pPr>
      <w:r>
        <w:rPr>
          <w:sz w:val="20"/>
          <w:szCs w:val="20"/>
        </w:rPr>
        <w:t xml:space="preserve">The following table presents the OPM earned by each of the comparable companies: </w:t>
      </w:r>
    </w:p>
    <w:p w14:paraId="47A71C08" w14:textId="77777777" w:rsidR="00B5529F" w:rsidRDefault="00972E0B">
      <w:pPr>
        <w:spacing w:after="120" w:line="240" w:lineRule="auto"/>
        <w:rPr>
          <w:sz w:val="20"/>
          <w:szCs w:val="20"/>
        </w:rPr>
      </w:pPr>
      <w:r>
        <w:rPr>
          <w:sz w:val="20"/>
          <w:szCs w:val="20"/>
        </w:rPr>
        <w:t>&lt;BENCHMARK&gt;</w:t>
      </w:r>
    </w:p>
    <w:p w14:paraId="70EB36CB" w14:textId="77777777" w:rsidR="00B5529F" w:rsidRDefault="00B5529F">
      <w:pPr>
        <w:spacing w:before="120" w:after="120" w:line="360" w:lineRule="auto"/>
        <w:jc w:val="both"/>
        <w:rPr>
          <w:sz w:val="20"/>
          <w:szCs w:val="20"/>
        </w:rPr>
      </w:pPr>
    </w:p>
    <w:p w14:paraId="0AA20C6D" w14:textId="77777777" w:rsidR="00B5529F" w:rsidRDefault="00972E0B">
      <w:pPr>
        <w:spacing w:before="120" w:after="120" w:line="360" w:lineRule="auto"/>
        <w:jc w:val="both"/>
        <w:rPr>
          <w:sz w:val="20"/>
          <w:szCs w:val="20"/>
        </w:rPr>
      </w:pPr>
      <w:r>
        <w:rPr>
          <w:sz w:val="20"/>
          <w:szCs w:val="20"/>
        </w:rPr>
        <w:t xml:space="preserve">The interquartile range of three-year weighted average OPM is between &lt;LOWER&gt;% and &lt;UPPER&gt;% with a median of &lt;MEDIAN&gt;%. Detailed financial and company descriptions can be found in appendices B and C. </w:t>
      </w:r>
    </w:p>
    <w:p w14:paraId="05C35CAF" w14:textId="77777777" w:rsidR="00B5529F" w:rsidRDefault="00972E0B">
      <w:pPr>
        <w:rPr>
          <w:b/>
          <w:sz w:val="20"/>
          <w:szCs w:val="20"/>
          <w:u w:val="single"/>
        </w:rPr>
      </w:pPr>
      <w:r>
        <w:br w:type="page"/>
      </w:r>
    </w:p>
    <w:p w14:paraId="32C76A0F" w14:textId="77777777" w:rsidR="00B5529F" w:rsidRDefault="00972E0B">
      <w:pPr>
        <w:spacing w:after="240" w:line="240" w:lineRule="auto"/>
        <w:rPr>
          <w:b/>
          <w:color w:val="7F7F7F"/>
          <w:sz w:val="48"/>
          <w:szCs w:val="48"/>
        </w:rPr>
      </w:pPr>
      <w:r>
        <w:rPr>
          <w:b/>
          <w:color w:val="7F7F7F"/>
          <w:sz w:val="28"/>
          <w:szCs w:val="28"/>
        </w:rPr>
        <w:lastRenderedPageBreak/>
        <w:t>Appendices</w:t>
      </w:r>
    </w:p>
    <w:p w14:paraId="273C9C0A" w14:textId="77777777" w:rsidR="00B5529F" w:rsidRDefault="00972E0B">
      <w:pPr>
        <w:numPr>
          <w:ilvl w:val="0"/>
          <w:numId w:val="4"/>
        </w:numPr>
        <w:pBdr>
          <w:top w:val="nil"/>
          <w:left w:val="nil"/>
          <w:bottom w:val="nil"/>
          <w:right w:val="nil"/>
          <w:between w:val="nil"/>
        </w:pBdr>
        <w:spacing w:after="120" w:line="240" w:lineRule="auto"/>
        <w:rPr>
          <w:b/>
          <w:color w:val="000000"/>
        </w:rPr>
      </w:pPr>
      <w:r>
        <w:rPr>
          <w:b/>
          <w:color w:val="000000"/>
          <w:sz w:val="20"/>
          <w:szCs w:val="20"/>
        </w:rPr>
        <w:t>Accept/Rejected Matrix</w:t>
      </w:r>
    </w:p>
    <w:p w14:paraId="00063EE3" w14:textId="603CF1FA" w:rsidR="00B5529F" w:rsidRDefault="00972E0B" w:rsidP="00240E25">
      <w:pPr>
        <w:spacing w:after="0" w:line="240" w:lineRule="auto"/>
        <w:rPr>
          <w:sz w:val="20"/>
          <w:szCs w:val="20"/>
        </w:rPr>
      </w:pPr>
      <w:r>
        <w:rPr>
          <w:sz w:val="20"/>
          <w:szCs w:val="20"/>
        </w:rPr>
        <w:t>&lt;MATRIX&gt;</w:t>
      </w:r>
    </w:p>
    <w:p w14:paraId="5191E860" w14:textId="77777777" w:rsidR="00813AF2" w:rsidRDefault="00813AF2" w:rsidP="00240E25">
      <w:pPr>
        <w:spacing w:after="0" w:line="240" w:lineRule="auto"/>
        <w:rPr>
          <w:b/>
          <w:sz w:val="20"/>
          <w:szCs w:val="20"/>
          <w:u w:val="single"/>
        </w:rPr>
      </w:pPr>
    </w:p>
    <w:p w14:paraId="5C4D60D2" w14:textId="77777777" w:rsidR="00813AF2" w:rsidRDefault="00813AF2">
      <w:pPr>
        <w:rPr>
          <w:b/>
          <w:color w:val="000000"/>
          <w:sz w:val="20"/>
          <w:szCs w:val="20"/>
        </w:rPr>
      </w:pPr>
      <w:r>
        <w:rPr>
          <w:b/>
          <w:color w:val="000000"/>
          <w:sz w:val="20"/>
          <w:szCs w:val="20"/>
        </w:rPr>
        <w:br w:type="page"/>
      </w:r>
    </w:p>
    <w:p w14:paraId="0AA73614" w14:textId="658C8EC1" w:rsidR="00B5529F" w:rsidRDefault="00972E0B">
      <w:pPr>
        <w:numPr>
          <w:ilvl w:val="0"/>
          <w:numId w:val="4"/>
        </w:numPr>
        <w:pBdr>
          <w:top w:val="nil"/>
          <w:left w:val="nil"/>
          <w:bottom w:val="nil"/>
          <w:right w:val="nil"/>
          <w:between w:val="nil"/>
        </w:pBdr>
        <w:spacing w:after="120" w:line="240" w:lineRule="auto"/>
        <w:rPr>
          <w:b/>
          <w:color w:val="000000"/>
          <w:sz w:val="20"/>
          <w:szCs w:val="20"/>
        </w:rPr>
      </w:pPr>
      <w:r>
        <w:rPr>
          <w:b/>
          <w:color w:val="000000"/>
          <w:sz w:val="20"/>
          <w:szCs w:val="20"/>
        </w:rPr>
        <w:lastRenderedPageBreak/>
        <w:t>Comparable companies’ financial information</w:t>
      </w:r>
    </w:p>
    <w:p w14:paraId="4BD245CE" w14:textId="77777777" w:rsidR="00B5529F" w:rsidRDefault="00972E0B">
      <w:pPr>
        <w:spacing w:after="240" w:line="240" w:lineRule="auto"/>
        <w:rPr>
          <w:sz w:val="20"/>
          <w:szCs w:val="20"/>
        </w:rPr>
      </w:pPr>
      <w:r>
        <w:rPr>
          <w:sz w:val="20"/>
          <w:szCs w:val="20"/>
        </w:rPr>
        <w:t>&lt;FINANCIALS&gt;</w:t>
      </w:r>
    </w:p>
    <w:p w14:paraId="5CCCBB3B" w14:textId="77777777" w:rsidR="00B5529F" w:rsidRDefault="00972E0B">
      <w:pPr>
        <w:rPr>
          <w:b/>
          <w:sz w:val="20"/>
          <w:szCs w:val="20"/>
          <w:u w:val="single"/>
        </w:rPr>
      </w:pPr>
      <w:r>
        <w:br w:type="page"/>
      </w:r>
    </w:p>
    <w:p w14:paraId="3537B46E" w14:textId="77777777" w:rsidR="00B5529F" w:rsidRDefault="00972E0B">
      <w:pPr>
        <w:numPr>
          <w:ilvl w:val="0"/>
          <w:numId w:val="4"/>
        </w:numPr>
        <w:pBdr>
          <w:top w:val="nil"/>
          <w:left w:val="nil"/>
          <w:bottom w:val="nil"/>
          <w:right w:val="nil"/>
          <w:between w:val="nil"/>
        </w:pBdr>
        <w:spacing w:after="120" w:line="240" w:lineRule="auto"/>
        <w:rPr>
          <w:b/>
          <w:color w:val="000000"/>
          <w:sz w:val="20"/>
          <w:szCs w:val="20"/>
        </w:rPr>
      </w:pPr>
      <w:r>
        <w:rPr>
          <w:b/>
          <w:color w:val="000000"/>
          <w:sz w:val="20"/>
          <w:szCs w:val="20"/>
        </w:rPr>
        <w:lastRenderedPageBreak/>
        <w:t>Comparable companies’ business descriptions</w:t>
      </w:r>
    </w:p>
    <w:p w14:paraId="3511AC50" w14:textId="77777777" w:rsidR="00B5529F" w:rsidRDefault="00972E0B" w:rsidP="00805268">
      <w:pPr>
        <w:spacing w:after="240" w:line="240" w:lineRule="auto"/>
        <w:rPr>
          <w:sz w:val="20"/>
          <w:szCs w:val="20"/>
        </w:rPr>
      </w:pPr>
      <w:r>
        <w:rPr>
          <w:sz w:val="20"/>
          <w:szCs w:val="20"/>
        </w:rPr>
        <w:t>&lt;DESCRIPTION&gt;</w:t>
      </w:r>
    </w:p>
    <w:p w14:paraId="020C566D" w14:textId="77777777" w:rsidR="00B5529F" w:rsidRDefault="00972E0B">
      <w:pPr>
        <w:rPr>
          <w:b/>
          <w:sz w:val="20"/>
          <w:szCs w:val="20"/>
          <w:u w:val="single"/>
        </w:rPr>
      </w:pPr>
      <w:r>
        <w:br w:type="page"/>
      </w:r>
    </w:p>
    <w:p w14:paraId="2E5C5383" w14:textId="77777777" w:rsidR="00B5529F" w:rsidRDefault="00972E0B">
      <w:pPr>
        <w:numPr>
          <w:ilvl w:val="0"/>
          <w:numId w:val="4"/>
        </w:numPr>
        <w:pBdr>
          <w:top w:val="nil"/>
          <w:left w:val="nil"/>
          <w:bottom w:val="nil"/>
          <w:right w:val="nil"/>
          <w:between w:val="nil"/>
        </w:pBdr>
        <w:spacing w:after="120" w:line="240" w:lineRule="auto"/>
        <w:rPr>
          <w:b/>
          <w:color w:val="000000"/>
          <w:sz w:val="20"/>
          <w:szCs w:val="20"/>
        </w:rPr>
      </w:pPr>
      <w:r>
        <w:rPr>
          <w:b/>
          <w:color w:val="000000"/>
          <w:sz w:val="20"/>
          <w:szCs w:val="20"/>
        </w:rPr>
        <w:lastRenderedPageBreak/>
        <w:t>Scope</w:t>
      </w:r>
    </w:p>
    <w:p w14:paraId="26FCA01C"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The scope and purpose of this Report is limited to (</w:t>
      </w:r>
      <w:proofErr w:type="spellStart"/>
      <w:r>
        <w:rPr>
          <w:color w:val="000000"/>
          <w:sz w:val="20"/>
          <w:szCs w:val="20"/>
        </w:rPr>
        <w:t>i</w:t>
      </w:r>
      <w:proofErr w:type="spellEnd"/>
      <w:r>
        <w:rPr>
          <w:color w:val="000000"/>
          <w:sz w:val="20"/>
          <w:szCs w:val="20"/>
        </w:rPr>
        <w:t xml:space="preserve">) reviewing the Group’s transfer pricing results in relation to the Covered Transaction under the arm’s length principle of the </w:t>
      </w:r>
      <w:r>
        <w:rPr>
          <w:sz w:val="20"/>
          <w:szCs w:val="20"/>
        </w:rPr>
        <w:t xml:space="preserve"> US Regulations and the</w:t>
      </w:r>
      <w:r>
        <w:rPr>
          <w:color w:val="000000"/>
          <w:sz w:val="20"/>
          <w:szCs w:val="20"/>
        </w:rPr>
        <w:t xml:space="preserve"> OECD Guidelines, (ii) establishing that the Group reasonably concluded that the method (and the application of that method) applied in this Report provided the most reliable measure of an arm’s length result for the Covered Transaction.</w:t>
      </w:r>
    </w:p>
    <w:p w14:paraId="449722A5"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We assume no responsibility for any issues beyond this express and limited scope of this Report.  Additional issues may exist that affect the U.S. federal, state, local</w:t>
      </w:r>
      <w:r>
        <w:rPr>
          <w:sz w:val="20"/>
          <w:szCs w:val="20"/>
        </w:rPr>
        <w:t>,</w:t>
      </w:r>
      <w:r>
        <w:rPr>
          <w:color w:val="000000"/>
          <w:sz w:val="20"/>
          <w:szCs w:val="20"/>
        </w:rPr>
        <w:t xml:space="preserve"> or foreign income and non-income tax treatment and consequences of the Covered Transaction, as well as other transactions or matters that may affect the Group.  This Report does not consider, and we express no </w:t>
      </w:r>
      <w:proofErr w:type="gramStart"/>
      <w:r>
        <w:rPr>
          <w:color w:val="000000"/>
          <w:sz w:val="20"/>
          <w:szCs w:val="20"/>
        </w:rPr>
        <w:t>view</w:t>
      </w:r>
      <w:proofErr w:type="gramEnd"/>
      <w:r>
        <w:rPr>
          <w:color w:val="000000"/>
          <w:sz w:val="20"/>
          <w:szCs w:val="20"/>
        </w:rPr>
        <w:t xml:space="preserve"> any such other tax issues, nor any non-tax legal, regulatory, accounting, or other non-tax issues that may </w:t>
      </w:r>
      <w:proofErr w:type="gramStart"/>
      <w:r>
        <w:rPr>
          <w:color w:val="000000"/>
          <w:sz w:val="20"/>
          <w:szCs w:val="20"/>
        </w:rPr>
        <w:t>impact</w:t>
      </w:r>
      <w:proofErr w:type="gramEnd"/>
      <w:r>
        <w:rPr>
          <w:color w:val="000000"/>
          <w:sz w:val="20"/>
          <w:szCs w:val="20"/>
        </w:rPr>
        <w:t xml:space="preserve"> the Covered Transaction or any other transaction(s) or matters affecting the Group.  </w:t>
      </w:r>
    </w:p>
    <w:p w14:paraId="7518F0ED"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 xml:space="preserve">Although the conclusions set forth in our Report reflect our best professional </w:t>
      </w:r>
      <w:r>
        <w:rPr>
          <w:sz w:val="20"/>
          <w:szCs w:val="20"/>
        </w:rPr>
        <w:t>judgment</w:t>
      </w:r>
      <w:r>
        <w:rPr>
          <w:color w:val="000000"/>
          <w:sz w:val="20"/>
          <w:szCs w:val="20"/>
        </w:rPr>
        <w:t xml:space="preserve"> regarding the arm’s length nature of the Group’s transfer pricing results with respect to the Covered Transaction, we cannot </w:t>
      </w:r>
      <w:r>
        <w:rPr>
          <w:sz w:val="20"/>
          <w:szCs w:val="20"/>
        </w:rPr>
        <w:t>assure</w:t>
      </w:r>
      <w:r>
        <w:rPr>
          <w:color w:val="000000"/>
          <w:sz w:val="20"/>
          <w:szCs w:val="20"/>
        </w:rPr>
        <w:t xml:space="preserve"> that such conclusions will not be subject to challenge by any federal, state, local or foreign taxing authority, or that in the event of such a challenge, that a court in any jurisdiction will ultimately uphold such conclusions </w:t>
      </w:r>
    </w:p>
    <w:p w14:paraId="58DF9DE5"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This Report has been prepared for the sole benefit of the Group and may not be relied upon by any other party for any purpose without our prior written permission, and we assume no responsibilities to any such other parties. Notwithstanding the foregoing, nothing in this Report should be interpreted to limit the Group’s right to disclose the tax treatment and tax structure of the Covered Transaction to any person.  </w:t>
      </w:r>
    </w:p>
    <w:p w14:paraId="15B94651"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In preparing this Report, we have relied on information, provided by Client, which we have not independently audited or verified. We have assumed that all such data, documents</w:t>
      </w:r>
      <w:r>
        <w:rPr>
          <w:sz w:val="20"/>
          <w:szCs w:val="20"/>
        </w:rPr>
        <w:t>,</w:t>
      </w:r>
      <w:r>
        <w:rPr>
          <w:color w:val="000000"/>
          <w:sz w:val="20"/>
          <w:szCs w:val="20"/>
        </w:rPr>
        <w:t xml:space="preserve"> and factual representations are true, correct, and complete in all material respects. Any </w:t>
      </w:r>
      <w:proofErr w:type="gramStart"/>
      <w:r>
        <w:rPr>
          <w:color w:val="000000"/>
          <w:sz w:val="20"/>
          <w:szCs w:val="20"/>
        </w:rPr>
        <w:t>misstatement</w:t>
      </w:r>
      <w:proofErr w:type="gramEnd"/>
      <w:r>
        <w:rPr>
          <w:color w:val="000000"/>
          <w:sz w:val="20"/>
          <w:szCs w:val="20"/>
        </w:rPr>
        <w:t>, omission, or subsequent change in any such data, facts</w:t>
      </w:r>
      <w:r>
        <w:rPr>
          <w:sz w:val="20"/>
          <w:szCs w:val="20"/>
        </w:rPr>
        <w:t>,</w:t>
      </w:r>
      <w:r>
        <w:rPr>
          <w:color w:val="000000"/>
          <w:sz w:val="20"/>
          <w:szCs w:val="20"/>
        </w:rPr>
        <w:t xml:space="preserve"> or documents may </w:t>
      </w:r>
      <w:proofErr w:type="gramStart"/>
      <w:r>
        <w:rPr>
          <w:color w:val="000000"/>
          <w:sz w:val="20"/>
          <w:szCs w:val="20"/>
        </w:rPr>
        <w:t>impact</w:t>
      </w:r>
      <w:proofErr w:type="gramEnd"/>
      <w:r>
        <w:rPr>
          <w:color w:val="000000"/>
          <w:sz w:val="20"/>
          <w:szCs w:val="20"/>
        </w:rPr>
        <w:t xml:space="preserve"> the validity of our conclusions.  </w:t>
      </w:r>
    </w:p>
    <w:p w14:paraId="7FCB4905" w14:textId="77777777" w:rsidR="00B5529F" w:rsidRDefault="00972E0B">
      <w:pPr>
        <w:spacing w:after="120" w:line="360" w:lineRule="auto"/>
        <w:jc w:val="both"/>
        <w:rPr>
          <w:rFonts w:ascii="Times New Roman" w:eastAsia="Times New Roman" w:hAnsi="Times New Roman" w:cs="Times New Roman"/>
          <w:sz w:val="24"/>
          <w:szCs w:val="24"/>
        </w:rPr>
      </w:pPr>
      <w:r>
        <w:rPr>
          <w:color w:val="000000"/>
          <w:sz w:val="20"/>
          <w:szCs w:val="20"/>
        </w:rPr>
        <w:t xml:space="preserve">Additionally, this Report reflects the applicable law and guidance of the US Regulations and the OECD Guidelines thereof in effect as of the end of the tax year to which this Report relates. Such law and guidance may be subject to change, possibly on </w:t>
      </w:r>
      <w:proofErr w:type="gramStart"/>
      <w:r>
        <w:rPr>
          <w:color w:val="000000"/>
          <w:sz w:val="20"/>
          <w:szCs w:val="20"/>
        </w:rPr>
        <w:t>retroactive</w:t>
      </w:r>
      <w:proofErr w:type="gramEnd"/>
      <w:r>
        <w:rPr>
          <w:color w:val="000000"/>
          <w:sz w:val="20"/>
          <w:szCs w:val="20"/>
        </w:rPr>
        <w:t xml:space="preserve"> basis or in a manner that could otherwise materially affect the conclusions stated in this Report.  </w:t>
      </w:r>
    </w:p>
    <w:p w14:paraId="34BD3C7A" w14:textId="77777777" w:rsidR="00B5529F" w:rsidRDefault="00972E0B">
      <w:pPr>
        <w:spacing w:after="120" w:line="360" w:lineRule="auto"/>
        <w:jc w:val="both"/>
        <w:rPr>
          <w:color w:val="000000"/>
          <w:sz w:val="20"/>
          <w:szCs w:val="20"/>
        </w:rPr>
      </w:pPr>
      <w:r>
        <w:rPr>
          <w:color w:val="000000"/>
          <w:sz w:val="20"/>
          <w:szCs w:val="20"/>
        </w:rPr>
        <w:t>We assume no obligation to update this Report in the event of any change in facts, circumstances, law, or guidance that could impact the conclusions stated herein.</w:t>
      </w:r>
    </w:p>
    <w:p w14:paraId="5AC5F14E" w14:textId="77777777" w:rsidR="00B5529F" w:rsidRDefault="00972E0B">
      <w:pPr>
        <w:rPr>
          <w:color w:val="000000"/>
          <w:sz w:val="20"/>
          <w:szCs w:val="20"/>
        </w:rPr>
      </w:pPr>
      <w:r>
        <w:br w:type="page"/>
      </w:r>
    </w:p>
    <w:p w14:paraId="76C72722" w14:textId="77777777" w:rsidR="00B5529F" w:rsidRDefault="00972E0B">
      <w:pPr>
        <w:numPr>
          <w:ilvl w:val="0"/>
          <w:numId w:val="4"/>
        </w:numPr>
        <w:pBdr>
          <w:top w:val="nil"/>
          <w:left w:val="nil"/>
          <w:bottom w:val="nil"/>
          <w:right w:val="nil"/>
          <w:between w:val="nil"/>
        </w:pBdr>
        <w:spacing w:after="120" w:line="240" w:lineRule="auto"/>
        <w:rPr>
          <w:b/>
          <w:color w:val="000000"/>
          <w:sz w:val="20"/>
          <w:szCs w:val="20"/>
        </w:rPr>
      </w:pPr>
      <w:r>
        <w:rPr>
          <w:b/>
          <w:color w:val="000000"/>
          <w:sz w:val="20"/>
          <w:szCs w:val="20"/>
        </w:rPr>
        <w:lastRenderedPageBreak/>
        <w:t>Principal document list</w:t>
      </w:r>
    </w:p>
    <w:tbl>
      <w:tblPr>
        <w:tblStyle w:val="a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5"/>
        <w:gridCol w:w="2625"/>
      </w:tblGrid>
      <w:tr w:rsidR="00B5529F" w14:paraId="26C4728A"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1352F79" w14:textId="77777777" w:rsidR="00B5529F" w:rsidRDefault="00972E0B">
            <w:pPr>
              <w:rPr>
                <w:rFonts w:ascii="Times New Roman" w:eastAsia="Times New Roman" w:hAnsi="Times New Roman" w:cs="Times New Roman"/>
                <w:sz w:val="24"/>
                <w:szCs w:val="24"/>
              </w:rPr>
            </w:pPr>
            <w:r>
              <w:rPr>
                <w:b/>
                <w:color w:val="000000"/>
                <w:sz w:val="20"/>
                <w:szCs w:val="20"/>
              </w:rPr>
              <w:t>Document</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06B12FF" w14:textId="77777777" w:rsidR="00B5529F" w:rsidRDefault="00972E0B">
            <w:pPr>
              <w:rPr>
                <w:rFonts w:ascii="Times New Roman" w:eastAsia="Times New Roman" w:hAnsi="Times New Roman" w:cs="Times New Roman"/>
                <w:sz w:val="24"/>
                <w:szCs w:val="24"/>
              </w:rPr>
            </w:pPr>
            <w:r>
              <w:rPr>
                <w:b/>
                <w:color w:val="000000"/>
                <w:sz w:val="20"/>
                <w:szCs w:val="20"/>
              </w:rPr>
              <w:t>Report</w:t>
            </w:r>
          </w:p>
        </w:tc>
      </w:tr>
      <w:tr w:rsidR="00B5529F" w14:paraId="5F17D005"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96AF0EC" w14:textId="77777777" w:rsidR="00B5529F" w:rsidRDefault="00972E0B">
            <w:pPr>
              <w:numPr>
                <w:ilvl w:val="0"/>
                <w:numId w:val="5"/>
              </w:numPr>
              <w:ind w:left="360"/>
              <w:rPr>
                <w:color w:val="000000"/>
                <w:sz w:val="20"/>
                <w:szCs w:val="20"/>
              </w:rPr>
            </w:pPr>
            <w:r>
              <w:rPr>
                <w:color w:val="000000"/>
                <w:sz w:val="20"/>
                <w:szCs w:val="20"/>
              </w:rPr>
              <w:t>An overview of the taxpayer’s business, including economic and legal factors that affect the pricing of its products or services. Treas. Reg. §1.6662-6(d)(2)(iii)(B)(1)</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6A97C70" w14:textId="77777777" w:rsidR="00B5529F" w:rsidRDefault="00972E0B">
            <w:pPr>
              <w:rPr>
                <w:rFonts w:ascii="Times New Roman" w:eastAsia="Times New Roman" w:hAnsi="Times New Roman" w:cs="Times New Roman"/>
                <w:sz w:val="24"/>
                <w:szCs w:val="24"/>
              </w:rPr>
            </w:pPr>
            <w:r>
              <w:rPr>
                <w:color w:val="000000"/>
                <w:sz w:val="20"/>
                <w:szCs w:val="20"/>
              </w:rPr>
              <w:t>Company overview</w:t>
            </w:r>
          </w:p>
        </w:tc>
      </w:tr>
      <w:tr w:rsidR="00B5529F" w14:paraId="7E0EFAA7"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F94290F"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 description of the taxpayer’s organizational structure, including all related parties whose activities are relevant to transfer pricing. Treas. Reg. §1.6662-6(d)(2)(iii)(B)(2)</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1F7E4BC" w14:textId="77777777" w:rsidR="00B5529F" w:rsidRDefault="00972E0B">
            <w:pPr>
              <w:rPr>
                <w:rFonts w:ascii="Times New Roman" w:eastAsia="Times New Roman" w:hAnsi="Times New Roman" w:cs="Times New Roman"/>
                <w:sz w:val="24"/>
                <w:szCs w:val="24"/>
              </w:rPr>
            </w:pPr>
            <w:r>
              <w:rPr>
                <w:color w:val="000000"/>
                <w:sz w:val="20"/>
                <w:szCs w:val="20"/>
              </w:rPr>
              <w:t>Company overview</w:t>
            </w:r>
          </w:p>
        </w:tc>
      </w:tr>
      <w:tr w:rsidR="00B5529F" w14:paraId="6D1BCE48"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FB2CA43"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Any document explicitly required by the regulations under Section 482 (e.g., documentation of non-routine risks, cost-sharing agreements, etc.). Treas. Reg. §1.6662-6(d)(2)(iii)(B)(3)</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9062DE7" w14:textId="77777777" w:rsidR="00B5529F" w:rsidRDefault="00972E0B">
            <w:pPr>
              <w:rPr>
                <w:rFonts w:ascii="Times New Roman" w:eastAsia="Times New Roman" w:hAnsi="Times New Roman" w:cs="Times New Roman"/>
                <w:sz w:val="24"/>
                <w:szCs w:val="24"/>
              </w:rPr>
            </w:pPr>
            <w:r>
              <w:rPr>
                <w:color w:val="000000"/>
                <w:sz w:val="20"/>
                <w:szCs w:val="20"/>
              </w:rPr>
              <w:t>None</w:t>
            </w:r>
          </w:p>
        </w:tc>
      </w:tr>
      <w:tr w:rsidR="00B5529F" w14:paraId="6DE26891"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EC5986A"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 description of the method selected and the reason why it was selected. Treas. Reg. §1.6662-6(d)(2)(iii)(B)(4)</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D7508E0" w14:textId="77777777" w:rsidR="00B5529F" w:rsidRDefault="00972E0B">
            <w:pPr>
              <w:rPr>
                <w:rFonts w:ascii="Times New Roman" w:eastAsia="Times New Roman" w:hAnsi="Times New Roman" w:cs="Times New Roman"/>
                <w:sz w:val="24"/>
                <w:szCs w:val="24"/>
              </w:rPr>
            </w:pPr>
            <w:r>
              <w:rPr>
                <w:color w:val="000000"/>
                <w:sz w:val="20"/>
                <w:szCs w:val="20"/>
              </w:rPr>
              <w:t>Economic Analysis</w:t>
            </w:r>
          </w:p>
        </w:tc>
      </w:tr>
      <w:tr w:rsidR="00B5529F" w14:paraId="22E8FD56"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1D271CC"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 description of the alternative methods that were considered and an explanation of why they were not selected. Treas. Reg. §1.6662-6(d)(2)(iii)(B)(5)</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16460F9" w14:textId="77777777" w:rsidR="00B5529F" w:rsidRDefault="00972E0B">
            <w:pPr>
              <w:rPr>
                <w:rFonts w:ascii="Times New Roman" w:eastAsia="Times New Roman" w:hAnsi="Times New Roman" w:cs="Times New Roman"/>
                <w:sz w:val="24"/>
                <w:szCs w:val="24"/>
              </w:rPr>
            </w:pPr>
            <w:r>
              <w:rPr>
                <w:color w:val="000000"/>
                <w:sz w:val="20"/>
                <w:szCs w:val="20"/>
              </w:rPr>
              <w:t>Economic Analysis</w:t>
            </w:r>
          </w:p>
        </w:tc>
      </w:tr>
      <w:tr w:rsidR="00B5529F" w14:paraId="66D79C01"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F4B8DA7"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 description of the controlled transactions (including terms of sale) and any internal data used to analyze them. Treas. Reg. §1.6662-6(d)(2)(iii)(B)(6)</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0862F75" w14:textId="77777777" w:rsidR="00B5529F" w:rsidRDefault="00972E0B">
            <w:pPr>
              <w:rPr>
                <w:rFonts w:ascii="Times New Roman" w:eastAsia="Times New Roman" w:hAnsi="Times New Roman" w:cs="Times New Roman"/>
                <w:sz w:val="24"/>
                <w:szCs w:val="24"/>
              </w:rPr>
            </w:pPr>
            <w:r>
              <w:rPr>
                <w:color w:val="000000"/>
                <w:sz w:val="20"/>
                <w:szCs w:val="20"/>
              </w:rPr>
              <w:t>Introduction and Economic Analysis</w:t>
            </w:r>
          </w:p>
        </w:tc>
      </w:tr>
      <w:tr w:rsidR="00B5529F" w14:paraId="17AF58FD"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888BFFB" w14:textId="77777777" w:rsidR="00B5529F" w:rsidRDefault="00972E0B">
            <w:pPr>
              <w:numPr>
                <w:ilvl w:val="0"/>
                <w:numId w:val="5"/>
              </w:numPr>
              <w:pBdr>
                <w:top w:val="nil"/>
                <w:left w:val="nil"/>
                <w:bottom w:val="nil"/>
                <w:right w:val="nil"/>
                <w:between w:val="nil"/>
              </w:pBdr>
              <w:ind w:left="360"/>
              <w:rPr>
                <w:sz w:val="20"/>
                <w:szCs w:val="20"/>
              </w:rPr>
            </w:pPr>
            <w:r>
              <w:rPr>
                <w:sz w:val="20"/>
                <w:szCs w:val="20"/>
              </w:rPr>
              <w:t xml:space="preserve">A description of the </w:t>
            </w:r>
            <w:proofErr w:type="spellStart"/>
            <w:r>
              <w:rPr>
                <w:sz w:val="20"/>
                <w:szCs w:val="20"/>
              </w:rPr>
              <w:t>comparables</w:t>
            </w:r>
            <w:proofErr w:type="spellEnd"/>
            <w:r>
              <w:rPr>
                <w:sz w:val="20"/>
                <w:szCs w:val="20"/>
              </w:rPr>
              <w:t xml:space="preserve"> used, how comparability was evaluated and what adjustments were made. Treas. Reg. §1.6662-6(d)(2)(iii)(B)(7)</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139F66C" w14:textId="77777777" w:rsidR="00B5529F" w:rsidRDefault="00972E0B">
            <w:pPr>
              <w:rPr>
                <w:rFonts w:ascii="Times New Roman" w:eastAsia="Times New Roman" w:hAnsi="Times New Roman" w:cs="Times New Roman"/>
                <w:sz w:val="24"/>
                <w:szCs w:val="24"/>
              </w:rPr>
            </w:pPr>
            <w:r>
              <w:rPr>
                <w:color w:val="000000"/>
                <w:sz w:val="20"/>
                <w:szCs w:val="20"/>
              </w:rPr>
              <w:t>Economic Analysis</w:t>
            </w:r>
          </w:p>
        </w:tc>
      </w:tr>
      <w:tr w:rsidR="00B5529F" w14:paraId="41BF30DA"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CF5ADE3"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An explanation of the economic analysis and projections relied on developing the method. Treas. Reg. §1.6662-6(d)(2)(iii)(B)(8)</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81CBE59" w14:textId="77777777" w:rsidR="00B5529F" w:rsidRDefault="00972E0B">
            <w:pPr>
              <w:rPr>
                <w:rFonts w:ascii="Times New Roman" w:eastAsia="Times New Roman" w:hAnsi="Times New Roman" w:cs="Times New Roman"/>
                <w:sz w:val="24"/>
                <w:szCs w:val="24"/>
              </w:rPr>
            </w:pPr>
            <w:r>
              <w:rPr>
                <w:color w:val="000000"/>
                <w:sz w:val="20"/>
                <w:szCs w:val="20"/>
              </w:rPr>
              <w:t>Economic Analysis</w:t>
            </w:r>
          </w:p>
        </w:tc>
      </w:tr>
      <w:tr w:rsidR="00B5529F" w14:paraId="4D556C10"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EC1F0D6"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 description or summary of any relevant data that the taxpayer obtains after the end of the year and before filing a tax return. Treas. Reg. §1.6662-6(d)(2)(iii)(B)(9)</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141332F" w14:textId="77777777" w:rsidR="00B5529F" w:rsidRDefault="00972E0B">
            <w:pPr>
              <w:rPr>
                <w:rFonts w:ascii="Times New Roman" w:eastAsia="Times New Roman" w:hAnsi="Times New Roman" w:cs="Times New Roman"/>
                <w:sz w:val="24"/>
                <w:szCs w:val="24"/>
              </w:rPr>
            </w:pPr>
            <w:r>
              <w:rPr>
                <w:color w:val="000000"/>
                <w:sz w:val="20"/>
                <w:szCs w:val="20"/>
              </w:rPr>
              <w:t>Economic Analysis</w:t>
            </w:r>
          </w:p>
        </w:tc>
      </w:tr>
      <w:tr w:rsidR="00B5529F" w14:paraId="059DC794"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11F816B" w14:textId="77777777" w:rsidR="00B5529F" w:rsidRDefault="00972E0B">
            <w:pPr>
              <w:numPr>
                <w:ilvl w:val="0"/>
                <w:numId w:val="5"/>
              </w:numPr>
              <w:pBdr>
                <w:top w:val="nil"/>
                <w:left w:val="nil"/>
                <w:bottom w:val="nil"/>
                <w:right w:val="nil"/>
                <w:between w:val="nil"/>
              </w:pBdr>
              <w:ind w:left="360"/>
              <w:rPr>
                <w:sz w:val="20"/>
                <w:szCs w:val="20"/>
              </w:rPr>
            </w:pPr>
            <w:r>
              <w:rPr>
                <w:sz w:val="20"/>
                <w:szCs w:val="20"/>
              </w:rPr>
              <w:t>An index of principal and background documents. Treas. Reg. §1.6662-6(d)(2)(iii)(B)(10)</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0B4DD63" w14:textId="77777777" w:rsidR="00B5529F" w:rsidRDefault="00972E0B">
            <w:pPr>
              <w:rPr>
                <w:rFonts w:ascii="Times New Roman" w:eastAsia="Times New Roman" w:hAnsi="Times New Roman" w:cs="Times New Roman"/>
                <w:sz w:val="24"/>
                <w:szCs w:val="24"/>
              </w:rPr>
            </w:pPr>
            <w:r>
              <w:rPr>
                <w:color w:val="000000"/>
                <w:sz w:val="20"/>
                <w:szCs w:val="20"/>
              </w:rPr>
              <w:t>This Appendix E is the index of required principal documents</w:t>
            </w:r>
          </w:p>
        </w:tc>
      </w:tr>
    </w:tbl>
    <w:p w14:paraId="10FE3D7A" w14:textId="77777777" w:rsidR="00B5529F" w:rsidRDefault="00B5529F"/>
    <w:sectPr w:rsidR="00B5529F">
      <w:footerReference w:type="defaul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00B42" w14:textId="77777777" w:rsidR="00C7410D" w:rsidRDefault="00C7410D">
      <w:pPr>
        <w:spacing w:after="0" w:line="240" w:lineRule="auto"/>
      </w:pPr>
      <w:r>
        <w:separator/>
      </w:r>
    </w:p>
  </w:endnote>
  <w:endnote w:type="continuationSeparator" w:id="0">
    <w:p w14:paraId="5CE0C8A1" w14:textId="77777777" w:rsidR="00C7410D" w:rsidRDefault="00C74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27AEF8E-A29E-4E03-91CC-328E53AD6975}"/>
  </w:font>
  <w:font w:name="Calibri">
    <w:panose1 w:val="020F0502020204030204"/>
    <w:charset w:val="00"/>
    <w:family w:val="swiss"/>
    <w:pitch w:val="variable"/>
    <w:sig w:usb0="E4002EFF" w:usb1="C200247B" w:usb2="00000009" w:usb3="00000000" w:csb0="000001FF" w:csb1="00000000"/>
    <w:embedRegular r:id="rId2" w:fontKey="{6A5C17CC-2C9A-4049-9A31-3F01B511BFE0}"/>
    <w:embedBold r:id="rId3" w:fontKey="{18DAC205-2474-4D03-BA4C-5066D9C764A8}"/>
  </w:font>
  <w:font w:name="Verdana">
    <w:panose1 w:val="020B0604030504040204"/>
    <w:charset w:val="00"/>
    <w:family w:val="swiss"/>
    <w:pitch w:val="variable"/>
    <w:sig w:usb0="A00006FF" w:usb1="4000205B" w:usb2="00000010" w:usb3="00000000" w:csb0="0000019F" w:csb1="00000000"/>
    <w:embedRegular r:id="rId4" w:fontKey="{70D97FF5-1C0C-4992-AF2F-18751515E728}"/>
  </w:font>
  <w:font w:name="Arial">
    <w:panose1 w:val="020B0604020202020204"/>
    <w:charset w:val="00"/>
    <w:family w:val="swiss"/>
    <w:pitch w:val="variable"/>
    <w:sig w:usb0="E0002EFF" w:usb1="C000785B" w:usb2="00000009" w:usb3="00000000" w:csb0="000001FF" w:csb1="00000000"/>
  </w:font>
  <w:font w:name="Inter Light">
    <w:panose1 w:val="00000000000000000000"/>
    <w:charset w:val="00"/>
    <w:family w:val="roman"/>
    <w:notTrueType/>
    <w:pitch w:val="default"/>
  </w:font>
  <w:font w:name="EYInterstate Light">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5" w:fontKey="{E8008005-C110-47AC-A5B7-B30470A3D05A}"/>
    <w:embedItalic r:id="rId6" w:fontKey="{A004CD04-6962-4751-8A43-8C7895FE2CE4}"/>
  </w:font>
  <w:font w:name="Roboto">
    <w:charset w:val="00"/>
    <w:family w:val="auto"/>
    <w:pitch w:val="variable"/>
    <w:sig w:usb0="E0000AFF" w:usb1="5000217F" w:usb2="00000021" w:usb3="00000000" w:csb0="0000019F" w:csb1="00000000"/>
    <w:embedRegular r:id="rId7" w:fontKey="{B96CE64F-0137-494E-8B30-1DF01C0B515F}"/>
  </w:font>
  <w:font w:name="Cascadia Mono">
    <w:panose1 w:val="020B0609020000020004"/>
    <w:charset w:val="00"/>
    <w:family w:val="modern"/>
    <w:pitch w:val="fixed"/>
    <w:sig w:usb0="A1002AFF" w:usb1="C200F9FB" w:usb2="00040020" w:usb3="00000000" w:csb0="000001FF" w:csb1="00000000"/>
    <w:embedRegular r:id="rId8" w:fontKey="{371D2FAD-FE81-4553-8DCB-3C42FFBE7113}"/>
  </w:font>
  <w:font w:name="Aptos">
    <w:charset w:val="00"/>
    <w:family w:val="swiss"/>
    <w:pitch w:val="variable"/>
    <w:sig w:usb0="20000287" w:usb1="00000003" w:usb2="00000000" w:usb3="00000000" w:csb0="0000019F" w:csb1="00000000"/>
    <w:embedRegular r:id="rId9" w:fontKey="{0FC15C26-F129-4010-B5EC-926E7C0496D2}"/>
  </w:font>
  <w:font w:name="Calibri Light">
    <w:panose1 w:val="020F0302020204030204"/>
    <w:charset w:val="00"/>
    <w:family w:val="swiss"/>
    <w:pitch w:val="variable"/>
    <w:sig w:usb0="E4002EFF" w:usb1="C200247B" w:usb2="00000009" w:usb3="00000000" w:csb0="000001FF" w:csb1="00000000"/>
    <w:embedRegular r:id="rId10" w:fontKey="{D0D5EC64-95BE-42C6-B8AF-92DD6048F9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41AD" w14:textId="77777777" w:rsidR="00B5529F" w:rsidRDefault="00972E0B">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C667F">
      <w:rPr>
        <w:noProof/>
        <w:color w:val="000000"/>
      </w:rPr>
      <w:t>1</w:t>
    </w:r>
    <w:r>
      <w:rPr>
        <w:color w:val="000000"/>
      </w:rPr>
      <w:fldChar w:fldCharType="end"/>
    </w:r>
  </w:p>
  <w:p w14:paraId="54E8815B" w14:textId="77777777" w:rsidR="00B5529F" w:rsidRDefault="00B5529F">
    <w:pPr>
      <w:pBdr>
        <w:top w:val="nil"/>
        <w:left w:val="nil"/>
        <w:bottom w:val="nil"/>
        <w:right w:val="nil"/>
        <w:between w:val="nil"/>
      </w:pBdr>
      <w:tabs>
        <w:tab w:val="center" w:pos="4680"/>
        <w:tab w:val="right" w:pos="9360"/>
      </w:tabs>
      <w:spacing w:after="0" w:line="240" w:lineRule="auto"/>
      <w:jc w:val="righ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3ADC6" w14:textId="77777777" w:rsidR="00C7410D" w:rsidRDefault="00C7410D">
      <w:pPr>
        <w:spacing w:after="0" w:line="240" w:lineRule="auto"/>
      </w:pPr>
      <w:r>
        <w:separator/>
      </w:r>
    </w:p>
  </w:footnote>
  <w:footnote w:type="continuationSeparator" w:id="0">
    <w:p w14:paraId="36FD0A3A" w14:textId="77777777" w:rsidR="00C7410D" w:rsidRDefault="00C7410D">
      <w:pPr>
        <w:spacing w:after="0" w:line="240" w:lineRule="auto"/>
      </w:pPr>
      <w:r>
        <w:continuationSeparator/>
      </w:r>
    </w:p>
  </w:footnote>
  <w:footnote w:id="1">
    <w:p w14:paraId="10B4BE69" w14:textId="77777777" w:rsidR="00B5529F" w:rsidRDefault="00972E0B">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16"/>
          <w:szCs w:val="16"/>
        </w:rPr>
        <w:t xml:space="preserve">OECD Guidelines, Chapter I Section D.2 </w:t>
      </w:r>
    </w:p>
  </w:footnote>
  <w:footnote w:id="2">
    <w:p w14:paraId="00F98775" w14:textId="77777777" w:rsidR="00B5529F" w:rsidRDefault="00972E0B">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color w:val="000000"/>
          <w:sz w:val="16"/>
          <w:szCs w:val="16"/>
        </w:rPr>
        <w:t xml:space="preserve">Section 1.482-5 of the US Regulations.  </w:t>
      </w:r>
    </w:p>
  </w:footnote>
  <w:footnote w:id="3">
    <w:p w14:paraId="7FCE47A7" w14:textId="77777777" w:rsidR="00B5529F" w:rsidRDefault="00972E0B">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16"/>
          <w:szCs w:val="16"/>
        </w:rPr>
        <w:t>Chapter II B.1 Paragraph 2.64 in the OECD Guidelines.</w:t>
      </w:r>
    </w:p>
  </w:footnote>
  <w:footnote w:id="4">
    <w:p w14:paraId="279FBBB2" w14:textId="0080E397" w:rsidR="00B5529F" w:rsidRDefault="00972E0B">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sz w:val="16"/>
          <w:szCs w:val="16"/>
        </w:rPr>
        <w:t xml:space="preserve">The ratio of the Operating Profit divided by </w:t>
      </w:r>
      <w:r w:rsidR="00CB473B">
        <w:rPr>
          <w:sz w:val="16"/>
          <w:szCs w:val="16"/>
        </w:rPr>
        <w:t>Revenues [</w:t>
      </w:r>
      <w:r>
        <w:rPr>
          <w:sz w:val="16"/>
          <w:szCs w:val="16"/>
        </w:rPr>
        <w:t>OP/Rev]</w:t>
      </w:r>
      <w:r>
        <w:rPr>
          <w:color w:val="000000"/>
          <w:sz w:val="16"/>
          <w:szCs w:val="16"/>
        </w:rPr>
        <w:t xml:space="preserve"> </w:t>
      </w:r>
    </w:p>
  </w:footnote>
  <w:footnote w:id="5">
    <w:p w14:paraId="35F05B94" w14:textId="77777777" w:rsidR="00B5529F" w:rsidRDefault="00972E0B">
      <w:pPr>
        <w:spacing w:after="0" w:line="240" w:lineRule="auto"/>
        <w:jc w:val="both"/>
        <w:rPr>
          <w:rFonts w:ascii="Times New Roman" w:eastAsia="Times New Roman" w:hAnsi="Times New Roman" w:cs="Times New Roman"/>
          <w:sz w:val="24"/>
          <w:szCs w:val="24"/>
        </w:rPr>
      </w:pPr>
      <w:r>
        <w:rPr>
          <w:rStyle w:val="FootnoteReference"/>
        </w:rPr>
        <w:footnoteRef/>
      </w:r>
      <w:r>
        <w:rPr>
          <w:sz w:val="20"/>
          <w:szCs w:val="20"/>
        </w:rPr>
        <w:t xml:space="preserve"> </w:t>
      </w:r>
      <w:r>
        <w:rPr>
          <w:sz w:val="16"/>
          <w:szCs w:val="16"/>
        </w:rPr>
        <w:t>Section 1.482-9(c) in the Code. This method is referred as the Comparable Price Method (CUP) in the OECD Guidelines.</w:t>
      </w:r>
    </w:p>
  </w:footnote>
  <w:footnote w:id="6">
    <w:p w14:paraId="60F61448" w14:textId="77777777" w:rsidR="00B5529F" w:rsidRDefault="00972E0B">
      <w:pPr>
        <w:spacing w:after="0" w:line="240" w:lineRule="auto"/>
        <w:jc w:val="both"/>
        <w:rPr>
          <w:rFonts w:ascii="Times New Roman" w:eastAsia="Times New Roman" w:hAnsi="Times New Roman" w:cs="Times New Roman"/>
          <w:sz w:val="24"/>
          <w:szCs w:val="24"/>
        </w:rPr>
      </w:pPr>
      <w:r>
        <w:rPr>
          <w:rStyle w:val="FootnoteReference"/>
        </w:rPr>
        <w:footnoteRef/>
      </w:r>
      <w:r>
        <w:rPr>
          <w:sz w:val="20"/>
          <w:szCs w:val="20"/>
        </w:rPr>
        <w:t xml:space="preserve"> </w:t>
      </w:r>
      <w:r>
        <w:rPr>
          <w:sz w:val="16"/>
          <w:szCs w:val="16"/>
        </w:rPr>
        <w:t>Section 1.482-3(c) in the Code. This method is referred as the Resale Price Method (RPM) in the OECD Guidelines.</w:t>
      </w:r>
    </w:p>
  </w:footnote>
  <w:footnote w:id="7">
    <w:p w14:paraId="5B74EDFD" w14:textId="77777777" w:rsidR="00B5529F" w:rsidRDefault="00972E0B">
      <w:pPr>
        <w:spacing w:after="0" w:line="240" w:lineRule="auto"/>
        <w:rPr>
          <w:rFonts w:ascii="Aptos" w:eastAsia="Aptos" w:hAnsi="Aptos" w:cs="Aptos"/>
          <w:sz w:val="20"/>
          <w:szCs w:val="20"/>
        </w:rPr>
      </w:pPr>
      <w:r>
        <w:rPr>
          <w:rStyle w:val="FootnoteReference"/>
        </w:rPr>
        <w:footnoteRef/>
      </w:r>
      <w:r>
        <w:rPr>
          <w:sz w:val="20"/>
          <w:szCs w:val="20"/>
        </w:rPr>
        <w:t xml:space="preserve"> </w:t>
      </w:r>
      <w:r>
        <w:rPr>
          <w:sz w:val="16"/>
          <w:szCs w:val="16"/>
        </w:rPr>
        <w:t>Section 1.482-3(d) in the Code. This method is referred as the Cost Plus Method in the OECD Guidelines.</w:t>
      </w:r>
    </w:p>
  </w:footnote>
  <w:footnote w:id="8">
    <w:p w14:paraId="2FDAE8F7" w14:textId="77777777" w:rsidR="00B5529F" w:rsidRDefault="00972E0B">
      <w:pPr>
        <w:spacing w:after="0" w:line="240" w:lineRule="auto"/>
        <w:rPr>
          <w:rFonts w:ascii="Aptos" w:eastAsia="Aptos" w:hAnsi="Aptos" w:cs="Aptos"/>
          <w:sz w:val="20"/>
          <w:szCs w:val="20"/>
        </w:rPr>
      </w:pPr>
      <w:r>
        <w:rPr>
          <w:rStyle w:val="FootnoteReference"/>
        </w:rPr>
        <w:footnoteRef/>
      </w:r>
      <w:r>
        <w:rPr>
          <w:sz w:val="20"/>
          <w:szCs w:val="20"/>
        </w:rPr>
        <w:t xml:space="preserve"> </w:t>
      </w:r>
      <w:r>
        <w:rPr>
          <w:sz w:val="16"/>
          <w:szCs w:val="16"/>
        </w:rPr>
        <w:t>Section 1.482-6 in the Code. This method is referred as the Profit Split Method in the OECD Guidelines</w:t>
      </w:r>
    </w:p>
  </w:footnote>
  <w:footnote w:id="9">
    <w:p w14:paraId="7C280E57" w14:textId="7E053DA3" w:rsidR="00B5529F" w:rsidRDefault="00972E0B">
      <w:pPr>
        <w:spacing w:after="0"/>
        <w:rPr>
          <w:sz w:val="16"/>
          <w:szCs w:val="16"/>
        </w:rPr>
      </w:pPr>
      <w:r>
        <w:rPr>
          <w:rStyle w:val="FootnoteReference"/>
        </w:rPr>
        <w:footnoteRef/>
      </w:r>
      <w:r>
        <w:rPr>
          <w:sz w:val="20"/>
          <w:szCs w:val="20"/>
        </w:rPr>
        <w:t xml:space="preserve"> </w:t>
      </w:r>
      <w:r>
        <w:rPr>
          <w:sz w:val="16"/>
          <w:szCs w:val="16"/>
        </w:rPr>
        <w:t xml:space="preserve">A Moody’s analytics data company. </w:t>
      </w:r>
      <w:r w:rsidR="00B565D7">
        <w:rPr>
          <w:sz w:val="16"/>
          <w:szCs w:val="16"/>
        </w:rPr>
        <w:t>&lt;VERSION&gt;</w:t>
      </w:r>
      <w:r>
        <w:rPr>
          <w:sz w:val="16"/>
          <w:szCs w:val="16"/>
        </w:rPr>
        <w:t>.</w:t>
      </w:r>
    </w:p>
  </w:footnote>
  <w:footnote w:id="10">
    <w:p w14:paraId="27BB0BCE" w14:textId="77777777" w:rsidR="00B5529F" w:rsidRDefault="00972E0B">
      <w:pPr>
        <w:keepNext/>
        <w:keepLines/>
        <w:tabs>
          <w:tab w:val="left" w:pos="720"/>
        </w:tabs>
        <w:spacing w:after="0"/>
        <w:jc w:val="both"/>
        <w:rPr>
          <w:sz w:val="16"/>
          <w:szCs w:val="16"/>
        </w:rPr>
      </w:pPr>
      <w:r>
        <w:rPr>
          <w:rStyle w:val="FootnoteReference"/>
        </w:rPr>
        <w:footnoteRef/>
      </w:r>
      <w:r>
        <w:rPr>
          <w:sz w:val="20"/>
          <w:szCs w:val="20"/>
        </w:rPr>
        <w:t xml:space="preserve"> </w:t>
      </w:r>
      <w:r>
        <w:rPr>
          <w:sz w:val="16"/>
          <w:szCs w:val="16"/>
        </w:rPr>
        <w:t>intangible assets/Total assets &lt; 20%</w:t>
      </w:r>
    </w:p>
  </w:footnote>
  <w:footnote w:id="11">
    <w:p w14:paraId="4DC09C67" w14:textId="77777777" w:rsidR="00B5529F" w:rsidRDefault="00972E0B">
      <w:pPr>
        <w:spacing w:after="0"/>
        <w:rPr>
          <w:sz w:val="16"/>
          <w:szCs w:val="16"/>
        </w:rPr>
      </w:pPr>
      <w:r>
        <w:rPr>
          <w:rStyle w:val="FootnoteReference"/>
        </w:rPr>
        <w:footnoteRef/>
      </w:r>
      <w:r>
        <w:rPr>
          <w:sz w:val="16"/>
          <w:szCs w:val="16"/>
        </w:rPr>
        <w:t xml:space="preserve"> </w:t>
      </w:r>
      <w:r>
        <w:rPr>
          <w:sz w:val="16"/>
          <w:szCs w:val="16"/>
          <w:highlight w:val="white"/>
        </w:rPr>
        <w:t>Internal Revenue Code 1.482-1(f)(iii)</w:t>
      </w:r>
      <w:r>
        <w:rPr>
          <w:sz w:val="16"/>
          <w:szCs w:val="16"/>
        </w:rPr>
        <w:t xml:space="preserve">. Paragraphs 3.75 – 3.70 in the OECD Guidelines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756"/>
    <w:multiLevelType w:val="multilevel"/>
    <w:tmpl w:val="C7DA7572"/>
    <w:lvl w:ilvl="0">
      <w:start w:val="1"/>
      <w:numFmt w:val="decimal"/>
      <w:lvlText w:val="%1."/>
      <w:lvlJc w:val="left"/>
      <w:pPr>
        <w:ind w:left="720" w:hanging="360"/>
      </w:pPr>
      <w:rPr>
        <w:sz w:val="32"/>
        <w:szCs w:val="3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BA5592C"/>
    <w:multiLevelType w:val="multilevel"/>
    <w:tmpl w:val="7004A8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DE18BA"/>
    <w:multiLevelType w:val="multilevel"/>
    <w:tmpl w:val="A21C9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F95694"/>
    <w:multiLevelType w:val="multilevel"/>
    <w:tmpl w:val="5BCAD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14378B"/>
    <w:multiLevelType w:val="multilevel"/>
    <w:tmpl w:val="2AFEDF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93E100A"/>
    <w:multiLevelType w:val="multilevel"/>
    <w:tmpl w:val="E45AF0A2"/>
    <w:lvl w:ilvl="0">
      <w:start w:val="1"/>
      <w:numFmt w:val="upp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705563"/>
    <w:multiLevelType w:val="multilevel"/>
    <w:tmpl w:val="F086DC8A"/>
    <w:lvl w:ilvl="0">
      <w:start w:val="2"/>
      <w:numFmt w:val="upperLetter"/>
      <w:lvlText w:val="%1."/>
      <w:lvlJc w:val="left"/>
      <w:pPr>
        <w:ind w:left="720" w:hanging="360"/>
      </w:pPr>
      <w:rPr>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A563FD8"/>
    <w:multiLevelType w:val="multilevel"/>
    <w:tmpl w:val="1C5A1B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B212532"/>
    <w:multiLevelType w:val="multilevel"/>
    <w:tmpl w:val="5C5CC062"/>
    <w:lvl w:ilvl="0">
      <w:start w:val="1"/>
      <w:numFmt w:val="decimal"/>
      <w:pStyle w:val="StyleHeading1EYInterstateLight"/>
      <w:lvlText w:val="%1."/>
      <w:lvlJc w:val="left"/>
      <w:pPr>
        <w:tabs>
          <w:tab w:val="num" w:pos="720"/>
        </w:tabs>
        <w:ind w:left="720" w:hanging="720"/>
      </w:pPr>
    </w:lvl>
    <w:lvl w:ilvl="1">
      <w:start w:val="1"/>
      <w:numFmt w:val="decimal"/>
      <w:pStyle w:val="bullettexteH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78091453">
    <w:abstractNumId w:val="6"/>
  </w:num>
  <w:num w:numId="2" w16cid:durableId="1272859308">
    <w:abstractNumId w:val="3"/>
  </w:num>
  <w:num w:numId="3" w16cid:durableId="1270316222">
    <w:abstractNumId w:val="0"/>
  </w:num>
  <w:num w:numId="4" w16cid:durableId="2137868193">
    <w:abstractNumId w:val="5"/>
  </w:num>
  <w:num w:numId="5" w16cid:durableId="1913002683">
    <w:abstractNumId w:val="4"/>
  </w:num>
  <w:num w:numId="6" w16cid:durableId="130289266">
    <w:abstractNumId w:val="1"/>
  </w:num>
  <w:num w:numId="7" w16cid:durableId="518855973">
    <w:abstractNumId w:val="2"/>
  </w:num>
  <w:num w:numId="8" w16cid:durableId="587272818">
    <w:abstractNumId w:val="7"/>
  </w:num>
  <w:num w:numId="9" w16cid:durableId="185295982">
    <w:abstractNumId w:val="8"/>
  </w:num>
  <w:num w:numId="10" w16cid:durableId="4737202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9F"/>
    <w:rsid w:val="000123AD"/>
    <w:rsid w:val="0002078A"/>
    <w:rsid w:val="000354D5"/>
    <w:rsid w:val="000366CF"/>
    <w:rsid w:val="00044B2A"/>
    <w:rsid w:val="0007071C"/>
    <w:rsid w:val="00071402"/>
    <w:rsid w:val="000B35D6"/>
    <w:rsid w:val="000C08BC"/>
    <w:rsid w:val="000C17F8"/>
    <w:rsid w:val="000E22A8"/>
    <w:rsid w:val="000E4B7D"/>
    <w:rsid w:val="000E7001"/>
    <w:rsid w:val="000F0F0F"/>
    <w:rsid w:val="000F2470"/>
    <w:rsid w:val="0010133A"/>
    <w:rsid w:val="00112724"/>
    <w:rsid w:val="00112EE1"/>
    <w:rsid w:val="0011719F"/>
    <w:rsid w:val="001178C7"/>
    <w:rsid w:val="00120062"/>
    <w:rsid w:val="00124A6A"/>
    <w:rsid w:val="00133D70"/>
    <w:rsid w:val="00153589"/>
    <w:rsid w:val="001605CB"/>
    <w:rsid w:val="0018054F"/>
    <w:rsid w:val="00181936"/>
    <w:rsid w:val="0019596D"/>
    <w:rsid w:val="001A5CF7"/>
    <w:rsid w:val="001C5E5C"/>
    <w:rsid w:val="001D3ECA"/>
    <w:rsid w:val="001D4C6D"/>
    <w:rsid w:val="00206ECB"/>
    <w:rsid w:val="00240E25"/>
    <w:rsid w:val="002445A5"/>
    <w:rsid w:val="002656E7"/>
    <w:rsid w:val="002A12C9"/>
    <w:rsid w:val="002C2D73"/>
    <w:rsid w:val="003231B0"/>
    <w:rsid w:val="00346E86"/>
    <w:rsid w:val="003554AA"/>
    <w:rsid w:val="00371928"/>
    <w:rsid w:val="003900C7"/>
    <w:rsid w:val="00392FA1"/>
    <w:rsid w:val="00397493"/>
    <w:rsid w:val="003C7F1E"/>
    <w:rsid w:val="003E1172"/>
    <w:rsid w:val="003E2428"/>
    <w:rsid w:val="003F2BD6"/>
    <w:rsid w:val="00433119"/>
    <w:rsid w:val="004349BF"/>
    <w:rsid w:val="00440403"/>
    <w:rsid w:val="00442115"/>
    <w:rsid w:val="00444127"/>
    <w:rsid w:val="00452C79"/>
    <w:rsid w:val="0047132F"/>
    <w:rsid w:val="00472DD4"/>
    <w:rsid w:val="00484CA0"/>
    <w:rsid w:val="00485DE0"/>
    <w:rsid w:val="004901AC"/>
    <w:rsid w:val="004A0F7A"/>
    <w:rsid w:val="004B2B1F"/>
    <w:rsid w:val="004B7412"/>
    <w:rsid w:val="004C1A98"/>
    <w:rsid w:val="004C5DE2"/>
    <w:rsid w:val="004C7330"/>
    <w:rsid w:val="004D57AF"/>
    <w:rsid w:val="004D6FD8"/>
    <w:rsid w:val="00527ED5"/>
    <w:rsid w:val="005435C0"/>
    <w:rsid w:val="0054696F"/>
    <w:rsid w:val="00573C00"/>
    <w:rsid w:val="005903EA"/>
    <w:rsid w:val="00592007"/>
    <w:rsid w:val="00596520"/>
    <w:rsid w:val="005A6C9D"/>
    <w:rsid w:val="005B1744"/>
    <w:rsid w:val="005C4EE2"/>
    <w:rsid w:val="005E0011"/>
    <w:rsid w:val="005E5BD8"/>
    <w:rsid w:val="00600D15"/>
    <w:rsid w:val="00603DB7"/>
    <w:rsid w:val="00662DA9"/>
    <w:rsid w:val="00667A69"/>
    <w:rsid w:val="00675C7D"/>
    <w:rsid w:val="00684374"/>
    <w:rsid w:val="00687ECF"/>
    <w:rsid w:val="0069525C"/>
    <w:rsid w:val="006A35B1"/>
    <w:rsid w:val="006D0417"/>
    <w:rsid w:val="006E3455"/>
    <w:rsid w:val="006E5E09"/>
    <w:rsid w:val="0070644D"/>
    <w:rsid w:val="00713A8D"/>
    <w:rsid w:val="00727149"/>
    <w:rsid w:val="007443A9"/>
    <w:rsid w:val="00746823"/>
    <w:rsid w:val="00750B8C"/>
    <w:rsid w:val="00762393"/>
    <w:rsid w:val="00767997"/>
    <w:rsid w:val="00767C6C"/>
    <w:rsid w:val="00774EA3"/>
    <w:rsid w:val="007758E9"/>
    <w:rsid w:val="0078596A"/>
    <w:rsid w:val="00786EBF"/>
    <w:rsid w:val="007A1E3A"/>
    <w:rsid w:val="007C04B8"/>
    <w:rsid w:val="007C0872"/>
    <w:rsid w:val="007D0CAB"/>
    <w:rsid w:val="007E15D7"/>
    <w:rsid w:val="00805268"/>
    <w:rsid w:val="00813AF2"/>
    <w:rsid w:val="00835335"/>
    <w:rsid w:val="008519EE"/>
    <w:rsid w:val="00856793"/>
    <w:rsid w:val="00897BDA"/>
    <w:rsid w:val="008A07E3"/>
    <w:rsid w:val="008B02FF"/>
    <w:rsid w:val="008B6A19"/>
    <w:rsid w:val="008C208A"/>
    <w:rsid w:val="008E455A"/>
    <w:rsid w:val="00917627"/>
    <w:rsid w:val="0093357B"/>
    <w:rsid w:val="0094356F"/>
    <w:rsid w:val="00951D33"/>
    <w:rsid w:val="0096287D"/>
    <w:rsid w:val="00971080"/>
    <w:rsid w:val="00972E0B"/>
    <w:rsid w:val="009832A0"/>
    <w:rsid w:val="0099113A"/>
    <w:rsid w:val="009A32EA"/>
    <w:rsid w:val="009A6D13"/>
    <w:rsid w:val="009E05CF"/>
    <w:rsid w:val="009E3BFC"/>
    <w:rsid w:val="009F0813"/>
    <w:rsid w:val="009F70CF"/>
    <w:rsid w:val="00A00B38"/>
    <w:rsid w:val="00A01552"/>
    <w:rsid w:val="00A14E3B"/>
    <w:rsid w:val="00A25E14"/>
    <w:rsid w:val="00A870AE"/>
    <w:rsid w:val="00AA3802"/>
    <w:rsid w:val="00AA4465"/>
    <w:rsid w:val="00AA533E"/>
    <w:rsid w:val="00AB2882"/>
    <w:rsid w:val="00AC3A56"/>
    <w:rsid w:val="00AC755D"/>
    <w:rsid w:val="00AD37D5"/>
    <w:rsid w:val="00AE5E2E"/>
    <w:rsid w:val="00AE70B0"/>
    <w:rsid w:val="00AE7F05"/>
    <w:rsid w:val="00AF6139"/>
    <w:rsid w:val="00B204E0"/>
    <w:rsid w:val="00B2513A"/>
    <w:rsid w:val="00B5529F"/>
    <w:rsid w:val="00B565D7"/>
    <w:rsid w:val="00B62119"/>
    <w:rsid w:val="00B648B0"/>
    <w:rsid w:val="00B70152"/>
    <w:rsid w:val="00B9618D"/>
    <w:rsid w:val="00B979EC"/>
    <w:rsid w:val="00BA312B"/>
    <w:rsid w:val="00BC3DA7"/>
    <w:rsid w:val="00BC64F7"/>
    <w:rsid w:val="00BD5D7D"/>
    <w:rsid w:val="00C07E7F"/>
    <w:rsid w:val="00C36602"/>
    <w:rsid w:val="00C525E4"/>
    <w:rsid w:val="00C5745D"/>
    <w:rsid w:val="00C67B7C"/>
    <w:rsid w:val="00C7410D"/>
    <w:rsid w:val="00C825BB"/>
    <w:rsid w:val="00CA5D63"/>
    <w:rsid w:val="00CB473B"/>
    <w:rsid w:val="00CC667F"/>
    <w:rsid w:val="00CD02C2"/>
    <w:rsid w:val="00CD0E97"/>
    <w:rsid w:val="00CD4842"/>
    <w:rsid w:val="00CD5DBD"/>
    <w:rsid w:val="00CE6235"/>
    <w:rsid w:val="00D10C17"/>
    <w:rsid w:val="00D13281"/>
    <w:rsid w:val="00D56061"/>
    <w:rsid w:val="00D60B69"/>
    <w:rsid w:val="00D61DD0"/>
    <w:rsid w:val="00D62702"/>
    <w:rsid w:val="00D64D09"/>
    <w:rsid w:val="00D77DB4"/>
    <w:rsid w:val="00D77E5E"/>
    <w:rsid w:val="00D83E1D"/>
    <w:rsid w:val="00D928BA"/>
    <w:rsid w:val="00D9541D"/>
    <w:rsid w:val="00DA4B5C"/>
    <w:rsid w:val="00DB1908"/>
    <w:rsid w:val="00DC38FB"/>
    <w:rsid w:val="00DC61A1"/>
    <w:rsid w:val="00DD2949"/>
    <w:rsid w:val="00DD48BA"/>
    <w:rsid w:val="00DF6EA9"/>
    <w:rsid w:val="00E16158"/>
    <w:rsid w:val="00E20D7C"/>
    <w:rsid w:val="00E31C9D"/>
    <w:rsid w:val="00E348FD"/>
    <w:rsid w:val="00E459B8"/>
    <w:rsid w:val="00E5095C"/>
    <w:rsid w:val="00E55AC0"/>
    <w:rsid w:val="00E77BA8"/>
    <w:rsid w:val="00E861C7"/>
    <w:rsid w:val="00EC403A"/>
    <w:rsid w:val="00ED1F66"/>
    <w:rsid w:val="00ED71D7"/>
    <w:rsid w:val="00EE1812"/>
    <w:rsid w:val="00EE4DFE"/>
    <w:rsid w:val="00EE5E7C"/>
    <w:rsid w:val="00EF10F0"/>
    <w:rsid w:val="00F019F3"/>
    <w:rsid w:val="00F0563F"/>
    <w:rsid w:val="00F14AA0"/>
    <w:rsid w:val="00F2310C"/>
    <w:rsid w:val="00F242E7"/>
    <w:rsid w:val="00F36859"/>
    <w:rsid w:val="00F732F5"/>
    <w:rsid w:val="00F8168B"/>
    <w:rsid w:val="00F9390C"/>
    <w:rsid w:val="00FD3FCC"/>
    <w:rsid w:val="00FE2065"/>
    <w:rsid w:val="00FE3931"/>
    <w:rsid w:val="00FE4AB2"/>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F03F"/>
  <w15:docId w15:val="{1151404A-79D9-4165-9D18-90C8F54A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EB2"/>
  </w:style>
  <w:style w:type="paragraph" w:styleId="Heading1">
    <w:name w:val="heading 1"/>
    <w:basedOn w:val="Normal"/>
    <w:link w:val="Heading1Char"/>
    <w:uiPriority w:val="9"/>
    <w:qFormat/>
    <w:rsid w:val="00496C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h2,h2 main heading,B Sub/Bold,H2,052,2,Reset numbering,Reset number...,Reset numbering + Times New ...,1.1 Heading 2,LetHead2,Style 2,Major,title 2,Rese...,H2 + After:  6 pt...,w,Burke_Heading 2,restart numbering for &quot;1&quot;,(Alt+2),Lev 2,IOCHead2"/>
    <w:basedOn w:val="Normal"/>
    <w:link w:val="Heading2Char"/>
    <w:uiPriority w:val="9"/>
    <w:semiHidden/>
    <w:unhideWhenUsed/>
    <w:qFormat/>
    <w:rsid w:val="00496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496C1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96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C1F"/>
  </w:style>
  <w:style w:type="paragraph" w:styleId="Footer">
    <w:name w:val="footer"/>
    <w:basedOn w:val="Normal"/>
    <w:link w:val="FooterChar"/>
    <w:uiPriority w:val="99"/>
    <w:unhideWhenUsed/>
    <w:rsid w:val="00496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C1F"/>
  </w:style>
  <w:style w:type="character" w:customStyle="1" w:styleId="Heading1Char">
    <w:name w:val="Heading 1 Char"/>
    <w:basedOn w:val="DefaultParagraphFont"/>
    <w:link w:val="Heading1"/>
    <w:uiPriority w:val="9"/>
    <w:rsid w:val="00496C1F"/>
    <w:rPr>
      <w:rFonts w:ascii="Times New Roman" w:eastAsia="Times New Roman" w:hAnsi="Times New Roman" w:cs="Times New Roman"/>
      <w:b/>
      <w:bCs/>
      <w:kern w:val="36"/>
      <w:sz w:val="48"/>
      <w:szCs w:val="48"/>
    </w:rPr>
  </w:style>
  <w:style w:type="character" w:customStyle="1" w:styleId="Heading2Char">
    <w:name w:val="Heading 2 Char"/>
    <w:aliases w:val="h2 Char,h2 main heading Char,B Sub/Bold Char,H2 Char,052 Char,2 Char,Reset numbering Char,Reset number... Char,Reset numbering + Times New ... Char,1.1 Heading 2 Char,LetHead2 Char,Style 2 Char,Major Char,title 2 Char,Rese... Char,w Char"/>
    <w:basedOn w:val="DefaultParagraphFont"/>
    <w:link w:val="Heading2"/>
    <w:uiPriority w:val="9"/>
    <w:rsid w:val="00496C1F"/>
    <w:rPr>
      <w:rFonts w:ascii="Times New Roman" w:eastAsia="Times New Roman" w:hAnsi="Times New Roman" w:cs="Times New Roman"/>
      <w:b/>
      <w:bCs/>
      <w:kern w:val="0"/>
      <w:sz w:val="36"/>
      <w:szCs w:val="36"/>
    </w:rPr>
  </w:style>
  <w:style w:type="character" w:customStyle="1" w:styleId="apple-tab-span">
    <w:name w:val="apple-tab-span"/>
    <w:basedOn w:val="DefaultParagraphFont"/>
    <w:rsid w:val="00496C1F"/>
  </w:style>
  <w:style w:type="paragraph" w:styleId="FootnoteText">
    <w:name w:val="footnote text"/>
    <w:basedOn w:val="Normal"/>
    <w:link w:val="FootnoteTextChar"/>
    <w:uiPriority w:val="99"/>
    <w:semiHidden/>
    <w:unhideWhenUsed/>
    <w:rsid w:val="008C68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859"/>
    <w:rPr>
      <w:sz w:val="20"/>
      <w:szCs w:val="20"/>
    </w:rPr>
  </w:style>
  <w:style w:type="character" w:styleId="FootnoteReference">
    <w:name w:val="footnote reference"/>
    <w:aliases w:val="fr,Style 49,Style 18,text + Black,o,Style 5,Footnote Referece,Footnote Reference new,Footnote EY Interstate,Footnote ReferenceW,EY Footnote Reference,Footenote reference,49,Footnote Arial 8 single space,fr1,fr2,fr3,Style 491,Style 181"/>
    <w:basedOn w:val="DefaultParagraphFont"/>
    <w:uiPriority w:val="99"/>
    <w:unhideWhenUsed/>
    <w:qFormat/>
    <w:rsid w:val="008C6859"/>
    <w:rPr>
      <w:vertAlign w:val="superscript"/>
    </w:rPr>
  </w:style>
  <w:style w:type="paragraph" w:styleId="ListParagraph">
    <w:name w:val="List Paragraph"/>
    <w:basedOn w:val="Normal"/>
    <w:uiPriority w:val="34"/>
    <w:qFormat/>
    <w:rsid w:val="00255907"/>
    <w:pPr>
      <w:ind w:left="720"/>
      <w:contextualSpacing/>
    </w:pPr>
  </w:style>
  <w:style w:type="numbering" w:customStyle="1" w:styleId="CurrentList1">
    <w:name w:val="Current List1"/>
    <w:uiPriority w:val="99"/>
    <w:rsid w:val="00255907"/>
  </w:style>
  <w:style w:type="numbering" w:customStyle="1" w:styleId="CurrentList2">
    <w:name w:val="Current List2"/>
    <w:uiPriority w:val="99"/>
    <w:rsid w:val="00255907"/>
  </w:style>
  <w:style w:type="character" w:styleId="Hyperlink">
    <w:name w:val="Hyperlink"/>
    <w:basedOn w:val="DefaultParagraphFont"/>
    <w:uiPriority w:val="99"/>
    <w:semiHidden/>
    <w:unhideWhenUsed/>
    <w:rsid w:val="002C71B2"/>
    <w:rPr>
      <w:color w:val="0000FF"/>
      <w:u w:val="single"/>
    </w:rPr>
  </w:style>
  <w:style w:type="table" w:styleId="TableGrid">
    <w:name w:val="Table Grid"/>
    <w:basedOn w:val="TableNormal"/>
    <w:uiPriority w:val="39"/>
    <w:rsid w:val="00624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rsid w:val="00D1433D"/>
    <w:pPr>
      <w:spacing w:before="240" w:after="240" w:line="280" w:lineRule="atLeast"/>
      <w:contextualSpacing/>
    </w:pPr>
    <w:rPr>
      <w:rFonts w:ascii="Verdana" w:eastAsia="Times New Roman" w:hAnsi="Verdana" w:cs="Times New Roman"/>
      <w:sz w:val="18"/>
      <w:szCs w:val="18"/>
      <w:lang w:val="en-GB" w:eastAsia="da-DK"/>
    </w:rPr>
  </w:style>
  <w:style w:type="paragraph" w:styleId="ListBullet">
    <w:name w:val="List Bullet"/>
    <w:basedOn w:val="Normal"/>
    <w:uiPriority w:val="99"/>
    <w:rsid w:val="0004375A"/>
    <w:pPr>
      <w:tabs>
        <w:tab w:val="num" w:pos="360"/>
      </w:tabs>
      <w:spacing w:before="240" w:after="240" w:line="280" w:lineRule="atLeast"/>
      <w:ind w:left="360" w:hanging="360"/>
      <w:contextualSpacing/>
    </w:pPr>
    <w:rPr>
      <w:rFonts w:ascii="Verdana" w:eastAsia="Times New Roman" w:hAnsi="Verdana" w:cs="Times New Roman"/>
      <w:sz w:val="18"/>
      <w:szCs w:val="18"/>
      <w:lang w:val="en-GB" w:eastAsia="da-DK"/>
    </w:rPr>
  </w:style>
  <w:style w:type="paragraph" w:styleId="NoSpacing">
    <w:name w:val="No Spacing"/>
    <w:link w:val="NoSpacingChar"/>
    <w:uiPriority w:val="1"/>
    <w:qFormat/>
    <w:rsid w:val="00484EDE"/>
    <w:pPr>
      <w:spacing w:after="0" w:line="240" w:lineRule="auto"/>
    </w:pPr>
    <w:rPr>
      <w:rFonts w:eastAsiaTheme="minorEastAsia"/>
    </w:rPr>
  </w:style>
  <w:style w:type="character" w:customStyle="1" w:styleId="NoSpacingChar">
    <w:name w:val="No Spacing Char"/>
    <w:basedOn w:val="DefaultParagraphFont"/>
    <w:link w:val="NoSpacing"/>
    <w:uiPriority w:val="1"/>
    <w:rsid w:val="00484EDE"/>
    <w:rPr>
      <w:rFonts w:eastAsiaTheme="minorEastAsia"/>
      <w:kern w:val="0"/>
      <w:lang w:bidi="ar-SA"/>
    </w:rPr>
  </w:style>
  <w:style w:type="paragraph" w:customStyle="1" w:styleId="StyleHeading1EYInterstateLight">
    <w:name w:val="Style Heading 1 + EYInterstate Light"/>
    <w:basedOn w:val="Heading1"/>
    <w:autoRedefine/>
    <w:rsid w:val="00CF2F39"/>
    <w:pPr>
      <w:keepNext/>
      <w:pageBreakBefore/>
      <w:numPr>
        <w:numId w:val="9"/>
      </w:numPr>
      <w:tabs>
        <w:tab w:val="left" w:pos="720"/>
      </w:tabs>
      <w:autoSpaceDE w:val="0"/>
      <w:autoSpaceDN w:val="0"/>
      <w:adjustRightInd w:val="0"/>
      <w:spacing w:before="0" w:beforeAutospacing="0" w:after="240" w:afterAutospacing="0" w:line="280" w:lineRule="atLeast"/>
    </w:pPr>
    <w:rPr>
      <w:rFonts w:asciiTheme="minorHAnsi" w:hAnsiTheme="minorHAnsi" w:cstheme="minorHAnsi"/>
      <w:color w:val="7F7F7F" w:themeColor="text1" w:themeTint="80"/>
      <w:kern w:val="0"/>
      <w:sz w:val="28"/>
      <w:szCs w:val="28"/>
    </w:rPr>
  </w:style>
  <w:style w:type="paragraph" w:customStyle="1" w:styleId="bullets2">
    <w:name w:val="bullets 2"/>
    <w:rsid w:val="00604527"/>
    <w:pPr>
      <w:tabs>
        <w:tab w:val="num" w:pos="720"/>
        <w:tab w:val="num" w:pos="1080"/>
      </w:tabs>
      <w:spacing w:after="60" w:line="240" w:lineRule="auto"/>
      <w:ind w:left="1080" w:hanging="720"/>
    </w:pPr>
    <w:rPr>
      <w:rFonts w:ascii="Arial" w:eastAsia="Times New Roman" w:hAnsi="Arial" w:cs="Inter Light"/>
      <w:bCs/>
      <w:sz w:val="24"/>
      <w:szCs w:val="20"/>
    </w:rPr>
  </w:style>
  <w:style w:type="paragraph" w:customStyle="1" w:styleId="bullettexteH1">
    <w:name w:val=". bullet texte H1"/>
    <w:basedOn w:val="Normal"/>
    <w:semiHidden/>
    <w:rsid w:val="00604527"/>
    <w:pPr>
      <w:keepNext/>
      <w:numPr>
        <w:ilvl w:val="1"/>
        <w:numId w:val="10"/>
      </w:numPr>
      <w:overflowPunct w:val="0"/>
      <w:autoSpaceDE w:val="0"/>
      <w:autoSpaceDN w:val="0"/>
      <w:adjustRightInd w:val="0"/>
      <w:spacing w:before="120" w:after="120" w:line="240" w:lineRule="auto"/>
      <w:jc w:val="both"/>
      <w:textAlignment w:val="baseline"/>
    </w:pPr>
    <w:rPr>
      <w:rFonts w:ascii="Arial" w:eastAsia="Times New Roman" w:hAnsi="Arial" w:cs="Inter Light"/>
      <w:b/>
      <w:bCs/>
      <w:i/>
      <w:iCs/>
      <w:sz w:val="20"/>
      <w:szCs w:val="20"/>
      <w:lang w:val="fr-FR"/>
    </w:rPr>
  </w:style>
  <w:style w:type="paragraph" w:customStyle="1" w:styleId="NumberedList">
    <w:name w:val="Numbered List"/>
    <w:rsid w:val="00E75EA5"/>
    <w:pPr>
      <w:tabs>
        <w:tab w:val="num" w:pos="720"/>
      </w:tabs>
      <w:spacing w:after="120" w:line="240" w:lineRule="auto"/>
      <w:ind w:left="720" w:hanging="720"/>
    </w:pPr>
    <w:rPr>
      <w:rFonts w:ascii="Arial" w:eastAsia="Times New Roman" w:hAnsi="Arial" w:cs="Inter Light"/>
      <w:sz w:val="24"/>
      <w:szCs w:val="20"/>
    </w:rPr>
  </w:style>
  <w:style w:type="character" w:styleId="FollowedHyperlink">
    <w:name w:val="FollowedHyperlink"/>
    <w:basedOn w:val="DefaultParagraphFont"/>
    <w:uiPriority w:val="99"/>
    <w:semiHidden/>
    <w:unhideWhenUsed/>
    <w:rsid w:val="002F51AB"/>
    <w:rPr>
      <w:color w:val="954F72"/>
      <w:u w:val="single"/>
    </w:rPr>
  </w:style>
  <w:style w:type="paragraph" w:customStyle="1" w:styleId="msonormal0">
    <w:name w:val="msonormal"/>
    <w:basedOn w:val="Normal"/>
    <w:rsid w:val="002F51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ullets1">
    <w:name w:val="bullets 1"/>
    <w:basedOn w:val="Normal"/>
    <w:rsid w:val="005C6023"/>
    <w:pPr>
      <w:tabs>
        <w:tab w:val="num" w:pos="720"/>
        <w:tab w:val="left" w:pos="5040"/>
      </w:tabs>
      <w:spacing w:after="60" w:line="240" w:lineRule="atLeast"/>
      <w:ind w:left="720" w:hanging="720"/>
    </w:pPr>
    <w:rPr>
      <w:rFonts w:ascii="EYInterstate Light" w:eastAsia="Arial Unicode MS" w:hAnsi="EYInterstate Light" w:cs="Inter Light"/>
      <w:bCs/>
      <w:sz w:val="20"/>
      <w:szCs w:val="20"/>
    </w:rPr>
  </w:style>
  <w:style w:type="character" w:styleId="CommentReference">
    <w:name w:val="annotation reference"/>
    <w:basedOn w:val="DefaultParagraphFont"/>
    <w:uiPriority w:val="99"/>
    <w:semiHidden/>
    <w:unhideWhenUsed/>
    <w:rsid w:val="007E227E"/>
    <w:rPr>
      <w:sz w:val="16"/>
      <w:szCs w:val="16"/>
    </w:rPr>
  </w:style>
  <w:style w:type="paragraph" w:styleId="CommentText">
    <w:name w:val="annotation text"/>
    <w:basedOn w:val="Normal"/>
    <w:link w:val="CommentTextChar"/>
    <w:uiPriority w:val="99"/>
    <w:unhideWhenUsed/>
    <w:rsid w:val="007E227E"/>
    <w:pPr>
      <w:spacing w:line="240" w:lineRule="auto"/>
    </w:pPr>
    <w:rPr>
      <w:sz w:val="20"/>
      <w:szCs w:val="20"/>
    </w:rPr>
  </w:style>
  <w:style w:type="character" w:customStyle="1" w:styleId="CommentTextChar">
    <w:name w:val="Comment Text Char"/>
    <w:basedOn w:val="DefaultParagraphFont"/>
    <w:link w:val="CommentText"/>
    <w:uiPriority w:val="99"/>
    <w:rsid w:val="007E227E"/>
    <w:rPr>
      <w:sz w:val="20"/>
      <w:szCs w:val="20"/>
    </w:rPr>
  </w:style>
  <w:style w:type="paragraph" w:styleId="CommentSubject">
    <w:name w:val="annotation subject"/>
    <w:basedOn w:val="CommentText"/>
    <w:next w:val="CommentText"/>
    <w:link w:val="CommentSubjectChar"/>
    <w:uiPriority w:val="99"/>
    <w:semiHidden/>
    <w:unhideWhenUsed/>
    <w:rsid w:val="007E227E"/>
    <w:rPr>
      <w:b/>
      <w:bCs/>
    </w:rPr>
  </w:style>
  <w:style w:type="character" w:customStyle="1" w:styleId="CommentSubjectChar">
    <w:name w:val="Comment Subject Char"/>
    <w:basedOn w:val="CommentTextChar"/>
    <w:link w:val="CommentSubject"/>
    <w:uiPriority w:val="99"/>
    <w:semiHidden/>
    <w:rsid w:val="007E227E"/>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8R4vUJNVYSfLavhyVOwbSsLyQ==">CgMxLjA4AHIhMTlRYnFmV3M1YXZiamZ3eFRzU25zVTN5ZHdYa3dxbVJu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4728</Words>
  <Characters>26953</Characters>
  <Application>Microsoft Office Word</Application>
  <DocSecurity>0</DocSecurity>
  <Lines>224</Lines>
  <Paragraphs>63</Paragraphs>
  <ScaleCrop>false</ScaleCrop>
  <Company/>
  <LinksUpToDate>false</LinksUpToDate>
  <CharactersWithSpaces>31618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Eran Shif</dc:creator>
  <cp:lastModifiedBy>Eran Shif</cp:lastModifiedBy>
  <cp:revision>20</cp:revision>
  <dcterms:created xsi:type="dcterms:W3CDTF">2025-06-21T16:27:00Z</dcterms:created>
  <dcterms:modified xsi:type="dcterms:W3CDTF">2025-06-22T14:44:00Z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0x010100B2E36CFDD985D942A3FCB7D32B93D03C</vt:lpwstr>
  </property>
</Properties>
</file>