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c>
          <w:tcPr>
            <w:shd w:fill="F5F5F5" w:color="F5F5F5" w:val="solid"/>
          </w:tcPr>
          <w:p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p>
            <w:r>
              <w:rPr>
                <w:b w:val="false"/>
                <w:bCs w:val="false"/>
              </w:rPr>
              <w:t xml:space="preserve">Riverstone Gateway Commercial Hub 2</w:t>
            </w:r>
          </w:p>
        </w:tc>
      </w:tr>
      <w:tr>
        <w:tc>
          <w:tcPr>
            <w:shd w:fill="F5F5F5" w:color="F5F5F5" w:val="solid"/>
          </w:tcPr>
          <w:p>
            <w:r>
              <w:rPr>
                <w:b w:val="false"/>
                <w:bCs w:val="false"/>
              </w:rPr>
              <w:t xml:space="preserve">Address</w:t>
            </w:r>
          </w:p>
        </w:tc>
        <w:tc>
          <w:p>
            <w:r>
              <w:rPr>
                <w:b w:val="false"/>
                <w:bCs w:val="false"/>
              </w:rPr>
              <w:t xml:space="preserve">42-48 Station Street, Riverstone NSW 2765</w:t>
            </w:r>
          </w:p>
        </w:tc>
      </w:tr>
      <w:tr>
        <w:tc>
          <w:tcPr>
            <w:shd w:fill="F5F5F5" w:color="F5F5F5" w:val="solid"/>
          </w:tcPr>
          <w:p>
            <w:r>
              <w:rPr>
                <w:b w:val="false"/>
                <w:bCs w:val="false"/>
              </w:rPr>
              <w:t xml:space="preserve">Document</w:t>
            </w:r>
          </w:p>
        </w:tc>
        <w:tc>
          <w:p>
            <w:r>
              <w:rPr>
                <w:b w:val="false"/>
                <w:bCs w:val="false"/>
              </w:rPr>
              <w:t xml:space="preserve">RFT NEW - Access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C65D00"/>
          <w:sz w:val="24"/>
          <w:szCs w:val="24"/>
        </w:rPr>
        <w:t xml:space="preserve">Objectives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c>
          <w:tcPr>
            <w:shd w:fill="F5F5F5" w:color="F5F5F5" w:val="solid"/>
          </w:tcPr>
          <w:p>
            <w:r>
              <w:rPr>
                <w:b w:val="false"/>
                <w:bCs w:val="false"/>
              </w:rPr>
              <w:t xml:space="preserve">Functional</w:t>
            </w:r>
          </w:p>
        </w:tc>
        <w:tc>
          <w:p>
            <w:r>
              <w:rPr>
                <w:b w:val="false"/>
                <w:bCs w:val="false"/>
              </w:rPr>
              <w:t xml:space="preserve">Expand Camp Yarramundi capacity from 220 to 400-450 people. Include a conference facility for 100 people with necessary amenities. Provide internal roads for vehicles up to 14.5m long, 129 car parking spaces, and site access upgrades.</w:t>
            </w:r>
          </w:p>
        </w:tc>
      </w:tr>
      <w:tr>
        <w:tc>
          <w:tcPr>
            <w:shd w:fill="F5F5F5" w:color="F5F5F5" w:val="solid"/>
          </w:tcPr>
          <w:p>
            <w:r>
              <w:rPr>
                <w:b w:val="false"/>
                <w:bCs w:val="false"/>
              </w:rPr>
              <w:t xml:space="preserve">Quality</w:t>
            </w:r>
          </w:p>
        </w:tc>
        <w:tc>
          <w:p>
            <w:r>
              <w:rPr>
                <w:b w:val="false"/>
                <w:bCs w:val="false"/>
              </w:rPr>
              <w:t xml:space="preserve">Design to comply with AS2890.1 for parking. Implement stormwater management, water quality treatment, on-site stormwater detention, and erosion/sediment control.</w:t>
            </w:r>
          </w:p>
        </w:tc>
      </w:tr>
      <w:tr>
        <w:tc>
          <w:tcPr>
            <w:shd w:fill="F5F5F5" w:color="F5F5F5" w:val="solid"/>
          </w:tcPr>
          <w:p>
            <w:r>
              <w:rPr>
                <w:b w:val="false"/>
                <w:bCs w:val="false"/>
              </w:rPr>
              <w:t xml:space="preserve">Budget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shd w:fill="F5F5F5" w:color="F5F5F5" w:val="solid"/>
          </w:tcPr>
          <w:p>
            <w:r>
              <w:rPr>
                <w:b w:val="false"/>
                <w:bCs w:val="false"/>
              </w:rPr>
              <w:t xml:space="preserve">Program</w:t>
            </w:r>
          </w:p>
        </w:tc>
        <w:tc>
          <w:p>
            <w:r>
              <w:rPr>
                <w:b w:val="false"/>
                <w:bCs w:val="false"/>
              </w:rPr>
              <w:t xml:space="preserve">DA lodgement targeted for February 2025. 3-month program for 70% tender design, 2 months to finalize design after contractor appointment. 9-month construction program for civil works.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C65D00"/>
          <w:sz w:val="24"/>
          <w:szCs w:val="24"/>
        </w:rPr>
        <w:t xml:space="preserve">Staging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c>
          <w:tcPr>
            <w:shd w:fill="F5F5F5" w:color="F5F5F5" w:val="solid"/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shd w:fill="F5F5F5" w:color="F5F5F5" w:val="solid"/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shd w:fill="F5F5F5" w:color="F5F5F5" w:val="solid"/>
          </w:tcPr>
          <w:p>
            <w:r>
              <w:rPr>
                <w:b/>
                <w:bCs/>
              </w:rPr>
              <w:t xml:space="preserve">End Date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Initiation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Scheme Design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Detail Design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Procurement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Delivery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C65D00"/>
          <w:sz w:val="24"/>
          <w:szCs w:val="24"/>
        </w:rPr>
        <w:t xml:space="preserve">Risk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c>
          <w:tcPr>
            <w:shd w:fill="F5F5F5" w:color="F5F5F5" w:val="solid"/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shd w:fill="F5F5F5" w:color="F5F5F5" w:val="solid"/>
          </w:tcPr>
          <w:p>
            <w:r>
              <w:rPr>
                <w:b/>
                <w:bCs/>
              </w:rPr>
              <w:t xml:space="preserve">Rating</w:t>
            </w:r>
          </w:p>
        </w:tc>
        <w:tc>
          <w:tcPr>
            <w:shd w:fill="F5F5F5" w:color="F5F5F5" w:val="solid"/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No risks identified.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C65D00"/>
          <w:sz w:val="24"/>
          <w:szCs w:val="24"/>
        </w:rPr>
        <w:t xml:space="preserve">Brief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c>
          <w:tcPr>
            <w:shd w:fill="F5F5F5" w:color="F5F5F5" w:val="solid"/>
          </w:tcPr>
          <w:p>
            <w:r>
              <w:rPr>
                <w:b w:val="false"/>
                <w:bCs w:val="false"/>
              </w:rPr>
              <w:t xml:space="preserve">Service</w:t>
            </w:r>
          </w:p>
        </w:tc>
        <w:tc>
          <w:p>
            <w:r>
              <w:rPr>
                <w:b w:val="false"/>
                <w:bCs w:val="false"/>
              </w:rPr>
              <w:t xml:space="preserve">Riverstone Gateway Commercial Hub</w:t>
            </w:r>
          </w:p>
        </w:tc>
      </w:tr>
      <w:tr>
        <w:tc>
          <w:tcPr>
            <w:shd w:fill="F5F5F5" w:color="F5F5F5" w:val="solid"/>
          </w:tcPr>
          <w:p>
            <w:r>
              <w:rPr>
                <w:b w:val="false"/>
                <w:bCs w:val="false"/>
              </w:rPr>
              <w:t xml:space="preserve">Deliverables</w:t>
            </w:r>
          </w:p>
        </w:tc>
        <w:tc>
          <w:p>
            <w:r>
              <w:rPr>
                <w:b w:val="false"/>
                <w:bCs w:val="false"/>
              </w:rPr>
              <w:t xml:space="preserve">42-48 Station Street, Riverstone NSW 27655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C65D00"/>
          <w:sz w:val="24"/>
          <w:szCs w:val="24"/>
        </w:rPr>
        <w:t xml:space="preserve">Fee Structure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c>
          <w:tcPr>
            <w:shd w:fill="F5F5F5" w:color="F5F5F5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shd w:fill="F5F5F5" w:color="F5F5F5" w:val="solid"/>
          </w:tcPr>
          <w:p>
            <w:r>
              <w:rPr>
                <w:b/>
                <w:bCs/>
              </w:rPr>
              <w:t xml:space="preserve">Amount (Excl. GST)</w:t>
            </w:r>
          </w:p>
        </w:tc>
      </w:tr>
      <w:tr>
        <w:tc>
          <w:tcPr>
            <w:shd w:fill="F5F5F5" w:color="F5F5F5" w:val="solid"/>
          </w:tcPr>
          <w:p>
            <w:r>
              <w:rPr>
                <w:b w:val="false"/>
                <w:bCs w:val="false"/>
              </w:rPr>
              <w:t xml:space="preserve">test line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shd w:fill="F5F5F5" w:color="F5F5F5" w:val="solid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shd w:fill="F5F5F5" w:color="F5F5F5" w:val="solid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shd w:fill="F5F5F5" w:color="F5F5F5" w:val="solid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shd w:fill="F5F5F5" w:color="F5F5F5" w:val="solid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shd w:fill="F5F5F5" w:color="F5F5F5" w:val="solid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shd w:fill="F5F5F5" w:color="F5F5F5" w:val="solid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shd w:fill="F5F5F5" w:color="F5F5F5" w:val="solid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C65D00"/>
          <w:sz w:val="24"/>
          <w:szCs w:val="24"/>
        </w:rPr>
        <w:t xml:space="preserve">Transmittal Document Schedule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5F5F5" w:color="F5F5F5" w:val="solid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shd w:fill="F5F5F5" w:color="F5F5F5" w:val="solid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shd w:fill="F5F5F5" w:color="F5F5F5" w:val="solid"/>
          </w:tcPr>
          <w:p>
            <w:r>
              <w:rPr>
                <w:b/>
                <w:bCs/>
              </w:rPr>
              <w:t xml:space="preserve">Rev</w:t>
            </w:r>
          </w:p>
        </w:tc>
        <w:tc>
          <w:tcPr>
            <w:shd w:fill="F5F5F5" w:color="F5F5F5" w:val="solid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shd w:fill="F5F5F5" w:color="F5F5F5" w:val="solid"/>
          </w:tcPr>
          <w:p>
            <w:r>
              <w:rPr>
                <w:b/>
                <w:bCs/>
              </w:rPr>
              <w:t xml:space="preserve">Subcategory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TTW 01.pdf</w:t>
            </w:r>
          </w:p>
        </w:tc>
        <w:tc>
          <w:p>
            <w:r>
              <w:rPr>
                <w:b w:val="false"/>
                <w:bCs w:val="false"/>
              </w:rPr>
              <w:t xml:space="preserve">01</w:t>
            </w:r>
          </w:p>
        </w:tc>
        <w:tc>
          <w:p>
            <w:r>
              <w:rPr>
                <w:b w:val="false"/>
                <w:bCs w:val="false"/>
              </w:rPr>
              <w:t xml:space="preserve">Consultants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2025-12-14T04:36:48.320Z</dcterms:created>
  <dcterms:modified xsi:type="dcterms:W3CDTF">2025-12-14T04:36:48.320Z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