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Fire Services Specification</w:t>
      </w:r>
    </w:p>
    <w:p>
      <w:r>
        <w:t>Issued for tender</w:t>
      </w:r>
    </w:p>
    <w:tbl>
      <w:tr>
        <w:tc>
          <w:p>
            <w:r>
              <w:t>Drawing</w:t>
            </w:r>
          </w:p>
        </w:tc>
        <w:tc>
          <w:p>
            <w:r>
              <w:t>A-101</w:t>
            </w:r>
          </w:p>
        </w:tc>
      </w:tr>
      <w:tr>
        <w:tc>
          <w:p>
            <w:r>
              <w:t>Revision</w:t>
            </w:r>
          </w:p>
        </w:tc>
        <w:tc>
          <w:p>
            <w:r>
              <w:t>C</w:t>
            </w:r>
          </w:p>
        </w:tc>
      </w:tr>
    </w:tbl>
  </w:body>
</w:document>
</file>