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10</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 אָסוּר לִתֵּן תַּבְלִין בַּקְּעָרָה וּלְעָרוֹת עֲלֵיהֶן מִכְּלִי רִאשׁוֹן.</w:t>
      </w:r>
    </w:p>
    <w:p>
      <w:pPr>
        <w:spacing w:after="180" w:before="40"/>
      </w:pPr>
      <w:r>
        <w:rPr>
          <w:rFonts w:ascii="Arial" w:cs="Arial" w:eastAsia="Arial" w:hAnsi="Arial"/>
          <w:sz w:val="22"/>
          <w:szCs w:val="22"/>
        </w:rPr>
        <w:t xml:space="preserve">(32) 'It is forbidden to place, etc.' — and if he poured, the outer layer is forbidden since it was cooked on Shabbos. For Rabbeinu Tam inferred this from the Mishnah of Shabbos — see Tosafos.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(לב) אסור ליתן כו׳. ואם עירה אזי הקליפה אסורה דנתבשלה בשבת דהא ר״ת דייק זה מהמשנה דשבת עיין בתו׳ ופשוט דאפי׳ למ״ד כ״ש מבליע ומפליט היינו לענין איסור והיתר אבל לענין שבת אינו אסור אלא בדבר שהוא מבשל כדתנן אבל נותן לתוך הקערה עבי״ד סי׳ ס״ח:</w:t>
      </w:r>
    </w:p>
    <w:p>
      <w:pPr>
        <w:spacing w:after="160" w:before="20"/>
      </w:pPr>
      <w:r>
        <w:rPr>
          <w:rFonts w:ascii="Arial" w:cs="Arial" w:eastAsia="Arial" w:hAnsi="Arial"/>
          <w:sz w:val="21"/>
          <w:szCs w:val="21"/>
        </w:rPr>
        <w:t xml:space="preserve">(Heart) It is forbidden to give And if it is a city, then the rind is forbidden, it is forbidden to be cooked on Shabbos, R. D. Deik, this is from the mishna, Shabbos, look at the book, and simply Dafi' to the Madh (26), it swallows and emits.</w:t>
      </w:r>
    </w:p>
    <w:p>
      <w:pPr>
        <w:bidi/>
        <w:spacing w:after="40" w:before="120"/>
      </w:pPr>
      <w:r>
        <w:rPr>
          <w:rFonts w:ascii="David" w:cs="David" w:eastAsia="David" w:hAnsi="David"/>
          <w:sz w:val="22"/>
          <w:szCs w:val="22"/>
        </w:rPr>
        <w:t xml:space="preserve">(כט) מכ״ר – ואם עירה אזי הקליפה אסורה דנתבשלה בשבת ועי׳ במ״א:</w:t>
      </w:r>
    </w:p>
    <w:p>
      <w:pPr>
        <w:spacing w:after="160" w:before="20"/>
      </w:pPr>
      <w:r>
        <w:rPr>
          <w:rFonts w:ascii="Arial" w:cs="Arial" w:eastAsia="Arial" w:hAnsi="Arial"/>
          <w:sz w:val="21"/>
          <w:szCs w:val="21"/>
        </w:rPr>
        <w:t xml:space="preserve">(x9) Makhar - and if it is dry, then the rind is forbidden.</w:t>
      </w:r>
    </w:p>
    <w:p>
      <w:pPr>
        <w:bidi/>
        <w:spacing w:after="40" w:before="120"/>
      </w:pPr>
      <w:r>
        <w:rPr>
          <w:rFonts w:ascii="David" w:cs="David" w:eastAsia="David" w:hAnsi="David"/>
          <w:sz w:val="22"/>
          <w:szCs w:val="22"/>
        </w:rPr>
        <w:t xml:space="preserve">(לה) ס״י אסור – ירושלמי שם הביאו תוס׳ ורא״ש שם ולמד ממש״ש בזבחים צה ובפסחים עו דעירוי מבשל כדי קליפה:</w:t>
      </w:r>
    </w:p>
    <w:p>
      <w:pPr>
        <w:spacing w:after="160" w:before="20"/>
      </w:pPr>
      <w:r>
        <w:rPr>
          <w:rFonts w:ascii="Arial" w:cs="Arial" w:eastAsia="Arial" w:hAnsi="Arial"/>
          <w:sz w:val="21"/>
          <w:szCs w:val="21"/>
        </w:rPr>
        <w:t xml:space="preserve">(Le) S. Asor - a Jerusalemite there brought the Tos and Rash there and learned from the Shash in the Tzah sacrifices and in the Passovers O Deiroi cooks to make a husk:</w:t>
      </w:r>
    </w:p>
    <w:p>
      <w:pPr>
        <w:bidi/>
        <w:spacing w:after="40" w:before="120"/>
      </w:pPr>
      <w:r>
        <w:rPr>
          <w:rFonts w:ascii="David" w:cs="David" w:eastAsia="David" w:hAnsi="David"/>
          <w:sz w:val="22"/>
          <w:szCs w:val="22"/>
        </w:rPr>
        <w:t xml:space="preserve">(עד) מכלי ראשון – דאף דתבלין אין מתבשל בכ״ש וכנ״ל מ״מ העירוי מכ״ר קי״ל דהוא מבשל כדי קליפה ואפי׳ בדיעבד אסור אם עירה להדיא עליהן שלא נפסק הקילוח:</w:t>
      </w:r>
    </w:p>
    <w:p>
      <w:pPr>
        <w:spacing w:after="160" w:before="20"/>
      </w:pPr>
      <w:r>
        <w:rPr>
          <w:rFonts w:ascii="Arial" w:cs="Arial" w:eastAsia="Arial" w:hAnsi="Arial"/>
          <w:sz w:val="21"/>
          <w:szCs w:val="21"/>
        </w:rPr>
        <w:t xml:space="preserve">(at) from a kli rishon - Duff Datvelin is not cooked in 2000 and as above Maggid Mishneh the infusion from 1000 kilos it is cooked in a shell and api' in hindsight it is forbidden if it is a city to be divination on them that the cooking has not stopped:</w:t>
      </w:r>
    </w:p>
    <w:p>
      <w:pPr>
        <w:bidi/>
        <w:spacing w:after="40" w:before="120"/>
      </w:pPr>
      <w:r>
        <w:rPr>
          <w:rFonts w:ascii="David" w:cs="David" w:eastAsia="David" w:hAnsi="David"/>
          <w:sz w:val="22"/>
          <w:szCs w:val="22"/>
        </w:rPr>
        <w:t xml:space="preserve">(ע) מכלי ראשון – למדנו בסעיף ד׳ שעירוי מכלי ראשון אינו מבשל, חוץ ממליח הישן וקולייס האיספנים. מוסיף כאן המחבר שגם אסור לערות מכלי ראשון על תבלינים, שמתוך דקותם עלולים להתבשל גם בעירוי. למעשה הפוסקים מחמירים ואוסרים לערות מכלי ראשון על כל המאכלים שאינם מבושלים, ולכן אסור למזוג מים חמים מכלי ראשון על כל דבר שיש בו איסור בישול. אבל לתת תבלין בכלי שני מותר, כי כלי שני אינו מבשל. לכן מותר לתת בכלי שני תה או קפה, אפילו אינם מבושלים. ויש נוהגים להתיר דווקא בכלי שלישי, והמקלים יש להם על מי לסמוך.</w:t>
      </w:r>
    </w:p>
    <w:p>
      <w:pPr>
        <w:spacing w:after="160" w:before="20"/>
      </w:pPr>
      <w:r>
        <w:rPr>
          <w:rFonts w:ascii="Arial" w:cs="Arial" w:eastAsia="Arial" w:hAnsi="Arial"/>
          <w:sz w:val="21"/>
          <w:szCs w:val="21"/>
        </w:rPr>
        <w:t xml:space="preserve">'It is forbidden to place spices, etc.' — for other items besides water and oil, it is already explained above in seif 5 that one should be careful l'chatchila even in a kli sheni. But regarding b'dieved one should not be stringent in a kli sheni. And for pouring from a kli rishon, it appears their law is like spices. And all this is for something that was not roasted or baked. But for something roasted or baked one should not forbid b'dieved even if placed in a kli rishon.</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ולערות עליהם מכ״ר – דקי״ל כרש״י ור״ת דעירוי ככ״ר היינו לחומרא אבל לא לקולא כגון להכשיר [כלי] שצריך הגעלה ע״י עירוי מכ״ר כמבואר בי״ד.</w:t>
      </w:r>
    </w:p>
    <w:p>
      <w:pPr>
        <w:spacing w:after="160" w:before="20"/>
      </w:pPr>
      <w:r>
        <w:rPr>
          <w:rFonts w:ascii="Arial" w:cs="Arial" w:eastAsia="Arial" w:hAnsi="Arial"/>
          <w:sz w:val="21"/>
          <w:szCs w:val="21"/>
        </w:rPr>
        <w:t xml:space="preserve">(16) And to warn about them - Deki'l Karshii and R't Deiroi as Khar, we were for material, but not for Kola, such as to train [a tool] that needs to be disgraced by the infusion of a Kharshi as explained in BID.</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אסור ליתן תבלין וכו׳ – הנה בשארי דברים חוץ ממים ושמן כבר מבואר לעיל בס״ה דיש ליזהר לכתחלה אף בכלי שני אך לענין דיעבד אין להחמיר בכלי שני ובעירוי מכלי ראשון נראה דינן כמו לענין תבלין וכ״ז בדבר שלא נצלה ונאפה אבל בדבר שנצלה או נאפה אין לאסור בדיעבד אפילו הניח אותם בכלי ראשון דיש לסמוך אפוסקים החולקין על ר״א ממיץ וס״ל דאין בישול אחר אפיה וצליה וכנ״ל בס״ה בהג״ה [ותמיה על הח״א שכתב דאם עירה מכ״ר על בשר צלי או על לחם צריך לקלוף ע״ש]:</w:t>
      </w:r>
    </w:p>
    <w:p>
      <w:pPr>
        <w:spacing w:after="160" w:before="20"/>
      </w:pPr>
      <w:r>
        <w:rPr>
          <w:rFonts w:ascii="Arial" w:cs="Arial" w:eastAsia="Arial" w:hAnsi="Arial"/>
          <w:sz w:val="21"/>
          <w:szCs w:val="21"/>
        </w:rPr>
        <w:t xml:space="preserve">It is forbidden to give spices, etc. - Here are the rest of the things except water and oil. Dain cooking after baking and roasting and so on in the S. B. Haga [and Tamiya on the HA who wrote Dam Ira Mkhr on roast meat or on bread should be peeled according to S.]:</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2026-05-13T21:54:40.505Z</dcterms:created>
  <dcterms:modified xsi:type="dcterms:W3CDTF">2026-05-13T21:54:40.505Z</dcterms:modified>
</cp:coreProperties>
</file>

<file path=docProps/custom.xml><?xml version="1.0" encoding="utf-8"?>
<Properties xmlns="http://schemas.openxmlformats.org/officeDocument/2006/custom-properties" xmlns:vt="http://schemas.openxmlformats.org/officeDocument/2006/docPropsVTypes"/>
</file>