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8"/>
          <w:szCs w:val="38"/>
        </w:rPr>
        <w:t xml:space="preserve">Orach Chayyim 318 — Din HaMevashel B'Shabbat</w:t>
      </w:r>
    </w:p>
    <w:p>
      <w:pPr>
        <w:spacing w:after="400" w:before="0"/>
        <w:jc w:val="center"/>
      </w:pPr>
      <w:r>
        <w:rPr>
          <w:rFonts w:ascii="Arial" w:cs="Arial" w:eastAsia="Arial" w:hAnsi="Arial"/>
          <w:color w:val="777777"/>
          <w:sz w:val="20"/>
          <w:szCs w:val="20"/>
        </w:rPr>
        <w:t xml:space="preserve">Sources: Mechaber | Rama | Tur | Magen Avraham | Taz | Biur Halacha | 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11</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(יא) אַמְבַּטִּי (פי׳ כְּלִי שֶׁרוֹחֵץ בּוֹ) שֶׁל מֶרְחָץ שֶׁהִיא מְלֵאָה מַיִם חַמִּין {אַף עַל פִּי שֶׁהִיא כְּלִי שֵׁנִי (תּוֹסָפוֹת וְרא״ש וְטוּר)} אֵין נוֹתְנִין לָהּ מַיִם צוֹנֵן, שֶׁהֲרֵי מְחַמְּמָן הַרְבֵּה. אֲבָל נוֹתֵן הוּא מִמַּיִם חַמִּין שֶׁבְּזֶה הָאַמְבְּטִי לְתוֹךְ אַמְבְּטִי אַחֵר שֶׁל צוֹנֵן.</w:t>
      </w:r>
    </w:p>
    <w:p>
      <w:pPr>
        <w:spacing w:after="180" w:before="40"/>
      </w:pPr>
      <w:r>
        <w:rPr>
          <w:rFonts w:ascii="Arial" w:cs="Arial" w:eastAsia="Arial" w:hAnsi="Arial"/>
          <w:sz w:val="22"/>
          <w:szCs w:val="22"/>
        </w:rPr>
        <w:t xml:space="preserve">(33) 'Full of hot water' — and even in the hot springs of Tiberias it is forbidden to add cold water to a bathtub that was drawn from the spring; rather one must take from the bathtub with a kli sheni and afterward give the water to the bathtub with cold water.</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(יז) אמבטי של מרחץ כו׳ – בטור כתב אבל ספל של מים חמין כו׳ והוא תמוה מאד דפסק נגד כל ההלכה הנזכר׳ בתלמוד דהיינו שאמרי׳ בפי׳ דאביי הביא ברייתא דספל אינו כאמבטי דאמבטי אמרינן שם דמותר בחמין לתוך צונן ולא להיפך אלא בספל מותר בכל גוני תו אמרי׳ אח״כ דרבא לא קפיד אמיא דהיינו בספל בין חמים לצונן או אפכא מותר ובכל דוכתי ק״ל כרבא וכ״ש כאן שהרי״ף וש״פ ס״ל בפי׳ כרבא היאך פסק הטור דלא כרבא. והב״י פי׳ ב׳ פירושים וכבודו במקומו מונח דשני כתובים אלו אין מלמדין. הא׳ הוא מפני שאין ידוע לנו תמונת כלים אלו יש לאסור בכל כלי שני העשוי לרחיצה. ולכן כתב רבינו לאסור אפי׳ בספל וזה לא ניתן להכתב דא״כ היה לו לרבינו לכתוב דין התלמוד והחילוק שיש בין ספל לאמבטי ואחר כך היה לו לכתוב ועכשיו אין אנו בקיאין יש לאסור כל כלי ולמה פסק רבינו לדינא מה שהוא שקר גמור לדין התלמוד בשביל חסרון הבקיאות ולכל הפחות לא היה להזכיר ספל כלל אלא יכתוב סתם כל כ״ש שיש בו מים חמים לרחיצה כו׳ ותו מאי בקיאות שייך בין ספל לאמבטי. והפי׳ הב׳ דמפרש הטור דספל הוא כלי שלישי והוא נגד כל הסוגיא דאמרי׳ רבא לא קפיד אמיא בספל ומסתמא קאי אשלפניו דספל הוא כלי שני. ומו״ח ז״ל בחר לו דרך אחרת לפרש הסוגיא אליבא דהטור בענין שפוסק דלא כרבא ועשה פלוגתא בין הברייתות וכל אלו הדרכים לא שערום אבותינו ולעד״נ לדקדק עוד בל׳ הטור שכתב תחלה מיחם של נחשת לא יתן בו מים חמין ל׳ יחיד וכן בכוס שכתב אחר כך כתב שיתן הצוננים לתוכו ולא זכר ל׳ רבים לתוכן דהיינו לתוך המים וכשכתב דין הספל כתב אסור ליתן בהם כו׳ אבל לערות מהם כו׳ ל׳ רבים ואחר כך חזר וכתב ל׳ יחיד וכן הדין כו׳ לערות ממנו. ותו קשה דלמה לא זכר דין האמבטי כלל כיון שנזכר בגמרא ויש מקום לטעות ולו׳ דבאמבטי אסור אפי׳ ליתן חמין לתוך צונן כמ״ש התו׳ דאי לאו ב׳ ברייתות דר״ח הייתי אומר כן לענין ספל ואם ר״ח הוצרך להזהר מזה ק״ו שהיה לו לרבי׳ הטור להזהר מזה לענין אמבטי בפרט שר״ש בן מנסי׳ ס״ל באמת דבאמבטי אסור בכל גווני ותו דכתב הטור אח״כ וכן הדין בכ״ר והוא לשתי׳ כו׳ דמשמע דלפני זה כ״ר והוא לרחיצה ולא מצינו זה ע״כ נלע״ד דראוי ונכון להגיה בדברי רבינו הטור וכצ״ל אבל ספל שיש בו מים חמין לרחיצה והוא כ״ר או אמבטי כו׳ אפי׳ הוא כ״ש ויהיו דבריו מכוונים עם דברי התוס׳ שכתבו בד״ה אבל באמבטי וז״ל והאי ספל ע״כ כ״ש דאי כ״ר אמאי אינו כאמבטי עכ״ל הרי מבואר דספל כ״ר הוא שוה לאמבטי בכ״ש וע״כ כתב הטור שפיר דספל כ״ר שהוא לרחיצה וכן אמבטי אפי׳ כ״ש וכו׳ ועכשיו נכון ל׳ רבים שכתב הטור לערות מהם דר״ל מן הספל והאמבטי וגם ניחא מ״ש אח״ז וכן הדין בכ״ר והוא לשתיה דר״ל כמו שהוא הדין בכ״ר שהוא לרחיצה שזכר כבר אצל ספל לפי הגהתינו ואל יקשה בעיניך להגיה שהרי גם הב״י מגיה בעסק זה בדברי הרמזים וניחא ליה לרבינו לייחס ט״ס בהעתקה כדי שיהיה מוסכם להלכה עם שאר הפוסקי׳ ממה שנייחס לו שיטה מיוחדת מה שלא נראה ולא נמצא כנלע״ד ברור כשמש.</w:t>
      </w:r>
    </w:p>
    <w:p>
      <w:pPr>
        <w:spacing w:after="160" w:before="20"/>
      </w:pPr>
      <w:r>
        <w:rPr>
          <w:rFonts w:ascii="Arial" w:cs="Arial" w:eastAsia="Arial" w:hAnsi="Arial"/>
          <w:sz w:val="21"/>
          <w:szCs w:val="21"/>
        </w:rPr>
        <w:t xml:space="preserve">(17) Baths of a bather (20) - in a column he wrote but a cup water 100% and it is very strange he ruled against the entire Halacha mentioned in the Gemara, that is, Samari' in P. D'Bay brought a baryta despal, it is not like the baths of a bathi amarinan where you put hot water into cold and not the other way around, but in a cup it is permitted in any kind water umri' later Darba is not careful, that is, in a cup between cooking and cold or ifka It is permitted and in all my dukhti KL Karba and K.S. here that the ref and the S.P. S.L. in P. Karba, how did the column rule without Karba. And the 22nd p. (2) interpretations and honoring it in its place is the term Deshani, these scriptures are not taught. The A is because we do not know of a picture these dishes, any kli sheni that can be washed should be forbidden. That is why our Rabbi wrote to forbid drinking in a cup, and this cannot be written. And so our Lord had to write the law of the Gemara and the division that exists between a cup and a bath, and then he had to write, and now we are not in the knowledge that every vessel should be forbidden, and why did our Rabbi rule in the law, which is a complete lie to the law of the Gemara due to the lack knowledge, and at the very least, he would not have mentioned a cup at all, but simply wrote that every kash that has hot water for rinsing, etc. Bath mug. And the second half Damperish, the Tur Despel is a third tool and it is against the whole issue Damri' Raba is not careful, Amiya in the Sepal, and it is wrong that the Despel is a second tool. And the late Mu'ah chose another way for him to interpret the issue Aliba Dehtor in the matter that was ruled by the rabbi and made a flugta between the creations and all these ways were not piled up by our ancestors and up to this day to be more precise in the letter of the letter that he wrote: first of all, from the sun of a snake, he shall not put water in it, broth, a single letter, as a healthy person as in a cup that he wrote later, he wrote: let those who are cold put into it, and he did not remember many letters to the content, that is, into the water, and when he wrote the law of the cup, he wrote forbidden To give in them (10), but to remove from them (10) plural, and then he went back and wrote a singular, and the same is true for removing from it. And it's a difficult dilemma, he didn't remember the bathing law at all, since it is mentioned in the Gemara, and there is room for error, even if it is a bathing bath, it is forbidden to put broth into a cooled cooked dish, like the dai leo (2). The text of the column later, as a healthy person as the law in the ככר, and it is for two, כוכ meaning from before it כר and it is for rinsing, and we did not find it ככ לד דרוי and it is correct to spell according to the words our Rabbi the כור and ככל but a cup that has water in it, broth for rinsing and it is a ככר or ambati כוח אפי is כש and his words will be directed with the words of the Tosh who wrote in the A cup, a.k.a., Dai, a.k.a., is not like a bath, after all, it is explained, a despal, it is equal to a bath, a.k.a., the column, Shafir, wrote a despal, that it is for rinsing, as a healthy person as baths, Afi. Bechar that it is for rinsing which you already mentioned in Spel according to our proofreaders and don't make it difficult for you to proofread because the B.V. also proofreads in this business in terms of the hints and let our Lord to attribute TS in the copy so that it would be agreed upon in halacha with the rest of the scribes from what we attribute to him a special method which is not seen and is not found as a proof as clear as hell.</w:t>
      </w:r>
    </w:p>
    <w:p>
      <w:pPr>
        <w:bidi/>
        <w:spacing w:after="40" w:before="120"/>
      </w:pPr>
      <w:r>
        <w:rPr>
          <w:rFonts w:ascii="David" w:cs="David" w:eastAsia="David" w:hAnsi="David"/>
          <w:sz w:val="22"/>
          <w:szCs w:val="22"/>
        </w:rPr>
        <w:t xml:space="preserve">(לג) מלאה מים חמין. ואפי׳ בחמי טבריא אסור ליתן צוננין באמבטי שהומשכה מן המעיין לתוכה אלא צריך ליטול מהאמבטי בכ״ש ואחר כך יתן המים לתוכה [גמרא]:</w:t>
      </w:r>
    </w:p>
    <w:p>
      <w:pPr>
        <w:spacing w:after="160" w:before="20"/>
      </w:pPr>
      <w:r>
        <w:rPr>
          <w:rFonts w:ascii="Arial" w:cs="Arial" w:eastAsia="Arial" w:hAnsi="Arial"/>
          <w:sz w:val="21"/>
          <w:szCs w:val="21"/>
        </w:rPr>
        <w:t xml:space="preserve">(Lg) full water and broth. And if, in the waters Tiberias, it is forbidden to give a cold water in a bath that has been drawn from the spring into it, but one should take from the bath in the 2nd hour and then put the water into it [Gemara]:</w:t>
      </w:r>
    </w:p>
    <w:p>
      <w:pPr>
        <w:bidi/>
        <w:spacing w:after="40" w:before="120"/>
      </w:pPr>
      <w:r>
        <w:rPr>
          <w:rFonts w:ascii="David" w:cs="David" w:eastAsia="David" w:hAnsi="David"/>
          <w:sz w:val="22"/>
          <w:szCs w:val="22"/>
        </w:rPr>
        <w:t xml:space="preserve">(לד) שהוא כלי שני. דכיון שהם לרחיצה מסתמא הן חמין הרבה ומתבשלין הצונני׳ שמתערבים בהן [טור] וכ״ד המ״מ כמ״ש הב״ח וכ״כ במ״מ דלא כב״י ע״ש:</w:t>
      </w:r>
    </w:p>
    <w:p>
      <w:pPr>
        <w:spacing w:after="160" w:before="20"/>
      </w:pPr>
      <w:r>
        <w:rPr>
          <w:rFonts w:ascii="Arial" w:cs="Arial" w:eastAsia="Arial" w:hAnsi="Arial"/>
          <w:sz w:val="21"/>
          <w:szCs w:val="21"/>
        </w:rPr>
        <w:t xml:space="preserve">(Ld) which is a second tool. Since they are for rinsing, it turns out that they are a lot broth and the cold stews that interfere with them [Tur] etc.</w:t>
      </w:r>
    </w:p>
    <w:p>
      <w:pPr>
        <w:bidi/>
        <w:spacing w:after="40" w:before="120"/>
      </w:pPr>
      <w:r>
        <w:rPr>
          <w:rFonts w:ascii="David" w:cs="David" w:eastAsia="David" w:hAnsi="David"/>
          <w:sz w:val="22"/>
          <w:szCs w:val="22"/>
        </w:rPr>
        <w:t xml:space="preserve">(לה) אבל נותן. ואפי׳ מכ״ר מותר לערות לתוך מים צוננים דהתחתון גובר על העליון ומצננו [טור] ואף על גב דאסור לערות על תבלין כמ״ש בס״י דהוי ככ״ר הכא שאני שמתערבין החמין עם הצוננים ומתבטל חמימותן כיון שהצוננין מרובין ועיין בתוס׳ שבת דמ״ב ר״ן ותו׳ פסחים דף מ׳ ע״ב ונ״ל דאסור ליתן חתיכת בשר רותח לתוך רוטב צונן דכיון שאינו מתערב מבשל כדי קליפה וכ״מ בי״ד סי׳ צ״א ס״ד ובגמרא פסחים דף ע״ו:</w:t>
      </w:r>
    </w:p>
    <w:p>
      <w:pPr>
        <w:spacing w:after="160" w:before="20"/>
      </w:pPr>
      <w:r>
        <w:rPr>
          <w:rFonts w:ascii="Arial" w:cs="Arial" w:eastAsia="Arial" w:hAnsi="Arial"/>
          <w:sz w:val="21"/>
          <w:szCs w:val="21"/>
        </w:rPr>
        <w:t xml:space="preserve">(to her) but gives. And it is permissible to stir into chilled water, the lower one prevails over the upper one, and it is cooler [Tur], and even on the back Dassor, to stir on a spice that is like a faded BS. since / because chilled sauce that does not interfere is cooked to a rind, etc.</w:t>
      </w:r>
    </w:p>
    <w:p>
      <w:pPr>
        <w:bidi/>
        <w:spacing w:after="40" w:before="120"/>
      </w:pPr>
      <w:r>
        <w:rPr>
          <w:rFonts w:ascii="David" w:cs="David" w:eastAsia="David" w:hAnsi="David"/>
          <w:sz w:val="22"/>
          <w:szCs w:val="22"/>
        </w:rPr>
        <w:t xml:space="preserve">(ל) חמין – ואפי׳ בחמי טבריא אסור ליתן צוננין באמבטי שהומשכה מן המעיין לתוכו אלא צריך ליטול מהאמבטי בכ״ש ואח״כ יתן המים לתוכה גמ׳ ועיין ט״ז:</w:t>
      </w:r>
    </w:p>
    <w:p>
      <w:pPr>
        <w:spacing w:after="160" w:before="20"/>
      </w:pPr>
      <w:r>
        <w:rPr>
          <w:rFonts w:ascii="Arial" w:cs="Arial" w:eastAsia="Arial" w:hAnsi="Arial"/>
          <w:sz w:val="21"/>
          <w:szCs w:val="21"/>
        </w:rPr>
        <w:t xml:space="preserve">(l) Chowder - and Afi' in the hot water Tiberias it is forbidden to give cypress in the bath that was drawn from the spring into it, but it should be taken from the bath in the 7th century and after that the water should be put into it Gm and see (16):</w:t>
      </w:r>
    </w:p>
    <w:p>
      <w:pPr>
        <w:bidi/>
        <w:spacing w:after="40" w:before="120"/>
      </w:pPr>
      <w:r>
        <w:rPr>
          <w:rFonts w:ascii="David" w:cs="David" w:eastAsia="David" w:hAnsi="David"/>
          <w:sz w:val="22"/>
          <w:szCs w:val="22"/>
        </w:rPr>
        <w:t xml:space="preserve">(לא) ממים חמין – ואפי׳ מכ״ר מותר לערות לתוך מים צוננין דהתחתון גובר על העליון ומצננו טור. ואע״ג דאסור לערות על תבלין כמ״ש ס״י דהוי ככ״ר הכא שאני שמתערבין החמין עם הצוננים ומתבטל חמימותן כיון שהצוננין מרובין. ונ״ל דאסור ליתן תתיכת בשר רותח לתוך רוטב צונן דכיון שאינו מתערב מתבשל כדי קליפה וכ״מ בי״ד סי׳ צ״א ס״ד. מ״א ע״ש:</w:t>
      </w:r>
    </w:p>
    <w:p>
      <w:pPr>
        <w:spacing w:after="160" w:before="20"/>
      </w:pPr>
      <w:r>
        <w:rPr>
          <w:rFonts w:ascii="Arial" w:cs="Arial" w:eastAsia="Arial" w:hAnsi="Arial"/>
          <w:sz w:val="21"/>
          <w:szCs w:val="21"/>
        </w:rPr>
        <w:t xml:space="preserve">(No) from brothy water - and it is permissible to stir into water that is cold, the lower one prevails over the upper one, and it is colder. And AAG Dassor to comment on a spice as a s.i. fade as kr. And N.L. Dassor to put a cooking meat melt into a chilled sauce that does not interfere, is cooked until it becomes a shell, etc. Magen Avraham for:</w:t>
      </w:r>
    </w:p>
    <w:p>
      <w:pPr>
        <w:bidi/>
        <w:spacing w:after="40" w:before="120"/>
      </w:pPr>
      <w:r>
        <w:rPr>
          <w:rFonts w:ascii="David" w:cs="David" w:eastAsia="David" w:hAnsi="David"/>
          <w:sz w:val="22"/>
          <w:szCs w:val="22"/>
        </w:rPr>
        <w:t xml:space="preserve">(עה) מלאה מים חמין – ואפי׳ בחמי טבריא אסור ליתן צוננים באמבטי שהומשך מן המעין לתוכה אלא צריך ליטול מהאמבטי בכ״ש ואח״כ יתן המים לתוכה אפילו המים צוננים מועטין מן החמים וכדלקמיה בסי״ב:</w:t>
      </w:r>
    </w:p>
    <w:p>
      <w:pPr>
        <w:spacing w:after="160" w:before="20"/>
      </w:pPr>
      <w:r>
        <w:rPr>
          <w:rFonts w:ascii="Arial" w:cs="Arial" w:eastAsia="Arial" w:hAnsi="Arial"/>
          <w:sz w:val="21"/>
          <w:szCs w:val="21"/>
        </w:rPr>
        <w:t xml:space="preserve">(Eah) is full hot water - and if the water is cooking in Tiberias, it is forbidden to give cold water in a bath that has been drawn into it, but it is necessary to take it from the bath in (24) hours, and then let the water go into it, even if the water is slightly colder than the hot water, and as in the dalkamia in the 2b:</w:t>
      </w:r>
    </w:p>
    <w:p>
      <w:pPr>
        <w:bidi/>
        <w:spacing w:after="40" w:before="120"/>
      </w:pPr>
      <w:r>
        <w:rPr>
          <w:rFonts w:ascii="David" w:cs="David" w:eastAsia="David" w:hAnsi="David"/>
          <w:sz w:val="22"/>
          <w:szCs w:val="22"/>
        </w:rPr>
        <w:t xml:space="preserve">(עו) אע״פ שהיא כ״ש – דכיון שהן לרחיצה מסתמא חיממן הרבה ומתבשלין הצוננים שמתערבין בהם אע״פ שהאמבטי היא כ״ש [טור] וזהו שכתב שהרי מחממן הרבה:</w:t>
      </w:r>
    </w:p>
    <w:p>
      <w:pPr>
        <w:spacing w:after="160" w:before="20"/>
      </w:pPr>
      <w:r>
        <w:rPr>
          <w:rFonts w:ascii="Arial" w:cs="Arial" w:eastAsia="Arial" w:hAnsi="Arial"/>
          <w:sz w:val="21"/>
          <w:szCs w:val="21"/>
        </w:rPr>
        <w:t xml:space="preserve">(O) A.P. that it is KSH - because they are supposed to be washed, they are heated a lot, and the cold cooks who mix with them, A.P. that the bath is K.S.H.</w:t>
      </w:r>
    </w:p>
    <w:p>
      <w:pPr>
        <w:bidi/>
        <w:spacing w:after="40" w:before="120"/>
      </w:pPr>
      <w:r>
        <w:rPr>
          <w:rFonts w:ascii="David" w:cs="David" w:eastAsia="David" w:hAnsi="David"/>
          <w:sz w:val="22"/>
          <w:szCs w:val="22"/>
        </w:rPr>
        <w:t xml:space="preserve">(עז) אין נותנים לה מים צונן – עיין באחרונים שכתבו דדוקא מים מועטין שאפשר שיתבשלו שם אבל אם נותן הרבה כ״כ עד שהחמין נעשים פושרים עי״ז שרי וכמו לקמיה בסוף סי״ב ונראה דאם היה האמבטי כלי ראשון יש לחוש לדעת הר״ן ורבינו ירוחם שכתבו דבאמבטי אסור ליתן אפי׳ צונן מרובים:</w:t>
      </w:r>
    </w:p>
    <w:p>
      <w:pPr>
        <w:spacing w:after="160" w:before="20"/>
      </w:pPr>
      <w:r>
        <w:rPr>
          <w:rFonts w:ascii="Arial" w:cs="Arial" w:eastAsia="Arial" w:hAnsi="Arial"/>
          <w:sz w:val="21"/>
          <w:szCs w:val="21"/>
        </w:rPr>
        <w:t xml:space="preserve">(Goat) Don't give her cold water - refer to the latter who wrote that a lot water can be boiled there, but if you give so much that the cooked dish / the cooked dish becomes lukewarm, AZ Sherry and like Lekemia at the end of the 2B and it looks like the bath was the kli rishon, one must feel according to the Rabbin and Rabbi Yeruham, who wrote Dbambati, it is forbidden to give multiple cold api's:</w:t>
      </w:r>
    </w:p>
    <w:p>
      <w:pPr>
        <w:bidi/>
        <w:spacing w:after="40" w:before="120"/>
      </w:pPr>
      <w:r>
        <w:rPr>
          <w:rFonts w:ascii="David" w:cs="David" w:eastAsia="David" w:hAnsi="David"/>
          <w:sz w:val="22"/>
          <w:szCs w:val="22"/>
        </w:rPr>
        <w:t xml:space="preserve">(עח) אבל נותן וכו׳ – ואפי׳ אם האמבטי הוא כ״ר מותר לערות לתוך מים צוננים אם הם מרובין על החמין ואע״ג דאסור לערות על תבלין כמ״ש בס״י דהוי ככלי ראשון זהו דוקא על דבר גוש אבל הכא שאני שמתערבין החמין עם הצונן ומתבטל חמימותן כיון שהצונן מרובים. וליתן חתיכת בשר רותח לתוך רוטב צונן אסור דכיון שאינו מתערב מבשל כדי קליפה [מ״א]:</w:t>
      </w:r>
    </w:p>
    <w:p>
      <w:pPr>
        <w:spacing w:after="160" w:before="20"/>
      </w:pPr>
      <w:r>
        <w:rPr>
          <w:rFonts w:ascii="Arial" w:cs="Arial" w:eastAsia="Arial" w:hAnsi="Arial"/>
          <w:sz w:val="21"/>
          <w:szCs w:val="21"/>
        </w:rPr>
        <w:t xml:space="preserve">And in the Tur's statement that the reason is that the lower overcomes — it is appropriate to explain his words, since Rashi explained this reason and Tosafos rejected it in the name of Rabbeinu Tam, saying that according to the one who holds the upper overcomes, it is difficult from here.</w:t>
      </w:r>
    </w:p>
    <w:p>
      <w:pPr>
        <w:bidi/>
        <w:spacing w:after="40" w:before="120"/>
      </w:pPr>
      <w:r>
        <w:rPr>
          <w:rFonts w:ascii="David" w:cs="David" w:eastAsia="David" w:hAnsi="David"/>
          <w:sz w:val="22"/>
          <w:szCs w:val="22"/>
        </w:rPr>
        <w:t xml:space="preserve">(עט) לתוך אמבטי אחר – לרבותא נקט דאע״פ שהוא אמבטי לא גזרו וכ״ש לתוך כלי אחר שיש בו צונן:</w:t>
      </w:r>
    </w:p>
    <w:p>
      <w:pPr>
        <w:spacing w:after="160" w:before="20"/>
      </w:pPr>
      <w:r>
        <w:rPr>
          <w:rFonts w:ascii="Arial" w:cs="Arial" w:eastAsia="Arial" w:hAnsi="Arial"/>
          <w:sz w:val="21"/>
          <w:szCs w:val="21"/>
        </w:rPr>
        <w:t xml:space="preserve">'A bathtub of a bathhouse' — and we are dealing with someone who wants to enter and take a small amount of hot water to bathe his face, hands, and feet afterward, which is permitted if they were heated before Shabbos.</w:t>
      </w:r>
    </w:p>
    <w:p>
      <w:pPr>
        <w:pBdr>
          <w:bottom w:val="single" w:color="999999" w:sz="4"/>
        </w:pBdr>
        <w:spacing w:after="80" w:before="300"/>
      </w:pPr>
      <w:r>
        <w:rPr>
          <w:rFonts w:ascii="Arial" w:cs="Arial" w:eastAsia="Arial" w:hAnsi="Arial"/>
          <w:b/>
          <w:bCs/>
          <w:color w:val="1A3A5C"/>
          <w:sz w:val="26"/>
          <w:szCs w:val="26"/>
        </w:rPr>
        <w:t xml:space="preserve">Magen Avraham</w:t>
      </w:r>
    </w:p>
    <w:p>
      <w:pPr>
        <w:pBdr>
          <w:bottom w:val="single" w:color="999999" w:sz="4"/>
        </w:pBdr>
        <w:spacing w:after="80" w:before="300"/>
      </w:pPr>
      <w:r>
        <w:rPr>
          <w:rFonts w:ascii="Arial" w:cs="Arial" w:eastAsia="Arial" w:hAnsi="Arial"/>
          <w:b/>
          <w:bCs/>
          <w:color w:val="1A3A5C"/>
          <w:sz w:val="26"/>
          <w:szCs w:val="26"/>
        </w:rPr>
        <w:t xml:space="preserve">Taz</w:t>
      </w:r>
    </w:p>
    <w:p>
      <w:pPr>
        <w:pBdr>
          <w:bottom w:val="single" w:color="999999" w:sz="4"/>
        </w:pBdr>
        <w:spacing w:after="80" w:before="300"/>
      </w:pPr>
      <w:r>
        <w:rPr>
          <w:rFonts w:ascii="Arial" w:cs="Arial" w:eastAsia="Arial" w:hAnsi="Arial"/>
          <w:b/>
          <w:bCs/>
          <w:color w:val="1A3A5C"/>
          <w:sz w:val="26"/>
          <w:szCs w:val="26"/>
        </w:rPr>
        <w:t xml:space="preserve">Biur Halacha</w:t>
      </w:r>
    </w:p>
    <w:p>
      <w:pPr>
        <w:bidi/>
        <w:spacing w:after="40" w:before="120"/>
      </w:pPr>
      <w:r>
        <w:rPr>
          <w:rFonts w:ascii="David" w:cs="David" w:eastAsia="David" w:hAnsi="David"/>
          <w:sz w:val="22"/>
          <w:szCs w:val="22"/>
        </w:rPr>
        <w:t xml:space="preserve">ובמ״ש הטור הטעם דתתאה גבר ראוי לתרץ דבריו והלא רש״י פי׳ טעם זה ודחהו התו׳ בשם ר״ת דא״כ קשה למ״ד עילאה גבר מכאן ותירצו התו׳ דהטעם משום שיש בתחתון מים מרובין ע״כ אנו אזלינן בתר התחתון והיאך כתב הטור דלא כהתו׳ שאין זה דרכו לחלוק על התו׳ ולא מביא כלל דבריהם ונ״ל דלק״מ דלמ״ד תתאה גבר נשאר הטעם כפשוטו אלא דלמ״ד עילאה גבר צריך להוסיף ולמ״ד דמיירי שהתחתון מרובה מעליון וכיון דקי״ל תתאה גבר פסק כאן שפיר אפילו בלא התחתון מרובה כ״ז נראה נכון מאד בס״ד.</w:t>
      </w:r>
    </w:p>
    <w:p>
      <w:pPr>
        <w:spacing w:after="160" w:before="20"/>
      </w:pPr>
      <w:r>
        <w:rPr>
          <w:rFonts w:ascii="Arial" w:cs="Arial" w:eastAsia="Arial" w:hAnsi="Arial"/>
          <w:sz w:val="21"/>
          <w:szCs w:val="21"/>
        </w:rPr>
        <w:t xml:space="preserve">And in the MSH column, the reason for this argument is that a man deserves to justify his words, and the Rashi of this point rejected it, in the name R.T.D.A.K. It is difficult for M.D. Ilaah to gain from this, because there is water in the lower part of the argument, because there is a lot water in the lower part, so we have written the column without the letter, which is not his way arguing about the letter, and does not bring any their words, and N.L. But DLMAD Ilaa Geber should add to LMD Damiri that the lower one is a multiple from the upper one and since DK'l T'taa Geber ruled here a benign even without the lower one multiple (27) seems very correct in S.D.</w:t>
      </w:r>
    </w:p>
    <w:p>
      <w:pPr>
        <w:bidi/>
        <w:spacing w:after="40" w:before="120"/>
      </w:pPr>
      <w:r>
        <w:rPr>
          <w:rFonts w:ascii="David" w:cs="David" w:eastAsia="David" w:hAnsi="David"/>
          <w:sz w:val="22"/>
          <w:szCs w:val="22"/>
        </w:rPr>
        <w:t xml:space="preserve">אמבטי של מרחץ – ומיירי שרוצה ליכנס לשם ליטול מעט מים חמין ולרחוץ בהן אח״כ פניו ידיו ורגליו דמותר אם הוחמו מע״ש וכדלקמן בסימן שכ״ו ע״ש:</w:t>
      </w:r>
    </w:p>
    <w:p>
      <w:pPr>
        <w:spacing w:after="160" w:before="20"/>
      </w:pPr>
      <w:r>
        <w:rPr>
          <w:rFonts w:ascii="Arial" w:cs="Arial" w:eastAsia="Arial" w:hAnsi="Arial"/>
          <w:sz w:val="21"/>
          <w:szCs w:val="21"/>
        </w:rPr>
        <w:t xml:space="preserve">A bath of a bather - and Meiri who wants to go in there to take a little broth water and then bathe his face in it, his hands and feet are free from sun if they are sealed from ASH and as follows in the chapter (26) ASH:</w:t>
      </w:r>
    </w:p>
    <w:p>
      <w:pPr>
        <w:bidi/>
        <w:spacing w:after="40" w:before="120"/>
      </w:pPr>
      <w:r>
        <w:rPr>
          <w:rFonts w:ascii="David" w:cs="David" w:eastAsia="David" w:hAnsi="David"/>
          <w:sz w:val="22"/>
          <w:szCs w:val="22"/>
        </w:rPr>
        <w:t xml:space="preserve">אבל נותן וכו׳ – עיין במ״ב מש״כ אם הם מרובין על החמין כן משמע במגן אברהם ונ״ל דאם עתה אין היד סולדת בהן אפילו לא היו בתחלה המים צוננין מרובין כ״כ ג״כ שרי דאף שבתוספות מ״ב ע״א ד״ה נותן איתא כשהם מרובין דבר ההוה נקטו דכשהם מרובין אז מתבטל חמימות החמין אבל אם אירע שלא היו החמין חמין כ״כ ונעשו פושרין שלא ע״י הרבה מים צוננין ג״כ שרי ותדע דאפילו בצונן לתוך חמין משמע בגמרא דאם הם מרובין כ״כ שיש בהן כדי להפשיר ג״כ שרי וכן משמע מהג״ה בסמוך:</w:t>
      </w:r>
    </w:p>
    <w:p>
      <w:pPr>
        <w:spacing w:after="160" w:before="20"/>
      </w:pPr>
      <w:r>
        <w:rPr>
          <w:rFonts w:ascii="Arial" w:cs="Arial" w:eastAsia="Arial" w:hAnsi="Arial"/>
          <w:sz w:val="21"/>
          <w:szCs w:val="21"/>
        </w:rPr>
        <w:t xml:space="preserve">But he gives, etc. - refer to the M.B. Mishkak, if they are from a lot on the curd, that means in Magan Avraham and N.L. Dam, now the hand is not averse to them, even at the beginning the water was not cool from a lot. By a lot water, you will cool קק שרים and you will know that even when it is chilled into a broth, it means in the Gemara that they are as many as there are in them in order to thaw קק שרים and also the meaning of the next verse:</w:t>
      </w:r>
    </w:p>
    <w:p>
      <w:pPr>
        <w:bidi/>
        <w:spacing w:after="40" w:before="120"/>
      </w:pPr>
      <w:r>
        <w:rPr>
          <w:rFonts w:ascii="David" w:cs="David" w:eastAsia="David" w:hAnsi="David"/>
          <w:sz w:val="22"/>
          <w:szCs w:val="22"/>
        </w:rPr>
        <w:t xml:space="preserve">שבזה האמבטי וכו׳ – עיין במ״ב דבעינן שיהיו הצוננים מרובין אם האמבטי הוא כ״ר ואם היה כ״ש משמע מט״ז דלכו״ע מותר אפילו אם הצונן מועטין והפמ״ג מפקפק בזה לדעת הטור ע״ש:</w:t>
      </w:r>
    </w:p>
    <w:p>
      <w:pPr>
        <w:spacing w:after="160" w:before="20"/>
      </w:pPr>
      <w:r>
        <w:rPr>
          <w:rFonts w:ascii="Arial" w:cs="Arial" w:eastAsia="Arial" w:hAnsi="Arial"/>
          <w:sz w:val="21"/>
          <w:szCs w:val="21"/>
        </w:rPr>
        <w:t xml:space="preserve">When it comes to the bath, etc. - refer to the M.B. They say that the tsunan should be from Rubin, if the tsunan is 100,000 and if it was 400,000, then it means (15),000,000.</w:t>
      </w:r>
    </w:p>
    <w:p>
      <w:pPr>
        <w:pBdr>
          <w:bottom w:val="single" w:color="999999" w:sz="4"/>
        </w:pBdr>
        <w:spacing w:after="80" w:before="300"/>
      </w:pPr>
      <w:r>
        <w:rPr>
          <w:rFonts w:ascii="Arial" w:cs="Arial" w:eastAsia="Arial" w:hAnsi="Arial"/>
          <w:b/>
          <w:bCs/>
          <w:color w:val="1A3A5C"/>
          <w:sz w:val="26"/>
          <w:szCs w:val="26"/>
        </w:rPr>
        <w:t xml:space="preserve">Shulchan Aruch K'pshuto</w:t>
      </w:r>
    </w:p>
    <w:p>
      <w:pPr>
        <w:bidi/>
        <w:spacing w:after="40" w:before="120"/>
      </w:pPr>
      <w:r>
        <w:rPr>
          <w:rFonts w:ascii="David" w:cs="David" w:eastAsia="David" w:hAnsi="David"/>
          <w:sz w:val="22"/>
          <w:szCs w:val="22"/>
        </w:rPr>
        <w:t xml:space="preserve">(עא) הקדמה לסעיף – כשמערבבים בשבת מים חמים עם מים קרים, יש חשש שהמים החמים יבשלו את הקרים. הדבר אסור בתנאים מסוימים, ויש להבחין בכך בין כלי ראשון לכלי שני, וגם בין אמבטיה שנועדה לרחצה, שעליה מדבר סעיף זה, לבין מיחם לשתייה, שעליו מדבר הסעיף הבא.</w:t>
      </w:r>
    </w:p>
    <w:p>
      <w:pPr>
        <w:spacing w:after="160" w:before="20"/>
      </w:pPr>
      <w:r>
        <w:rPr>
          <w:rFonts w:ascii="Arial" w:cs="Arial" w:eastAsia="Arial" w:hAnsi="Arial"/>
          <w:sz w:val="21"/>
          <w:szCs w:val="21"/>
        </w:rPr>
        <w:t xml:space="preserve">(it is impossible) Introduction to the section - when you mix hot water with cold water on Shabbos, there is a fear that the hot water will cook the cold. This is forbidden under certain conditions, and a distinction must be made between a kli rishon and a kli sheni, and also between a bath intended for bathing, which is discussed in this section, and a bath for drinking, which is discussed in the next section.</w:t>
      </w:r>
    </w:p>
    <w:p>
      <w:pPr>
        <w:bidi/>
        <w:spacing w:after="40" w:before="120"/>
      </w:pPr>
      <w:r>
        <w:rPr>
          <w:rFonts w:ascii="David" w:cs="David" w:eastAsia="David" w:hAnsi="David"/>
          <w:sz w:val="22"/>
          <w:szCs w:val="22"/>
        </w:rPr>
        <w:t xml:space="preserve">(עב) מים חמים – לדעת המחבר מדובר רק באמבטיה שהיא כלי ראשון שאינו על האש, כגון אמבטיה ממתכת שהיה תחתיה אש או גחלים שכובו, והם עדיין חמים.</w:t>
      </w:r>
    </w:p>
    <w:p>
      <w:pPr>
        <w:spacing w:after="160" w:before="20"/>
      </w:pPr>
      <w:r>
        <w:rPr>
          <w:rFonts w:ascii="Arial" w:cs="Arial" w:eastAsia="Arial" w:hAnsi="Arial"/>
          <w:sz w:val="21"/>
          <w:szCs w:val="21"/>
        </w:rPr>
        <w:t xml:space="preserve">(b) hot water - according to the author, this is only a bath that is the kli rishon that is not on fire, such as a metal bath that had a fire or coals under it that were extinguished, and are still cooking.</w:t>
      </w:r>
    </w:p>
    <w:p>
      <w:pPr>
        <w:bidi/>
        <w:spacing w:after="40" w:before="120"/>
      </w:pPr>
      <w:r>
        <w:rPr>
          <w:rFonts w:ascii="David" w:cs="David" w:eastAsia="David" w:hAnsi="David"/>
          <w:sz w:val="22"/>
          <w:szCs w:val="22"/>
        </w:rPr>
        <w:t xml:space="preserve">(עג) כלי שני – הרמ״א חולק על המחבר, ולדעתו יש חומרה מיוחדת באמבטיה, ואסרו לתת בה מים אפילו שהיא כלי שני. שהואיל והמים מיועדים לרחיצה הם חמים מאוד, וכן מפני שיש באמבטיה הרבה מים, ולכן הם שומרים את חומם זמן רב והאיסור הוא מדרבנן.</w:t>
      </w:r>
    </w:p>
    <w:p>
      <w:pPr>
        <w:spacing w:after="160" w:before="20"/>
      </w:pPr>
      <w:r>
        <w:rPr>
          <w:rFonts w:ascii="Arial" w:cs="Arial" w:eastAsia="Arial" w:hAnsi="Arial"/>
          <w:sz w:val="21"/>
          <w:szCs w:val="21"/>
        </w:rPr>
        <w:t xml:space="preserve">(Ag) kli sheni - the Rama'a disagrees with the author, and in his opinion there is a special severity in the bathtub, and it is forbidden to give water in it even though it is a kli sheni. Since the water is intended for rinsing, it is cooking, and also because there is a lot water in the bath, so it retains its sun for a long time, and the prohibition is spurious.</w:t>
      </w:r>
    </w:p>
    <w:p>
      <w:pPr>
        <w:bidi/>
        <w:spacing w:after="40" w:before="120"/>
      </w:pPr>
      <w:r>
        <w:rPr>
          <w:rFonts w:ascii="David" w:cs="David" w:eastAsia="David" w:hAnsi="David"/>
          <w:sz w:val="22"/>
          <w:szCs w:val="22"/>
        </w:rPr>
        <w:t xml:space="preserve">(עד) שהרי מחממן הרבה – כאמור, לדעת הרמ״א זו חומרה מיוחדת באמבטיה, שמבשלת מים גם בכלי שני. ולמחבר אין דין מיוחד לאמבטיה, אלא כבכל כלי ראשון.</w:t>
      </w:r>
    </w:p>
    <w:p>
      <w:pPr>
        <w:spacing w:after="160" w:before="20"/>
      </w:pPr>
      <w:r>
        <w:rPr>
          <w:rFonts w:ascii="Arial" w:cs="Arial" w:eastAsia="Arial" w:hAnsi="Arial"/>
          <w:sz w:val="21"/>
          <w:szCs w:val="21"/>
        </w:rPr>
        <w:t xml:space="preserve">(Ad) Because it heats up a lot - as mentioned, according to the Rama, this is a special hardware in the bathtub, which also boils water in a kli sheni. And the author has no special law for the bath, but as with any kli rishon.</w:t>
      </w:r>
    </w:p>
    <w:p>
      <w:pPr>
        <w:bidi/>
        <w:spacing w:after="40" w:before="120"/>
      </w:pPr>
      <w:r>
        <w:rPr>
          <w:rFonts w:ascii="David" w:cs="David" w:eastAsia="David" w:hAnsi="David"/>
          <w:sz w:val="22"/>
          <w:szCs w:val="22"/>
        </w:rPr>
        <w:t xml:space="preserve">(עה) של צונן – אף על פי שמחמם בכך את האמבטיה השנייה. לדעת הרמ״א הדבר מותר רק בעירוי מכלי שני, ולשיטתו לא החמירו אלא בנתינת מים לתוך הכלי השני. ולדעת המחבר הדבר מותר אפילו באמבטיה שהיא כלי ראשון, כיוון שעירוי מכלי ראשון אינו מבשל (מלבד במליח הישן, בקולייס האיספנים ובתבלינים). הלכה למעשה, כבר ראינו שהפוסקים אוסרים עירוי מכלי ראשון, ומסבירים כאן שההיתר הוא דווקא באמבטיה, מפני שיש בה מים מרובים.</w:t>
      </w:r>
    </w:p>
    <w:p>
      <w:pPr>
        <w:spacing w:after="160" w:before="20"/>
      </w:pPr>
      <w:r>
        <w:rPr>
          <w:rFonts w:ascii="Arial" w:cs="Arial" w:eastAsia="Arial" w:hAnsi="Arial"/>
          <w:sz w:val="21"/>
          <w:szCs w:val="21"/>
        </w:rPr>
        <w:t xml:space="preserve">(71) Into cold water. Even though he thereby heats the cold water. According to the Rama, this is permitted only when pouring (of boiling broth) (of cooking broth) (cooking broth) from a kli sheni. According to his view, the Sages were being stringent only when placing water into a kli sheni. The poskim debate the exact scope of this distinction.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2026-05-13T21:54:40.516Z</dcterms:created>
  <dcterms:modified xsi:type="dcterms:W3CDTF">2026-05-13T21:54:40.517Z</dcterms:modified>
</cp:coreProperties>
</file>

<file path=docProps/custom.xml><?xml version="1.0" encoding="utf-8"?>
<Properties xmlns="http://schemas.openxmlformats.org/officeDocument/2006/custom-properties" xmlns:vt="http://schemas.openxmlformats.org/officeDocument/2006/docPropsVTypes"/>
</file>