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8"/>
          <w:szCs w:val="38"/>
        </w:rPr>
        <w:t xml:space="preserve">Orach Chayyim 318 — Din HaMevashel B'Shabbat</w:t>
      </w:r>
    </w:p>
    <w:p>
      <w:pPr>
        <w:spacing w:after="400" w:before="0"/>
        <w:jc w:val="center"/>
      </w:pPr>
      <w:r>
        <w:rPr>
          <w:rFonts w:ascii="Arial" w:cs="Arial" w:eastAsia="Arial" w:hAnsi="Arial"/>
          <w:color w:val="777777"/>
          <w:sz w:val="20"/>
          <w:szCs w:val="20"/>
        </w:rPr>
        <w:t xml:space="preserve">Sources: Mechaber | Rama | Tur | Magen Avraham | Taz | Biur Halacha | 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13</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(יג) מֻתָּר לִתֵּן קִיתוֹן שֶׁל מַיִם אוֹ שֶׁל שְׁאָר מַשְׁקִים בִּכְלִי שֵׁנִי שֶׁיֵּשׁ בּוֹ מַיִם חַמִּין, אֲבָל בִּכְלִי רִאשׁוֹן אָסוּר.</w:t>
      </w:r>
    </w:p>
    <w:p>
      <w:pPr>
        <w:spacing w:after="180" w:before="40"/>
      </w:pPr>
      <w:r>
        <w:rPr>
          <w:rFonts w:ascii="Arial" w:cs="Arial" w:eastAsia="Arial" w:hAnsi="Arial"/>
          <w:sz w:val="22"/>
          <w:szCs w:val="22"/>
        </w:rPr>
        <w:t xml:space="preserve">(33) 'In a kli sheni' — and see Yoreh De'ah, I wrote in the name of the Taz that if one draws in an empty vessel from the kli rishon, that vessel has the status of a kli rishon and it is forbidden to place a jug in it.</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(יט) בכ״ש שיש בו מים – בגמרא איתא פ׳ כירה דא״ל ר׳ לר״ש בר אבדימי טול בכ״ש ותן וכתבנו בי״ד ס״ס צ״ב ופי׳ ושם נתבאר דאם שואב בכלי ריקן מן הכ״ר דאותו הכלי ששואב יש לו דין כ״ר לחומרא ולא לקולא ולעיל סי׳ רנ״ח כתבנו דאין לטמון כל הכלי בתוך הכ״ש דא״כ ה״ל הטמנה אלא צריך להיות מגולה למעלה וכת׳ המרדכי בפ׳ כירה אין לתת פירות תוך הקיכלי״ש של התנור בבית החורף כדי שיוצלו דלא גריעי ממים.</w:t>
      </w:r>
    </w:p>
    <w:p>
      <w:pPr>
        <w:spacing w:after="160" w:before="20"/>
      </w:pPr>
      <w:r>
        <w:rPr>
          <w:rFonts w:ascii="Arial" w:cs="Arial" w:eastAsia="Arial" w:hAnsi="Arial"/>
          <w:sz w:val="21"/>
          <w:szCs w:val="21"/>
        </w:rPr>
        <w:t xml:space="preserve">(19) In the BKS that has water in it - in the Gemara Ita F Kira D.L. R. L.R. Bar Abdimi Tul BK.S. and let and we wrote in the BID S.S.C.B and P. and there we explain that a dam draws with an empty vessel from the K.R. The vessel that draws it has a right to a K.R. It should be he buried, but it should be turned up and the Mordechai chapter in P. Kira should not put fruit inside the stove's stove in the winter house so that they are roasted without seeds from water.</w:t>
      </w:r>
    </w:p>
    <w:p>
      <w:pPr>
        <w:bidi/>
        <w:spacing w:after="40" w:before="120"/>
      </w:pPr>
      <w:r>
        <w:rPr>
          <w:rFonts w:ascii="David" w:cs="David" w:eastAsia="David" w:hAnsi="David"/>
          <w:sz w:val="22"/>
          <w:szCs w:val="22"/>
        </w:rPr>
        <w:t xml:space="preserve">(לג) בכלי שני – ועיין בי״ד סי׳ צ״ב ס״ק מ״ה כתבתי בשם הט״ז דאם שואב בכלי ריקן מן הכלי ראשון דאותו הכלי ששואב יש לו דין כ״ר לחומרא ע״ש דלא כמהרי״ל ולעיל סי׳ רנ״ח כתבנו דאין לטמון כל הכלי בתוך הכלי שני דא״כ ה״ל הטמנה אלא צריך להיות מגולה למעלה. ט״ז עיין שם:</w:t>
      </w:r>
    </w:p>
    <w:p>
      <w:pPr>
        <w:spacing w:after="160" w:before="20"/>
      </w:pPr>
      <w:r>
        <w:rPr>
          <w:rFonts w:ascii="Arial" w:cs="Arial" w:eastAsia="Arial" w:hAnsi="Arial"/>
          <w:sz w:val="21"/>
          <w:szCs w:val="21"/>
        </w:rPr>
        <w:t xml:space="preserve">(Lg) In the kli sheni - and refer to the 16th century, I wrote in the name of the 16th Dam that he draws in an empty vessel from the kli rishon, the vessel that he draws has a din kr for material called dela kamhari'l and above C. Ranah we wrote that it is dein to bury the entire vessel inside the kli sheni DAC HL Tmanah, but it has to be turned up on top. (16) see there:</w:t>
      </w:r>
    </w:p>
    <w:p>
      <w:pPr>
        <w:bidi/>
        <w:spacing w:after="40" w:before="120"/>
      </w:pPr>
      <w:r>
        <w:rPr>
          <w:rFonts w:ascii="David" w:cs="David" w:eastAsia="David" w:hAnsi="David"/>
          <w:sz w:val="22"/>
          <w:szCs w:val="22"/>
        </w:rPr>
        <w:t xml:space="preserve">(מב) ס״יג מותר – שם:</w:t>
      </w:r>
    </w:p>
    <w:p>
      <w:pPr>
        <w:spacing w:after="160" w:before="20"/>
      </w:pPr>
      <w:r>
        <w:rPr>
          <w:rFonts w:ascii="Arial" w:cs="Arial" w:eastAsia="Arial" w:hAnsi="Arial"/>
          <w:sz w:val="21"/>
          <w:szCs w:val="21"/>
        </w:rPr>
        <w:t xml:space="preserve">(MB) sig is permitted - there:</w:t>
      </w:r>
    </w:p>
    <w:p>
      <w:pPr>
        <w:bidi/>
        <w:spacing w:after="40" w:before="120"/>
      </w:pPr>
      <w:r>
        <w:rPr>
          <w:rFonts w:ascii="David" w:cs="David" w:eastAsia="David" w:hAnsi="David"/>
          <w:sz w:val="22"/>
          <w:szCs w:val="22"/>
        </w:rPr>
        <w:t xml:space="preserve">(מג) או – מ״א ב׳:</w:t>
      </w:r>
    </w:p>
    <w:p>
      <w:pPr>
        <w:spacing w:after="160" w:before="20"/>
      </w:pPr>
      <w:r>
        <w:rPr>
          <w:rFonts w:ascii="Arial" w:cs="Arial" w:eastAsia="Arial" w:hAnsi="Arial"/>
          <w:sz w:val="21"/>
          <w:szCs w:val="21"/>
        </w:rPr>
        <w:t xml:space="preserve">(Mg) or - Magen Avraham B:</w:t>
      </w:r>
    </w:p>
    <w:p>
      <w:pPr>
        <w:bidi/>
        <w:spacing w:after="40" w:before="120"/>
      </w:pPr>
      <w:r>
        <w:rPr>
          <w:rFonts w:ascii="David" w:cs="David" w:eastAsia="David" w:hAnsi="David"/>
          <w:sz w:val="22"/>
          <w:szCs w:val="22"/>
        </w:rPr>
        <w:t xml:space="preserve">(מד) אבל – שם:</w:t>
      </w:r>
    </w:p>
    <w:p>
      <w:pPr>
        <w:spacing w:after="160" w:before="20"/>
      </w:pPr>
      <w:r>
        <w:rPr>
          <w:rFonts w:ascii="Arial" w:cs="Arial" w:eastAsia="Arial" w:hAnsi="Arial"/>
          <w:sz w:val="21"/>
          <w:szCs w:val="21"/>
        </w:rPr>
        <w:t xml:space="preserve">(md) but - name:</w:t>
      </w:r>
    </w:p>
    <w:p>
      <w:pPr>
        <w:bidi/>
        <w:spacing w:after="40" w:before="120"/>
      </w:pPr>
      <w:r>
        <w:rPr>
          <w:rFonts w:ascii="David" w:cs="David" w:eastAsia="David" w:hAnsi="David"/>
          <w:sz w:val="22"/>
          <w:szCs w:val="22"/>
        </w:rPr>
        <w:t xml:space="preserve">(פו) קיתון של מים – אף דמים בלבד בלא כלי ג״כ מותר לערב בתוך כלי שני וכנ״ל בסי״ב נקט ע״י כלי משום סיפא לאשמועינן דבכלי ראשון אפי׳ ע״י הפסקת כלי אסור:</w:t>
      </w:r>
    </w:p>
    <w:p>
      <w:pPr>
        <w:spacing w:after="160" w:before="20"/>
      </w:pPr>
      <w:r>
        <w:rPr>
          <w:rFonts w:ascii="Arial" w:cs="Arial" w:eastAsia="Arial" w:hAnsi="Arial"/>
          <w:sz w:val="21"/>
          <w:szCs w:val="21"/>
        </w:rPr>
        <w:t xml:space="preserve">(Fo) Kiton water - even blood only without a vessel, it is permissible to mix in a kli sheni and the same in the SIB, it is taken by a vessel because it is sipa for the people of the kli rishon, Efi' by stopping a forbidden vessel:</w:t>
      </w:r>
    </w:p>
    <w:p>
      <w:pPr>
        <w:bidi/>
        <w:spacing w:after="40" w:before="120"/>
      </w:pPr>
      <w:r>
        <w:rPr>
          <w:rFonts w:ascii="David" w:cs="David" w:eastAsia="David" w:hAnsi="David"/>
          <w:sz w:val="22"/>
          <w:szCs w:val="22"/>
        </w:rPr>
        <w:t xml:space="preserve">(פז) בכלי שני – כ״ש מיקרי כשעירו מן כלי ראשון שהרתיחו החמין בתוכו לתוך כלי זה ומותר אפי׳ אם היד סולדת בו אבל אם שואב בכלי ריקן מתוך כלי ראשון י״א דדינו ככלי ראשון ובפרט אם משהה הכלי ריקן בתוכו עד שמעלה רתיחה ודאי מקרי כ״ר [אחרונים]:</w:t>
      </w:r>
    </w:p>
    <w:p>
      <w:pPr>
        <w:spacing w:after="160" w:before="20"/>
      </w:pPr>
      <w:r>
        <w:rPr>
          <w:rFonts w:ascii="Arial" w:cs="Arial" w:eastAsia="Arial" w:hAnsi="Arial"/>
          <w:sz w:val="21"/>
          <w:szCs w:val="21"/>
        </w:rPr>
        <w:t xml:space="preserve">(87) In a kli sheni. When the cooking broth is poured from the kli rishon in which it was boiled into this vessel, it is permitted even if it is yad soledet bo. But if the empty vessel itself was removed from the kli rishon and remains cooking, it may have a stricter status.</w:t>
      </w:r>
    </w:p>
    <w:p>
      <w:pPr>
        <w:bidi/>
        <w:spacing w:after="40" w:before="120"/>
      </w:pPr>
      <w:r>
        <w:rPr>
          <w:rFonts w:ascii="David" w:cs="David" w:eastAsia="David" w:hAnsi="David"/>
          <w:sz w:val="22"/>
          <w:szCs w:val="22"/>
        </w:rPr>
        <w:t xml:space="preserve">(פא) שיש בו מים חמים – סעיף זה עוסק בכלי המלא במים (״קיתון״), ושואל אם מותר לשים אותו בתוך מים חמים, כדי לחמם את המים שבו. הכלל בכך הוא שלתוך כלי שני מותר, ולכלי ראשון אסור.</w:t>
      </w:r>
    </w:p>
    <w:p>
      <w:pPr>
        <w:spacing w:after="160" w:before="20"/>
      </w:pPr>
      <w:r>
        <w:rPr>
          <w:rFonts w:ascii="Arial" w:cs="Arial" w:eastAsia="Arial" w:hAnsi="Arial"/>
          <w:sz w:val="21"/>
          <w:szCs w:val="21"/>
        </w:rPr>
        <w:t xml:space="preserve">'But in a kli rishon it is forbidden' — it appears that if the cold water in the upper vessel is so great that it could not possibly be cooked, it is permitted, for it is no worse than the case where a vessel intervenes.</w:t>
      </w:r>
    </w:p>
    <w:p>
      <w:pPr>
        <w:bidi/>
        <w:spacing w:after="40" w:before="120"/>
      </w:pPr>
      <w:r>
        <w:rPr>
          <w:rFonts w:ascii="David" w:cs="David" w:eastAsia="David" w:hAnsi="David"/>
          <w:sz w:val="22"/>
          <w:szCs w:val="22"/>
        </w:rPr>
        <w:t xml:space="preserve">(פב) אסור – כיוון שכלי ראשון מבשל גם את המים שבקיתון.</w:t>
      </w:r>
    </w:p>
    <w:p>
      <w:pPr>
        <w:spacing w:after="160" w:before="20"/>
      </w:pPr>
      <w:r>
        <w:rPr>
          <w:rFonts w:ascii="Arial" w:cs="Arial" w:eastAsia="Arial" w:hAnsi="Arial"/>
          <w:sz w:val="21"/>
          <w:szCs w:val="21"/>
        </w:rPr>
        <w:t xml:space="preserve">A food that comes as a solid piece, such as a piece of meat: some are stringent and hold that it retains heat inside, and even in a kli sheni it should be regarded as a kli rishon as long as it is yad soledet bo. And one should be stringent in this.</w:t>
      </w:r>
    </w:p>
    <w:p>
      <w:pPr>
        <w:pBdr>
          <w:bottom w:val="single" w:color="999999" w:sz="4"/>
        </w:pBdr>
        <w:spacing w:after="80" w:before="300"/>
      </w:pPr>
      <w:r>
        <w:rPr>
          <w:rFonts w:ascii="Arial" w:cs="Arial" w:eastAsia="Arial" w:hAnsi="Arial"/>
          <w:b/>
          <w:bCs/>
          <w:color w:val="1A3A5C"/>
          <w:sz w:val="26"/>
          <w:szCs w:val="26"/>
        </w:rPr>
        <w:t xml:space="preserve">Magen Avraham</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אבל בכלי ראשון אסור – נראה שאם הצוננין שבכלי עליון מרובים כ״כ שא״א שיתבשל שרי דלא גרע היכא דמפסיק כלי מהיכא שנתערבו ממש כמבואר בגמרא [מס׳ בית מאיר]:</w:t>
      </w:r>
    </w:p>
    <w:p>
      <w:pPr>
        <w:spacing w:after="160" w:before="20"/>
      </w:pPr>
      <w:r>
        <w:rPr>
          <w:rFonts w:ascii="Arial" w:cs="Arial" w:eastAsia="Arial" w:hAnsi="Arial"/>
          <w:sz w:val="21"/>
          <w:szCs w:val="21"/>
        </w:rPr>
        <w:t xml:space="preserve">But in the kli rishon it is forbidden - it seems that if the tsonnin in the upper vessel is so many that the sherry without grain is cooked, it stops a vessel from the vessel that has been mixed, as explained in the Gemara [No. Beit Meir]:</w:t>
      </w:r>
    </w:p>
    <w:p>
      <w:pPr>
        <w:bidi/>
        <w:spacing w:after="40" w:before="120"/>
      </w:pPr>
      <w:r>
        <w:rPr>
          <w:rFonts w:ascii="David" w:cs="David" w:eastAsia="David" w:hAnsi="David"/>
          <w:sz w:val="22"/>
          <w:szCs w:val="22"/>
        </w:rPr>
        <w:t xml:space="preserve">מאכל הבא בגוש, כגון נתח של בשר, יש מחמירים וסוברים שהוא אוצר את החום בתוכו, וגם כשהוא בכלי שני יש לראותו ככלי ראשון כל עוד היד סולדת בו. ורבים מקלים בכך. ולהלכה, אם עינינו רואות שהוא אינו מבשל אין חובה להחמיר בכך, ומותר לתת תבלינים או קטשופ וכיוצא בזה על חתיכת בשר שהועברה מכלי ראשון לכלי שני, וגם בכך אנו אומרים שכלי שני אינו מבשל.</w:t>
      </w:r>
    </w:p>
    <w:p>
      <w:pPr>
        <w:spacing w:after="160" w:before="20"/>
      </w:pPr>
      <w:r>
        <w:rPr>
          <w:rFonts w:ascii="Arial" w:cs="Arial" w:eastAsia="Arial" w:hAnsi="Arial"/>
          <w:sz w:val="21"/>
          <w:szCs w:val="21"/>
        </w:rPr>
        <w:t xml:space="preserve">A food that comes as a solid piece, such as a piece meat: Some are being stringent and hold that it retains sun inside, and even when it is in a kli sheni it should be treated like a kli rishon as long as it is yad soledet bo.</w:t>
      </w:r>
    </w:p>
    <w:p>
      <w:pPr>
        <w:bidi/>
        <w:spacing w:after="40" w:before="120"/>
      </w:pPr>
      <w:r>
        <w:rPr>
          <w:rFonts w:ascii="David" w:cs="David" w:eastAsia="David" w:hAnsi="David"/>
          <w:sz w:val="22"/>
          <w:szCs w:val="22"/>
        </w:rPr>
        <w:t xml:space="preserve">נחלקו הפוסקים איך לראות את המרק שבתוך המצקת, אם ככלי ראשון או ככלי שני, ונראה להלכה שהיא כלי שני, אבל אם השהה אותה זמן מה בתוך הסיר הרי היא כלי ראשון, כסיר עצמו.</w:t>
      </w:r>
    </w:p>
    <w:p>
      <w:pPr>
        <w:spacing w:after="160" w:before="20"/>
      </w:pPr>
      <w:r>
        <w:rPr>
          <w:rFonts w:ascii="Arial" w:cs="Arial" w:eastAsia="Arial" w:hAnsi="Arial"/>
          <w:sz w:val="21"/>
          <w:szCs w:val="21"/>
        </w:rPr>
        <w:t xml:space="preserve">(14) It is permitted to place a small pitcher of water or other liquids opposite the fire in order to remove their chill, provided that one places it in a location where it cannot reach yad soledet bo, meaning a place where it would not reach yad soledet bo (by the infant-belly standard). And the same applies to fruits. But if it is dry food that is fit to eat raw — it is forbidden even far from the fire if it is yad soledet bo there.</w:t>
      </w:r>
    </w:p>
    <w:p>
      <w:pPr>
        <w:pBdr>
          <w:bottom w:val="single" w:color="999999" w:sz="4"/>
        </w:pBdr>
        <w:spacing w:after="80" w:before="300"/>
      </w:pPr>
      <w:r>
        <w:rPr>
          <w:rFonts w:ascii="Arial" w:cs="Arial" w:eastAsia="Arial" w:hAnsi="Arial"/>
          <w:b/>
          <w:bCs/>
          <w:color w:val="1A3A5C"/>
          <w:sz w:val="26"/>
          <w:szCs w:val="26"/>
        </w:rPr>
        <w:t xml:space="preserve">Shulchan Aruch K'pshuto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2026-05-13T21:54:40.544Z</dcterms:created>
  <dcterms:modified xsi:type="dcterms:W3CDTF">2026-05-13T21:54:40.544Z</dcterms:modified>
</cp:coreProperties>
</file>

<file path=docProps/custom.xml><?xml version="1.0" encoding="utf-8"?>
<Properties xmlns="http://schemas.openxmlformats.org/officeDocument/2006/custom-properties" xmlns:vt="http://schemas.openxmlformats.org/officeDocument/2006/docPropsVTypes"/>
</file>