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14</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(יד) מֻתָּר לִתֵּן קִיתוֹן שֶׁל מַיִם אוֹ שֶׁל שְׁאָר מַשְׁקִים כְּנֶגֶד הָאֵשׁ לְהָפִיג צִנָּתָן, וּבִלְבַד שֶׁיִּתְּנֵם רָחוֹק מֵהָאֵשׁ בְּעִנְיָן שֶׁאֵינוֹ יָכוֹל לְהִתְחַמֵּם בְּאוֹתוֹ מָקוֹם עַד שֶׁתְּהֵא הַיָּד סוֹלֶדֶת (פי׳ מִתְחַמֶּמֶת וְנִכְוֵית) בּוֹ, דְּהַיְנוּ מָקוֹם שֶׁכְּרֵסוֹ שֶׁל תִּינוֹק נִכְוֵית בּוֹ; אֲבָל אָסוּר לְקָרְבוֹ אֶל הָאֵשׁ לְמָקוֹם שֶׁיָּכוֹל לְהִתְחַמֵּם שֶׁתְּהֵא הַיָּד סוֹלֶדֶת בּוֹ, וַאֲפִלּוּ לְהַנִּיחַ בּוֹ שָׁעָה קְטַנָּה שֶׁתָּפִיג צִנָּתוֹ, אָסוּר כֵּיוָן שֶׁיָּכוֹל לְהִתְבַּשֵּׁל שָׁם. {הַגָּה: וְהוּא הַדִּין בְּפֵרוֹת אוֹ שְׁאָר דְּבָרִים הַנֶּאֱכָלִים כְּמוֹת שֶׁהֵן חַיִּין (מָרְדְּכַי פ׳ כִּירָה) וְעַיֵּן לְעֵיל סִימָן רנ״ד.}</w:t>
      </w:r>
    </w:p>
    <w:p>
      <w:pPr>
        <w:spacing w:after="180" w:before="40"/>
      </w:pPr>
      <w:r>
        <w:rPr>
          <w:rFonts w:ascii="Arial" w:cs="Arial" w:eastAsia="Arial" w:hAnsi="Arial"/>
          <w:sz w:val="22"/>
          <w:szCs w:val="22"/>
        </w:rPr>
        <w:t xml:space="preserve">(14) It is permitted to place a small pitcher water or another dry item near the fire in order to remove its chill, provided that it is placed far enough from the fire that it cannot become yad soledet bo.</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(לז) הנאכלין כמות שהן חיין. פירוש אף על פי כן אסור ליתנן סמוך לאש אבל רחוק מהאש אפילו דבר שאין נאכל כמות שהוא חי שרי ולפי זה אסור ליתן אלונטית או כלי עופרת סמוך לאש לחממו אם הוא קרוב כל כך שיכול להתיך שם או לשרוף עיין מה שכתוב סס״ג ויש לדחות דהתם לא ניחא ליה שישרוף או שיתיך והוי דבר שאין מתכוין:</w:t>
      </w:r>
    </w:p>
    <w:p>
      <w:pPr>
        <w:spacing w:after="160" w:before="20"/>
      </w:pPr>
      <w:r>
        <w:rPr>
          <w:rFonts w:ascii="Arial" w:cs="Arial" w:eastAsia="Arial" w:hAnsi="Arial"/>
          <w:sz w:val="21"/>
          <w:szCs w:val="21"/>
        </w:rPr>
        <w:t xml:space="preserve">(46) 'And the same applies' — we learn from the above.</w:t>
      </w:r>
    </w:p>
    <w:p>
      <w:pPr>
        <w:bidi/>
        <w:spacing w:after="40" w:before="120"/>
      </w:pPr>
      <w:r>
        <w:rPr>
          <w:rFonts w:ascii="David" w:cs="David" w:eastAsia="David" w:hAnsi="David"/>
          <w:sz w:val="22"/>
          <w:szCs w:val="22"/>
        </w:rPr>
        <w:t xml:space="preserve">(מה) ס״יד אבל אסור כו׳ – ואפילו ירושלמי כנ״ל ובגמ׳ כגי׳ הגאונים וש״מ הפשרו לא זהו בישולו ואפ״ה אסור ושם מ״ח א׳ וכפי׳ התוס׳ ד״ה מ״ש:</w:t>
      </w:r>
    </w:p>
    <w:p>
      <w:pPr>
        <w:spacing w:after="160" w:before="20"/>
      </w:pPr>
      <w:r>
        <w:rPr>
          <w:rFonts w:ascii="Arial" w:cs="Arial" w:eastAsia="Arial" w:hAnsi="Arial"/>
          <w:sz w:val="21"/>
          <w:szCs w:val="21"/>
        </w:rPr>
        <w:t xml:space="preserve">(88) 'In a matter that he cannot, etc.' — meaning even if the water and liquids were left there for a long time they would not become warm enough.</w:t>
      </w:r>
    </w:p>
    <w:p>
      <w:pPr>
        <w:bidi/>
        <w:spacing w:after="40" w:before="120"/>
      </w:pPr>
      <w:r>
        <w:rPr>
          <w:rFonts w:ascii="David" w:cs="David" w:eastAsia="David" w:hAnsi="David"/>
          <w:sz w:val="22"/>
          <w:szCs w:val="22"/>
        </w:rPr>
        <w:t xml:space="preserve">(מו) וה״ה – נלמד מהנ״ל:</w:t>
      </w:r>
    </w:p>
    <w:p>
      <w:pPr>
        <w:spacing w:after="160" w:before="20"/>
      </w:pPr>
      <w:r>
        <w:rPr>
          <w:rFonts w:ascii="Arial" w:cs="Arial" w:eastAsia="Arial" w:hAnsi="Arial"/>
          <w:sz w:val="21"/>
          <w:szCs w:val="21"/>
        </w:rPr>
        <w:t xml:space="preserve">(89) 'Meaning a place where one's stomach, etc.' — for we cannot estimate by hand, since some people recoil from minimal heat and others do not.</w:t>
      </w:r>
    </w:p>
    <w:p>
      <w:pPr>
        <w:bidi/>
        <w:spacing w:after="40" w:before="120"/>
      </w:pPr>
      <w:r>
        <w:rPr>
          <w:rFonts w:ascii="David" w:cs="David" w:eastAsia="David" w:hAnsi="David"/>
          <w:sz w:val="22"/>
          <w:szCs w:val="22"/>
        </w:rPr>
        <w:t xml:space="preserve">(פח) בענין שאינו יכול וכו׳ – היינו שאפי׳ אם יעמדו שם המים והמשקין זמן מרובה לא יתחממו כ״כ:</w:t>
      </w:r>
    </w:p>
    <w:p>
      <w:pPr>
        <w:spacing w:after="160" w:before="20"/>
      </w:pPr>
      <w:r>
        <w:rPr>
          <w:rFonts w:ascii="Arial" w:cs="Arial" w:eastAsia="Arial" w:hAnsi="Arial"/>
          <w:sz w:val="21"/>
          <w:szCs w:val="21"/>
        </w:rPr>
        <w:t xml:space="preserve">(90) 'Since it can, etc.' — and we are concerned lest he forget to remove it.</w:t>
      </w:r>
    </w:p>
    <w:p>
      <w:pPr>
        <w:bidi/>
        <w:spacing w:after="40" w:before="120"/>
      </w:pPr>
      <w:r>
        <w:rPr>
          <w:rFonts w:ascii="David" w:cs="David" w:eastAsia="David" w:hAnsi="David"/>
          <w:sz w:val="22"/>
          <w:szCs w:val="22"/>
        </w:rPr>
        <w:t xml:space="preserve">(פט) דהיינו מקום שכריסו וכו׳ – דלא נוכל לשער ביד דיש שסולד מרתיחה מועטת ויש שאינו סולד:</w:t>
      </w:r>
    </w:p>
    <w:p>
      <w:pPr>
        <w:spacing w:after="160" w:before="20"/>
      </w:pPr>
      <w:r>
        <w:rPr>
          <w:rFonts w:ascii="Arial" w:cs="Arial" w:eastAsia="Arial" w:hAnsi="Arial"/>
          <w:sz w:val="21"/>
          <w:szCs w:val="21"/>
        </w:rPr>
        <w:t xml:space="preserve">(91) 'And the same applies to fruits' — meaning it is forbidden to place them in a warm place to remove their chill lest he forget until they roast.</w:t>
      </w:r>
    </w:p>
    <w:p>
      <w:pPr>
        <w:bidi/>
        <w:spacing w:after="40" w:before="120"/>
      </w:pPr>
      <w:r>
        <w:rPr>
          <w:rFonts w:ascii="David" w:cs="David" w:eastAsia="David" w:hAnsi="David"/>
          <w:sz w:val="22"/>
          <w:szCs w:val="22"/>
        </w:rPr>
        <w:t xml:space="preserve">(צ) כיון שיכול וכו׳ – וחיישינן דילמא מישתלי ליטלו:</w:t>
      </w:r>
    </w:p>
    <w:p>
      <w:pPr>
        <w:spacing w:after="160" w:before="20"/>
      </w:pPr>
      <w:r>
        <w:rPr>
          <w:rFonts w:ascii="Arial" w:cs="Arial" w:eastAsia="Arial" w:hAnsi="Arial"/>
          <w:sz w:val="21"/>
          <w:szCs w:val="21"/>
        </w:rPr>
        <w:t xml:space="preserve">(83) 'To remove their chill' — meaning to thaw them. And there is no prohibition of cooking until they reach yad soledet bo.</w:t>
      </w:r>
    </w:p>
    <w:p>
      <w:pPr>
        <w:bidi/>
        <w:spacing w:after="40" w:before="120"/>
      </w:pPr>
      <w:r>
        <w:rPr>
          <w:rFonts w:ascii="David" w:cs="David" w:eastAsia="David" w:hAnsi="David"/>
          <w:sz w:val="22"/>
          <w:szCs w:val="22"/>
        </w:rPr>
        <w:t xml:space="preserve">(צא) וה״ה בפירות – היינו שאסור להניחן במקום החום להפיג צינתן פן ישכח עד שיצלו ואף שנאכלין כמות שהן חיין ג״כ אסור דשייך בהן שם בישול שהם משתבחין עי״ז אבל ליתנן רחוק מהאש אפי׳ דבר שאין נאכל כמות שהוא חי שרי. ומ״מ מותר ליתן אלונטית וכלי עופרת סמוך לאש לחממו [היינו שיש בהכלי תבשיל שלא נצטנן ורוצה שיהיה חם] אף אם הוא קרוב כ״כ עד שיוכל הכלי להיות ניתך שם או לשרוף האלונטית דכיון דלא ניחא ליה בהכי הוי דבר שאין מתכוין וגם מסתמא לא ישכח ויזהר הרבה ליקח אותו משם קודם שיתיך או ישרוף:</w:t>
      </w:r>
    </w:p>
    <w:p>
      <w:pPr>
        <w:spacing w:after="160" w:before="20"/>
      </w:pPr>
      <w:r>
        <w:rPr>
          <w:rFonts w:ascii="Arial" w:cs="Arial" w:eastAsia="Arial" w:hAnsi="Arial"/>
          <w:sz w:val="21"/>
          <w:szCs w:val="21"/>
        </w:rPr>
        <w:t xml:space="preserve">(84) 'Becomes yad soledet bo' — here the Mechaber defines what yad soledet bo means. According to the poskim this is approximately 40-45 degrees Celsius.</w:t>
      </w:r>
    </w:p>
    <w:p>
      <w:pPr>
        <w:bidi/>
        <w:spacing w:after="40" w:before="120"/>
      </w:pPr>
      <w:r>
        <w:rPr>
          <w:rFonts w:ascii="David" w:cs="David" w:eastAsia="David" w:hAnsi="David"/>
          <w:sz w:val="22"/>
          <w:szCs w:val="22"/>
        </w:rPr>
        <w:t xml:space="preserve">(פג) להפיג צינתן – כלומר שיפשירו. ואין איסור בישול עד שמגיעים לחום שהיד סולדת בו.</w:t>
      </w:r>
    </w:p>
    <w:p>
      <w:pPr>
        <w:spacing w:after="160" w:before="20"/>
      </w:pPr>
      <w:r>
        <w:rPr>
          <w:rFonts w:ascii="Arial" w:cs="Arial" w:eastAsia="Arial" w:hAnsi="Arial"/>
          <w:sz w:val="21"/>
          <w:szCs w:val="21"/>
        </w:rPr>
        <w:t xml:space="preserve">(85) 'Forbidden' — the Sages decreed not to warm water in a place where it can reach a forbidden temperature, even though the warming itself has no prohibition of cooking.</w:t>
      </w:r>
    </w:p>
    <w:p>
      <w:pPr>
        <w:bidi/>
        <w:spacing w:after="40" w:before="120"/>
      </w:pPr>
      <w:r>
        <w:rPr>
          <w:rFonts w:ascii="David" w:cs="David" w:eastAsia="David" w:hAnsi="David"/>
          <w:sz w:val="22"/>
          <w:szCs w:val="22"/>
        </w:rPr>
        <w:t xml:space="preserve">(פד) נכווית בו – כאן מגדיר המחבר מהו ״יד סולדת בו״. כאמור בהקדמה, שיערו הפוסקים חום זה ב-45-40 מעלות צלזיוס.</w:t>
      </w:r>
    </w:p>
    <w:p>
      <w:pPr>
        <w:spacing w:after="160" w:before="20"/>
      </w:pPr>
      <w:r>
        <w:rPr>
          <w:rFonts w:ascii="Arial" w:cs="Arial" w:eastAsia="Arial" w:hAnsi="Arial"/>
          <w:sz w:val="21"/>
          <w:szCs w:val="21"/>
        </w:rPr>
        <w:t xml:space="preserve">(86) 'To cook there' — lest he unintentionally leave the water there for the amount of time it takes to cook. And they decreed this even though it is a rabbinic prohibition, since by Torah law there is no prohibition of cooking close to a fire but not on it.</w:t>
      </w:r>
    </w:p>
    <w:p>
      <w:pPr>
        <w:bidi/>
        <w:spacing w:after="40" w:before="120"/>
      </w:pPr>
      <w:r>
        <w:rPr>
          <w:rFonts w:ascii="David" w:cs="David" w:eastAsia="David" w:hAnsi="David"/>
          <w:sz w:val="22"/>
          <w:szCs w:val="22"/>
        </w:rPr>
        <w:t xml:space="preserve">(פה) אסור – חכמים גזרו שלא להפיג צינתם של מים במקום שהם יכולים להגיע לחום אסור, אפילו שבעצם הההפשרה אין איסור בישול.</w:t>
      </w:r>
    </w:p>
    <w:p>
      <w:pPr>
        <w:spacing w:after="160" w:before="20"/>
      </w:pPr>
      <w:r>
        <w:rPr>
          <w:rFonts w:ascii="Arial" w:cs="Arial" w:eastAsia="Arial" w:hAnsi="Arial"/>
          <w:sz w:val="21"/>
          <w:szCs w:val="21"/>
        </w:rPr>
        <w:t xml:space="preserve">(87) 'As they are raw' — and cooking applies to them even though they are fit to eat without cooking, since cooking changes them significantly.</w:t>
      </w:r>
    </w:p>
    <w:p>
      <w:pPr>
        <w:bidi/>
        <w:spacing w:after="40" w:before="120"/>
      </w:pPr>
      <w:r>
        <w:rPr>
          <w:rFonts w:ascii="David" w:cs="David" w:eastAsia="David" w:hAnsi="David"/>
          <w:sz w:val="22"/>
          <w:szCs w:val="22"/>
        </w:rPr>
        <w:t xml:space="preserve">(פו) להתבשל שם – שמא בטעות ישאיר שם את המים לשיעור זמן שהם מתבשלים בו. וגזרו בכך אף שזהו איסור מדרבנן, שמהתורה אין איסור אלא ברתיחה.</w:t>
      </w:r>
    </w:p>
    <w:p>
      <w:pPr>
        <w:spacing w:after="160" w:before="20"/>
      </w:pPr>
      <w:r>
        <w:rPr>
          <w:rFonts w:ascii="Arial" w:cs="Arial" w:eastAsia="Arial" w:hAnsi="Arial"/>
          <w:sz w:val="21"/>
          <w:szCs w:val="21"/>
        </w:rPr>
        <w:t xml:space="preserve">(88) 'Siman 254 seif 4' — where it is explained that leaving raw fruits on erev Shabbos close to a pot is easier than other foods, since as they are fit to eat raw the Sages were lenient regarding the decree of lest he come to rake.</w:t>
      </w:r>
    </w:p>
    <w:p>
      <w:pPr>
        <w:bidi/>
        <w:spacing w:after="40" w:before="120"/>
      </w:pPr>
      <w:r>
        <w:rPr>
          <w:rFonts w:ascii="David" w:cs="David" w:eastAsia="David" w:hAnsi="David"/>
          <w:sz w:val="22"/>
          <w:szCs w:val="22"/>
        </w:rPr>
        <w:t xml:space="preserve">(פז) כמות שהן חיים – ושייך בהם בישול אף שראויים לאכילה גם ללא בישול, כיון שהבישול משנה אותם בצורה משמעותית. וכן במים, שראויים לשתייה גם ללא חימום. לכן גם פירות חיים אין לקרב לאש כדי להפיג צינתם במקום שהם יכולים להתבשל בו; ונראה שכך הדין בשאר מאכלים שאינם מבושלים.</w:t>
      </w:r>
    </w:p>
    <w:p>
      <w:pPr>
        <w:spacing w:after="160" w:before="20"/>
      </w:pPr>
      <w:r>
        <w:rPr>
          <w:rFonts w:ascii="Arial" w:cs="Arial" w:eastAsia="Arial" w:hAnsi="Arial"/>
          <w:sz w:val="21"/>
          <w:szCs w:val="21"/>
        </w:rPr>
        <w:t xml:space="preserve">(Paz) As much as they are raw (in the context of raw meat) - and cooking is associated with them even though they are worthy eating even without cooking, since cooking changes them in a significant way. as a healthy person as in water, which is suitable for drinking even without heating. Therefore, even raw fruits should not be brought close to the fire to cool them down in a place where they can be cooked; And it seems that this is the case with other foods that are not cooked.</w:t>
      </w:r>
    </w:p>
    <w:p>
      <w:pPr>
        <w:bidi/>
        <w:spacing w:after="40" w:before="120"/>
      </w:pPr>
      <w:r>
        <w:rPr>
          <w:rFonts w:ascii="David" w:cs="David" w:eastAsia="David" w:hAnsi="David"/>
          <w:sz w:val="22"/>
          <w:szCs w:val="22"/>
        </w:rPr>
        <w:t xml:space="preserve">(פח) רנ״ד סעיף ד – שם מבואר שהשהיית פרות חיים בערב שבת סמוך לקדירה קל יותר משאר מאכלים, שהואיל וראויים להיאכל חיים, הקלו בהם חכמים בגזירת ״שמא יחתה״.</w:t>
      </w:r>
    </w:p>
    <w:p>
      <w:pPr>
        <w:spacing w:after="160" w:before="20"/>
      </w:pPr>
      <w:r>
        <w:rPr>
          <w:rFonts w:ascii="Arial" w:cs="Arial" w:eastAsia="Arial" w:hAnsi="Arial"/>
          <w:sz w:val="21"/>
          <w:szCs w:val="21"/>
        </w:rPr>
        <w:t xml:space="preserve">(Fah) RN (4) section (4) - where it is explained that the resting live cows on Shabbos eve near the pot is easier than other foods, since they are worthy being eaten raw (in the context of raw meat), the Sages made it easier for them in the by rabbinic law by rabbinic law by rabbinic law by rabbinic law by rabbinic law by rabbinic law by rabbinic law decree "lest they eat".</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להפיג צינתן – ואפילו כדי להפשיר נמי מותר כיון שלא יוכל להגיע לשיעור יס״ב [תוס׳ בדף מ״ח ע״א]:</w:t>
      </w:r>
    </w:p>
    <w:p>
      <w:pPr>
        <w:spacing w:after="160" w:before="20"/>
      </w:pPr>
      <w:r>
        <w:rPr>
          <w:rFonts w:ascii="Arial" w:cs="Arial" w:eastAsia="Arial" w:hAnsi="Arial"/>
          <w:sz w:val="21"/>
          <w:szCs w:val="21"/>
        </w:rPr>
        <w:t xml:space="preserve">To cool down - and even to thaw Nami is permitted since he won't be able to make it to the 17th lesson [Tos. on page (18) it is impossible]:</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2026-05-13T21:54:40.555Z</dcterms:created>
  <dcterms:modified xsi:type="dcterms:W3CDTF">2026-05-13T21:54:40.555Z</dcterms:modified>
</cp:coreProperties>
</file>

<file path=docProps/custom.xml><?xml version="1.0" encoding="utf-8"?>
<Properties xmlns="http://schemas.openxmlformats.org/officeDocument/2006/custom-properties" xmlns:vt="http://schemas.openxmlformats.org/officeDocument/2006/docPropsVTypes"/>
</file>