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sz w:val="38"/>
          <w:szCs w:val="38"/>
        </w:rPr>
        <w:t xml:space="preserve">Orach Chayyim 318 — Din HaMevashel B'Shabbat</w:t>
      </w:r>
    </w:p>
    <w:p>
      <w:pPr>
        <w:spacing w:after="400" w:before="0"/>
        <w:jc w:val="center"/>
      </w:pPr>
      <w:r>
        <w:rPr>
          <w:rFonts w:ascii="Arial" w:cs="Arial" w:eastAsia="Arial" w:hAnsi="Arial"/>
          <w:color w:val="777777"/>
          <w:sz w:val="20"/>
          <w:szCs w:val="20"/>
        </w:rPr>
        <w:t xml:space="preserve">Sources: Mechaber | Rama | Tur | Magen Avraham | Taz | Biur Halacha | Shulchan Aruch K'pshuto</w:t>
      </w:r>
    </w:p>
    <w:p>
      <w:pPr>
        <w:pBdr>
          <w:top w:val="single" w:color="2E75B6" w:sz="8"/>
          <w:bottom w:val="single" w:color="2E75B6" w:sz="8"/>
        </w:pBdr>
        <w:spacing w:after="160" w:before="440"/>
      </w:pPr>
      <w:r>
        <w:rPr>
          <w:rFonts w:ascii="Arial" w:cs="Arial" w:eastAsia="Arial" w:hAnsi="Arial"/>
          <w:b/>
          <w:bCs/>
          <w:color w:val="2E75B6"/>
          <w:sz w:val="32"/>
          <w:szCs w:val="32"/>
        </w:rPr>
        <w:t xml:space="preserve">Seif 15</w:t>
      </w:r>
    </w:p>
    <w:p>
      <w:pPr>
        <w:pBdr>
          <w:bottom w:val="single" w:color="999999" w:sz="4"/>
        </w:pBdr>
        <w:spacing w:after="80" w:before="300"/>
      </w:pPr>
      <w:r>
        <w:rPr>
          <w:rFonts w:ascii="Arial" w:cs="Arial" w:eastAsia="Arial" w:hAnsi="Arial"/>
          <w:b/>
          <w:bCs/>
          <w:color w:val="1A3A5C"/>
          <w:sz w:val="26"/>
          <w:szCs w:val="26"/>
        </w:rPr>
        <w:t xml:space="preserve">Mechaber and Rama</w:t>
      </w:r>
    </w:p>
    <w:p>
      <w:pPr>
        <w:bidi/>
        <w:spacing w:after="60" w:before="80"/>
      </w:pPr>
      <w:r>
        <w:rPr>
          <w:rFonts w:ascii="David" w:cs="David" w:eastAsia="David" w:hAnsi="David"/>
          <w:sz w:val="24"/>
          <w:szCs w:val="24"/>
        </w:rPr>
        <w:t xml:space="preserve">(טו) דָּבָר שֶׁנִּתְבַּשֵּׁל כָּל צָרְכּוֹ וְהוּא יָבֵשׁ שֶׁאֵין בּוֹ מָרָק, מֻתָּר לְהַנִּיחוֹ כְּנֶגֶד הַמְּדוּרָה אֲפִלּוּ בְּמָקוֹם שֶׁהַיָּד סוֹלֶדֶת בּוֹ. {הַגָּה: וַאֲפִלּוּ נִצְטַנֵּן כְּבָר. אֲבָל אִם הוּא רוֹתֵחַ, אֲפִלּוּ בְּדָבָר שֶׁיֵּשׁ בּוֹ מָרָק, מֻתָּר. וְיֵשׁ מְקִלִּין לוֹמַר דְּכָל שֶׁאֵין נוֹתְנוֹ עַל גַּבֵּי הָאֵשׁ אוֹ הַכִּירָה מַמָּשׁ רַק סָמוּךְ לוֹ, אֲפִלּוּ נִצְטַנֵּן, מֻתָּר (הַמַּגִּיד פֶּרֶק כ״ב). וְנָהֲגוּ לְהָקֵל בָּזֶה אִם לֹא נִצְטַנֵּן לְגַמְרֵי, וּכְמוֹ שֶׁכָּתַבְתִּי לְעֵיל סי׳ רנ״ג.}</w:t>
      </w:r>
    </w:p>
    <w:p>
      <w:pPr>
        <w:spacing w:after="180" w:before="40"/>
      </w:pPr>
      <w:r>
        <w:rPr>
          <w:rFonts w:ascii="Arial" w:cs="Arial" w:eastAsia="Arial" w:hAnsi="Arial"/>
          <w:sz w:val="22"/>
          <w:szCs w:val="22"/>
        </w:rPr>
        <w:t xml:space="preserve">(38) 'It is permitted to place it opposite the fire' — for it is comparable to leaving it on a stove, which is permitted; and even though nothing intervenes between it and the fire, since the Sages required moving it somewhat away from the fire there is a recognizable distinction and he will not come to rake the coals — the Rosh.</w:t>
      </w:r>
    </w:p>
    <w:p>
      <w:pPr>
        <w:pBdr>
          <w:bottom w:val="single" w:color="999999" w:sz="4"/>
        </w:pBdr>
        <w:spacing w:after="80" w:before="300"/>
      </w:pPr>
      <w:r>
        <w:rPr>
          <w:rFonts w:ascii="Arial" w:cs="Arial" w:eastAsia="Arial" w:hAnsi="Arial"/>
          <w:b/>
          <w:bCs/>
          <w:color w:val="1A3A5C"/>
          <w:sz w:val="26"/>
          <w:szCs w:val="26"/>
        </w:rPr>
        <w:t xml:space="preserve">Tur</w:t>
      </w:r>
    </w:p>
    <w:p>
      <w:pPr>
        <w:bidi/>
        <w:spacing w:after="40" w:before="120"/>
      </w:pPr>
      <w:r>
        <w:rPr>
          <w:rFonts w:ascii="David" w:cs="David" w:eastAsia="David" w:hAnsi="David"/>
          <w:sz w:val="22"/>
          <w:szCs w:val="22"/>
        </w:rPr>
        <w:t xml:space="preserve">(לח) מותר להניחו כנגד המדורה. דדמי לסמיכה בכירה דשרי ואף על גב שאין דבר מפסיק בינו לבין האש כיון שהצריכו החכמים להרחיק קצת מן המדורה אית ליה היכרא ולא אתו לאחתויי, הרא״ש:</w:t>
      </w:r>
    </w:p>
    <w:p>
      <w:pPr>
        <w:spacing w:after="160" w:before="20"/>
      </w:pPr>
      <w:r>
        <w:rPr>
          <w:rFonts w:ascii="Arial" w:cs="Arial" w:eastAsia="Arial" w:hAnsi="Arial"/>
          <w:sz w:val="21"/>
          <w:szCs w:val="21"/>
        </w:rPr>
        <w:t xml:space="preserve">(Leh) It is permitted to place it against the fire. Dedmi to a high-ranking ordination, even on the back that there is nothing stopping him from the fire, since the sages had to move a little further from the fire with Lia Hikrah and not with him to my sister, the Rabbi:</w:t>
      </w:r>
    </w:p>
    <w:p>
      <w:pPr>
        <w:bidi/>
        <w:spacing w:after="40" w:before="120"/>
      </w:pPr>
      <w:r>
        <w:rPr>
          <w:rFonts w:ascii="David" w:cs="David" w:eastAsia="David" w:hAnsi="David"/>
          <w:sz w:val="22"/>
          <w:szCs w:val="22"/>
        </w:rPr>
        <w:t xml:space="preserve">(לט) אפי׳ נצטנן מותר. דס״ל דאין בישול אחר בישול אפי׳ ברוטב ונצטנן:</w:t>
      </w:r>
    </w:p>
    <w:p>
      <w:pPr>
        <w:spacing w:after="160" w:before="20"/>
      </w:pPr>
      <w:r>
        <w:rPr>
          <w:rFonts w:ascii="Arial" w:cs="Arial" w:eastAsia="Arial" w:hAnsi="Arial"/>
          <w:sz w:val="21"/>
          <w:szCs w:val="21"/>
        </w:rPr>
        <w:t xml:space="preserve">(39) If it did not cool completely, it is permitted. The reason is that there is no prohibition cooking after cooking (for fully cooked items) even in a food with broth, as long as it did not fully cool.</w:t>
      </w:r>
    </w:p>
    <w:p>
      <w:pPr>
        <w:bidi/>
        <w:spacing w:after="40" w:before="120"/>
      </w:pPr>
      <w:r>
        <w:rPr>
          <w:rFonts w:ascii="David" w:cs="David" w:eastAsia="David" w:hAnsi="David"/>
          <w:sz w:val="22"/>
          <w:szCs w:val="22"/>
        </w:rPr>
        <w:t xml:space="preserve">(לה) נצטנן מותר – דס״ל דאין בישול אחר בישול אפי׳ ברוטב ונצטנן:</w:t>
      </w:r>
    </w:p>
    <w:p>
      <w:pPr>
        <w:spacing w:after="160" w:before="20"/>
      </w:pPr>
      <w:r>
        <w:rPr>
          <w:rFonts w:ascii="Arial" w:cs="Arial" w:eastAsia="Arial" w:hAnsi="Arial"/>
          <w:sz w:val="21"/>
          <w:szCs w:val="21"/>
        </w:rPr>
        <w:t xml:space="preserve">(40) If it did not cool completely. The reason is that there is no prohibition cooking after cooking (for fully cooked items) even in a food with broth, as long as it has not fully cooled.</w:t>
      </w:r>
    </w:p>
    <w:p>
      <w:pPr>
        <w:bidi/>
        <w:spacing w:after="40" w:before="120"/>
      </w:pPr>
      <w:r>
        <w:rPr>
          <w:rFonts w:ascii="David" w:cs="David" w:eastAsia="David" w:hAnsi="David"/>
          <w:sz w:val="22"/>
          <w:szCs w:val="22"/>
        </w:rPr>
        <w:t xml:space="preserve">(מז) ס״טו דבר – נלמד משמן למ״ד אין בו משום בישול וע׳ ס״ד וס״ח:</w:t>
      </w:r>
    </w:p>
    <w:p>
      <w:pPr>
        <w:spacing w:after="160" w:before="20"/>
      </w:pPr>
      <w:r>
        <w:rPr>
          <w:rFonts w:ascii="Arial" w:cs="Arial" w:eastAsia="Arial" w:hAnsi="Arial"/>
          <w:sz w:val="21"/>
          <w:szCs w:val="21"/>
        </w:rPr>
        <w:t xml:space="preserve">(Mz) s'tu devar - we learn from oil to md there is no meaning cooking in it and sd sd and sah:</w:t>
      </w:r>
    </w:p>
    <w:p>
      <w:pPr>
        <w:bidi/>
        <w:spacing w:after="40" w:before="120"/>
      </w:pPr>
      <w:r>
        <w:rPr>
          <w:rFonts w:ascii="David" w:cs="David" w:eastAsia="David" w:hAnsi="David"/>
          <w:sz w:val="22"/>
          <w:szCs w:val="22"/>
        </w:rPr>
        <w:t xml:space="preserve">(מח) ואפי׳ כו׳ אבל – כמ״ש ס״ד:</w:t>
      </w:r>
    </w:p>
    <w:p>
      <w:pPr>
        <w:spacing w:after="160" w:before="20"/>
      </w:pPr>
      <w:r>
        <w:rPr>
          <w:rFonts w:ascii="Arial" w:cs="Arial" w:eastAsia="Arial" w:hAnsi="Arial"/>
          <w:sz w:val="21"/>
          <w:szCs w:val="21"/>
        </w:rPr>
        <w:t xml:space="preserve">(מח) ואפי׳ כו׳ אבל – כמ״ש ס״ד:</w:t>
      </w:r>
    </w:p>
    <w:p>
      <w:pPr>
        <w:bidi/>
        <w:spacing w:after="40" w:before="120"/>
      </w:pPr>
      <w:r>
        <w:rPr>
          <w:rFonts w:ascii="David" w:cs="David" w:eastAsia="David" w:hAnsi="David"/>
          <w:sz w:val="22"/>
          <w:szCs w:val="22"/>
        </w:rPr>
        <w:t xml:space="preserve">(ו) נצטנן ע׳ בה״ט וע׳ בר״י בשם מהר״י טראני בתשוב׳ כת״י מה שנהגו בקושטאנטינא שהשפחות מניחות המילאייני׳ והתרנול׳ לחמם תוך התנור בשחרית שבת קודם אכילה ועתה ערערו ממ״ש הב״י סי׳ רנ״ג נ״ל מאחר שנהגו איסור כו׳ ונ״ל היתר ממקום אחר כו׳ אבל אלו המולייאני׳ ותרנגולת שאין בהם מרק לכ״ע שרי ואין לחלק בין כנגד המדורה לתוך התנור כיון שהתנור שלנו פתחו מן הצד כעין בית הוא ואין שם מדורה גרע טפי מכנגד המדורה ומנתינתה ככלי א׳ ומה שסותמין התנור כדי לשמור חומו עושין כדי שלא יכנס אויר קר ויצטנן עכ״ל ובשו״ת מים רבים סי׳ כ״א מתיר בכה״ג לסמוך אל התנור אף אם יש מעט שומן קרוש אבל מרק דרבה אסור כיון שהתבשיל מצטמק בשבת וגם מבואר לדעתו לאסור אף שנתבשל כ״צ ומצטמק ורע לו דחמה תוך התנור או תוך הכירה אפי׳ גרופה דמחזי כמבשל כיון שכן דרך בישולו ושאינו סמוך לאש או נגד המדורה שאין כן דרך בישולו ע״ש והמנהג להקל ויש לו על מי שיסמוך בפרט במדינתינו שאין דרך לבשל תוך התנור רק הטמנת חמין לבד ומה שנוהגים לתת המרק עם הבשר בשבת שחרית לחמם היינו רחוק מחום התנור סמוך להדף שסותמין בו ששם אינו מתחמם כ״כ שתהיה היס״ב אבל במקום שהיס״ב אסור כיון שיש בו מרק ונצטנן לגמרי ועיין לעיל סימן רנ״ג ס״ק ט״ז בשם הט״ז. ועיין בשו״ת כנה״ג סי׳ י״ז שמותר לתת הקאווי שנתבשל כנגד המדורה אפילו ישראל אבל לתתו ע״ג האש אסור אפי׳ ע״י עכו״ם ואפי׳ עושה מעצמו ע״ש:</w:t>
      </w:r>
    </w:p>
    <w:p>
      <w:pPr>
        <w:spacing w:after="160" w:before="20"/>
      </w:pPr>
      <w:r>
        <w:rPr>
          <w:rFonts w:ascii="Arial" w:cs="Arial" w:eastAsia="Arial" w:hAnsi="Arial"/>
          <w:sz w:val="21"/>
          <w:szCs w:val="21"/>
        </w:rPr>
        <w:t xml:space="preserve">(f) Nttanan by A. Bhat and A. a healthy person in the name Mahari Tarani in the answer to the text what they used in Kushtantina that the maids put the milayini' and theranol' to sun in the stove at dawn on Shabbos before eating and now they have appealed from the B.C. Sherry and there is no division between against the fire and into the stove, since our stove is opened from the side like a house, and there is no fire. It is explained in his opinion to forbid even if we cook it in the stove and it shrinks and it has a bad fat inside the stove or in the knowledge of a group Damhazi as a cook because it is the way cooking it and it is not near the fire or against the fire that is not the way cooking it because of the custom and it is easy and he has it for those who will trust in particular in our countries there is no way to cook inside the stove only insulating the cooked dish / the cooked dish alone and what is customary to give the cooked dish with the meat on Shabbos morning to sun it we were far from the sun of the stove near the top Let's believe in it that it doesn't sun up as much as the HISV would, but in the place where the HISV is forbidden since there is broth in it and it gets completely cold and refer to the above sign RNG (16) (16) in the name of the 16th. And refer to the Bible as (13) C. (17) that it is permissible to give the kawi that is cooked against the fire, even a Jew / the a Jew, but to give it against the fire is forbidden Afi' by non-Jew / a non-Jew and Afi' makes himself A.S.:</w:t>
      </w:r>
    </w:p>
    <w:p>
      <w:pPr>
        <w:bidi/>
        <w:spacing w:after="40" w:before="120"/>
      </w:pPr>
      <w:r>
        <w:rPr>
          <w:rFonts w:ascii="David" w:cs="David" w:eastAsia="David" w:hAnsi="David"/>
          <w:sz w:val="22"/>
          <w:szCs w:val="22"/>
        </w:rPr>
        <w:t xml:space="preserve">(צב) דבר שנתבשל וכו׳ – הטעם דכיון שכבר נתבשל שוב אין בזה משום חשש בישול ומיהו על האש ממש אסור מדרבנן מפני שנראה כמבשל אבל בזה שמעמידו כנגד המדורה שאין דרך בני אדם ברוב פעמים לבשל כך אפי׳ איסור דרבנן ליכא [הרשב״א] ועיין מה שכתבנו לקמיה בשם הרא״ש שסובר דסמוך למדורה ג״כ אסור אלא צריך להרחיק קצת:</w:t>
      </w:r>
    </w:p>
    <w:p>
      <w:pPr>
        <w:spacing w:after="160" w:before="20"/>
      </w:pPr>
      <w:r>
        <w:rPr>
          <w:rFonts w:ascii="Arial" w:cs="Arial" w:eastAsia="Arial" w:hAnsi="Arial"/>
          <w:sz w:val="21"/>
          <w:szCs w:val="21"/>
        </w:rPr>
        <w:t xml:space="preserve">(Tzv) Something that will be cooked, etc. - the point is that we will already be cooked again, there is no fear cooking in this, and whoever is on the fire is really forbidden to provoke because it appears to be cooking, but in the fact that it is placed against the fire that there is no human way in most cases to cook in this way, Efi' the prohibition urging against the fire [Hashab'a] and refer to what we wrote to Kamiya in the name of the Rabbi who considers that near the fire is not permitted, but it should be moved a little further:</w:t>
      </w:r>
    </w:p>
    <w:p>
      <w:pPr>
        <w:bidi/>
        <w:spacing w:after="40" w:before="120"/>
      </w:pPr>
      <w:r>
        <w:rPr>
          <w:rFonts w:ascii="David" w:cs="David" w:eastAsia="David" w:hAnsi="David"/>
          <w:sz w:val="22"/>
          <w:szCs w:val="22"/>
        </w:rPr>
        <w:t xml:space="preserve">(צג) כל צרכו והוא יבש – דאי לא הוי כל צרכו אפי׳ אם היה דבר יבש והוא רותח יש בו עוד משום בישול כנ״ל בס״ד וממילא אסור להעמידו במקום שהיס״ב ואי הוי דבר לח אפי׳ בכל צרכו יש בו עוד משום בישול אם נצטנן לפי מה שפסק המחבר בריש ס״ד:</w:t>
      </w:r>
    </w:p>
    <w:p>
      <w:pPr>
        <w:spacing w:after="160" w:before="20"/>
      </w:pPr>
      <w:r>
        <w:rPr>
          <w:rFonts w:ascii="Arial" w:cs="Arial" w:eastAsia="Arial" w:hAnsi="Arial"/>
          <w:sz w:val="21"/>
          <w:szCs w:val="21"/>
        </w:rPr>
        <w:t xml:space="preserve">(93) Fully cooked and dry. It need not be fully consumed. Even if it is dry and cooking, there may still be concern cooking as explained above. In any case, it is forbidden to place it in a place where it appears like cooking.</w:t>
      </w:r>
    </w:p>
    <w:p>
      <w:pPr>
        <w:bidi/>
        <w:spacing w:after="40" w:before="120"/>
      </w:pPr>
      <w:r>
        <w:rPr>
          <w:rFonts w:ascii="David" w:cs="David" w:eastAsia="David" w:hAnsi="David"/>
          <w:sz w:val="22"/>
          <w:szCs w:val="22"/>
        </w:rPr>
        <w:t xml:space="preserve">(צד) כנגד המדורה – נקט נגד המדורה ולא אצל המדורה להורות שצריך להרחיק קצת מן המדורה ולכן לא חיישינן שיבוא לחתות באש דכיון שהצריכו חכמים להרחיק קצת אית ליה הכירא ולא אתי לחתויי [הרא״ש]. וראיתי איזה אחרונים שכתבו דמיירי שהיה עשוי מדורה בפני עצמה אבל כשמדורת עצים הוא בתוך התנור אסור להכניס שם קדירה אפי׳ אם מרחיק קצת מן המדורה כיון שהוא מקום שהיד סולדת בו ולא גרע ממה שמבואר בסימן רנ״ג דאסור להכניס קדרה לכירה כשאינה גרופה דהוא אפי׳ אם אינו מעמידו סמוך להאש. אך אם אינו מעמיד את הקדרה על קרקעית התנור כ״א על איזה כלי המפסיק אז יש להקל וכנ״ל בסימן רנ״ג ס״ג:</w:t>
      </w:r>
    </w:p>
    <w:p>
      <w:pPr>
        <w:spacing w:after="160" w:before="20"/>
      </w:pPr>
      <w:r>
        <w:rPr>
          <w:rFonts w:ascii="Arial" w:cs="Arial" w:eastAsia="Arial" w:hAnsi="Arial"/>
          <w:sz w:val="21"/>
          <w:szCs w:val="21"/>
        </w:rPr>
        <w:t xml:space="preserve">(side) against the fire - he removed action against the fire and not at the fire to order that one should move a little further away from the fire, therefore he did not feel that he should come to be burnt in the fire because the sages should have moved a little further away from it with Lia Hikara and not with me for burning [the Rabbi]. And I saw some recent ones who wrote that it was made of a fire in itself, but when a wood fire is inside the stove, it is forbidden to put a pot there if you move it a little away from the fire, because it is a place where the hand is averse, and it does not detract from what is explained in the R.G. Dassor to put a pot into the furnace when it is not a group, if it is not placed near the fire. But if he does not place the pot on the bottom of the stove (21) on some vessel that stops, then it is necessary to lighten it and so on with the RNG sg sign:</w:t>
      </w:r>
    </w:p>
    <w:p>
      <w:pPr>
        <w:bidi/>
        <w:spacing w:after="40" w:before="120"/>
      </w:pPr>
      <w:r>
        <w:rPr>
          <w:rFonts w:ascii="David" w:cs="David" w:eastAsia="David" w:hAnsi="David"/>
          <w:sz w:val="22"/>
          <w:szCs w:val="22"/>
        </w:rPr>
        <w:t xml:space="preserve">(צה) ואפי׳ נצטנן כבר – לפרש דברי המחבר בא דמיירי בנצטנן ולהכי לא התיר אלא ביבש:</w:t>
      </w:r>
    </w:p>
    <w:p>
      <w:pPr>
        <w:spacing w:after="160" w:before="20"/>
      </w:pPr>
      <w:r>
        <w:rPr>
          <w:rFonts w:ascii="Arial" w:cs="Arial" w:eastAsia="Arial" w:hAnsi="Arial"/>
          <w:sz w:val="21"/>
          <w:szCs w:val="21"/>
        </w:rPr>
        <w:t xml:space="preserve">(tsa) And Efi' Nettanan already - to interpret the author's words Damiri Benttanan came and the most he did not allow except dryly:</w:t>
      </w:r>
    </w:p>
    <w:p>
      <w:pPr>
        <w:bidi/>
        <w:spacing w:after="40" w:before="120"/>
      </w:pPr>
      <w:r>
        <w:rPr>
          <w:rFonts w:ascii="David" w:cs="David" w:eastAsia="David" w:hAnsi="David"/>
          <w:sz w:val="22"/>
          <w:szCs w:val="22"/>
        </w:rPr>
        <w:t xml:space="preserve">(צו) רותח – היינו שהיס״ב:</w:t>
      </w:r>
    </w:p>
    <w:p>
      <w:pPr>
        <w:spacing w:after="160" w:before="20"/>
      </w:pPr>
      <w:r>
        <w:rPr>
          <w:rFonts w:ascii="Arial" w:cs="Arial" w:eastAsia="Arial" w:hAnsi="Arial"/>
          <w:sz w:val="21"/>
          <w:szCs w:val="21"/>
        </w:rPr>
        <w:t xml:space="preserve">(Zo) cooking - we meant that the Hebrew:</w:t>
      </w:r>
    </w:p>
    <w:p>
      <w:pPr>
        <w:bidi/>
        <w:spacing w:after="40" w:before="120"/>
      </w:pPr>
      <w:r>
        <w:rPr>
          <w:rFonts w:ascii="David" w:cs="David" w:eastAsia="David" w:hAnsi="David"/>
          <w:sz w:val="22"/>
          <w:szCs w:val="22"/>
        </w:rPr>
        <w:t xml:space="preserve">(צז) ויש מקילין לומר – פליג אמחבר דס״ל דדוקא כשהוא יבש אבל בדבר לח שנצטנן יש בישול אחר בישול ודעה זו ס״ל דאין בישול אחר בישול בכל גווני ואפי׳ נצטנן לגמרי:</w:t>
      </w:r>
    </w:p>
    <w:p>
      <w:pPr>
        <w:spacing w:after="160" w:before="20"/>
      </w:pPr>
      <w:r>
        <w:rPr>
          <w:rFonts w:ascii="Arial" w:cs="Arial" w:eastAsia="Arial" w:hAnsi="Arial"/>
          <w:sz w:val="21"/>
          <w:szCs w:val="21"/>
        </w:rPr>
        <w:t xml:space="preserve">(96) And there are those who are being lenient. The reason is as I wrote above: when the food is dry, there is no prohibition cooking after cooking (for fully cooked items). But with a wet food that cooled, there is cooking after cooking. This opinion holds that there is no prohibition cooking after cooking (for fully cooked items) in any case, and I will explain this further.</w:t>
      </w:r>
    </w:p>
    <w:p>
      <w:pPr>
        <w:bidi/>
        <w:spacing w:after="40" w:before="120"/>
      </w:pPr>
      <w:r>
        <w:rPr>
          <w:rFonts w:ascii="David" w:cs="David" w:eastAsia="David" w:hAnsi="David"/>
          <w:sz w:val="22"/>
          <w:szCs w:val="22"/>
        </w:rPr>
        <w:t xml:space="preserve">(צח) על גבי האש וכו׳ – דאם נותן ע״ג ממש אף שאין בו איסור דאורייתא לדידהו עכ״פ אסור מדרבנן מפני שנראה כמבשל וגם דאתי לחתות בגחלים:</w:t>
      </w:r>
    </w:p>
    <w:p>
      <w:pPr>
        <w:spacing w:after="160" w:before="20"/>
      </w:pPr>
      <w:r>
        <w:rPr>
          <w:rFonts w:ascii="Arial" w:cs="Arial" w:eastAsia="Arial" w:hAnsi="Arial"/>
          <w:sz w:val="21"/>
          <w:szCs w:val="21"/>
        </w:rPr>
        <w:t xml:space="preserve">(tzah) on top of the fire, etc. - Dam gives a verb literally, even though it does not have a prohibition Torah-level / by Torah law to didhu akp, it is forbidden to durban because it is seen as cooking and also dati to eat with coals:</w:t>
      </w:r>
    </w:p>
    <w:p>
      <w:pPr>
        <w:bidi/>
        <w:spacing w:after="40" w:before="120"/>
      </w:pPr>
      <w:r>
        <w:rPr>
          <w:rFonts w:ascii="David" w:cs="David" w:eastAsia="David" w:hAnsi="David"/>
          <w:sz w:val="22"/>
          <w:szCs w:val="22"/>
        </w:rPr>
        <w:t xml:space="preserve">(צט) אם לא וכו׳ – אף דלדעת המחבר כיון שנצטנן מעט מחמימותו ואין היס״ב שוב יש בו משום בישול וכמו שכתבנו לעיל בס״ד המנהג להקל בזה דסומכין בזה איש מקילין כ״ז שלא נצטנן לגמרי:</w:t>
      </w:r>
    </w:p>
    <w:p>
      <w:pPr>
        <w:spacing w:after="160" w:before="20"/>
      </w:pPr>
      <w:r>
        <w:rPr>
          <w:rFonts w:ascii="Arial" w:cs="Arial" w:eastAsia="Arial" w:hAnsi="Arial"/>
          <w:sz w:val="21"/>
          <w:szCs w:val="21"/>
        </w:rPr>
        <w:t xml:space="preserve">(c) If not, etc. - even though the author did not think so, since he caught a little cold from his sun, and there is no concern for cooking in the Hebrew Bible again, and as we wrote above in the Hebrew Bible, the custom to make it easy is to make a person from Kilin (27) who did not catch a cold completely:</w:t>
      </w:r>
    </w:p>
    <w:p>
      <w:pPr>
        <w:bidi/>
        <w:spacing w:after="40" w:before="120"/>
      </w:pPr>
      <w:r>
        <w:rPr>
          <w:rFonts w:ascii="David" w:cs="David" w:eastAsia="David" w:hAnsi="David"/>
          <w:sz w:val="22"/>
          <w:szCs w:val="22"/>
        </w:rPr>
        <w:t xml:space="preserve">(פט) שהיד סולדת בו – כיוון שהוא מבושל ויבש אין בו איסור בישול מהתורה. ואף שגזרו חכמים ואסרו להניחו על הכירה, לא אסרו להניחו כנגד המדורה, כיוון שאין בכך חשש שמא יחתה בגחלים, וגם היות שהנחה כנגד המדורה אינה דרך בישול, ולכן הדבר אינו נראה כמבשל. ואם יש בו מרק – אסור משום בישול.</w:t>
      </w:r>
    </w:p>
    <w:p>
      <w:pPr>
        <w:spacing w:after="160" w:before="20"/>
      </w:pPr>
      <w:r>
        <w:rPr>
          <w:rFonts w:ascii="Arial" w:cs="Arial" w:eastAsia="Arial" w:hAnsi="Arial"/>
          <w:sz w:val="21"/>
          <w:szCs w:val="21"/>
        </w:rPr>
        <w:t xml:space="preserve">(Pat) Shahid hates it - because it is cooked and dry there is no Torah prohibition cooking it. And even though the sages ruled and forbade placing it on the stove, they did not forbid placing it against the fire, since there is no fear that it will burn with coals, and also because placing it against the fire is not a way cooking, and therefore it is not seen as cooking. And if there is broth in it - cooking is forbidden.</w:t>
      </w:r>
    </w:p>
    <w:p>
      <w:pPr>
        <w:bidi/>
        <w:spacing w:after="40" w:before="120"/>
      </w:pPr>
      <w:r>
        <w:rPr>
          <w:rFonts w:ascii="David" w:cs="David" w:eastAsia="David" w:hAnsi="David"/>
          <w:sz w:val="22"/>
          <w:szCs w:val="22"/>
        </w:rPr>
        <w:t xml:space="preserve">(צ) מותר – שכל עוד התבשיל חם והיד סולדת בו, לדברי הכול אין בו בישול.</w:t>
      </w:r>
    </w:p>
    <w:p>
      <w:pPr>
        <w:spacing w:after="160" w:before="20"/>
      </w:pPr>
      <w:r>
        <w:rPr>
          <w:rFonts w:ascii="Arial" w:cs="Arial" w:eastAsia="Arial" w:hAnsi="Arial"/>
          <w:sz w:val="21"/>
          <w:szCs w:val="21"/>
        </w:rPr>
        <w:t xml:space="preserve">(100) It is permitted. As long as the food is cooking and is yad soledet bo, according to all opinions there is no cooking in it.</w:t>
      </w:r>
    </w:p>
    <w:p>
      <w:pPr>
        <w:bidi/>
        <w:spacing w:after="40" w:before="120"/>
      </w:pPr>
      <w:r>
        <w:rPr>
          <w:rFonts w:ascii="David" w:cs="David" w:eastAsia="David" w:hAnsi="David"/>
          <w:sz w:val="22"/>
          <w:szCs w:val="22"/>
        </w:rPr>
        <w:t xml:space="preserve">(צא) רק סמוך לו – ובמקרה כזה אין חשש של נראה כמבשל.</w:t>
      </w:r>
    </w:p>
    <w:p>
      <w:pPr>
        <w:spacing w:after="160" w:before="20"/>
      </w:pPr>
      <w:r>
        <w:rPr>
          <w:rFonts w:ascii="Arial" w:cs="Arial" w:eastAsia="Arial" w:hAnsi="Arial"/>
          <w:sz w:val="21"/>
          <w:szCs w:val="21"/>
        </w:rPr>
        <w:t xml:space="preserve">(Exit) Just trust him - and in that case there is no fear being seen as a cook.</w:t>
      </w:r>
    </w:p>
    <w:p>
      <w:pPr>
        <w:bidi/>
        <w:spacing w:after="40" w:before="120"/>
      </w:pPr>
      <w:r>
        <w:rPr>
          <w:rFonts w:ascii="David" w:cs="David" w:eastAsia="David" w:hAnsi="David"/>
          <w:sz w:val="22"/>
          <w:szCs w:val="22"/>
        </w:rPr>
        <w:t xml:space="preserve">(צב) אפילו מצטנן מותר – הרמ״א מביא כאן את שיטת הראשונים שאין בישול אחר בישול כלל, גם לא בדבר נוזלי. דעה זו מסתברת מאוד במרק, וכן בתבשיל שיש בו רוטב, כיוון שחימומו אינו משנה אותו מהותית; אולם במים, ההבחנה במים קרים בין מים שהתבשלו כבר לבין מים שאינם מבושלים היא מחודשת מאוד. ואולי צריך לומר שהרתחת המים מחטאת אותם וטובה לבריאות, ולכן גם במים יש מקום לחלק בין מים חיים למים מבושלים שהצטננו.</w:t>
      </w:r>
    </w:p>
    <w:p>
      <w:pPr>
        <w:spacing w:after="160" w:before="20"/>
      </w:pPr>
      <w:r>
        <w:rPr>
          <w:rFonts w:ascii="Arial" w:cs="Arial" w:eastAsia="Arial" w:hAnsi="Arial"/>
          <w:sz w:val="21"/>
          <w:szCs w:val="21"/>
        </w:rPr>
        <w:t xml:space="preserve">(Tzv) Even a cold is permitted - the Rama brings here the method of the rishonim — early medieval halachic authorities — early medieval halachic authorities — early medieval halachic authorities — early medieval halachic authorities — early medieval halachic authorities — early medieval halachic authorities — early medieval halachic authorities that there is no prohibition cooking after cooking (for fully cooked items) at all, not even with broth. This opinion is very plausible in broth, as a healthy person as in a cooked dish that has a sauce in it, since heating it does not fundamentally change it; But in water, the distinction in cold water between water that has already been boiled and water that is not boiled is very renewed. And perhaps it should be said that cooking the water disinfects it and is good for health, so even in water there is a place to divide living water from boiled water that has cooled.</w:t>
      </w:r>
    </w:p>
    <w:p>
      <w:pPr>
        <w:bidi/>
        <w:spacing w:after="40" w:before="120"/>
      </w:pPr>
      <w:r>
        <w:rPr>
          <w:rFonts w:ascii="David" w:cs="David" w:eastAsia="David" w:hAnsi="David"/>
          <w:sz w:val="22"/>
          <w:szCs w:val="22"/>
        </w:rPr>
        <w:t xml:space="preserve">(צג) אם לא נצטנן לגמרי – כלומר: הרמ״א פוסק עקרונית כפוסקים המקלים, שמותר לחמם תבשיל אף אם יש בו רוטב, אולם משום חשיבות הפוסקים המחמירים הוא אוסר למעשה אם התבשיל נצטנן לגמרי. לכן תבשיל שיש בו רוטב והוא פושר ואין היד סולדת בו, לדעת הרמ״א אין בו איסור בישול, ולדברי המחבר אסור לבשלו, והאיסור מהתורה.</w:t>
      </w:r>
    </w:p>
    <w:p>
      <w:pPr>
        <w:spacing w:after="160" w:before="20"/>
      </w:pPr>
      <w:r>
        <w:rPr>
          <w:rFonts w:ascii="Arial" w:cs="Arial" w:eastAsia="Arial" w:hAnsi="Arial"/>
          <w:sz w:val="21"/>
          <w:szCs w:val="21"/>
        </w:rPr>
        <w:t xml:space="preserve">(93) If it has not completely cooled. That is, the Rama rules in principle like the being lenient opinions, that it is permitted to reheat a cooked dish even if it contains broth, as long as it has not completely cooled. However, because of the importance of the stricter opinions, the custom is to be careful where possible.</w:t>
      </w:r>
    </w:p>
    <w:p>
      <w:pPr>
        <w:bidi/>
        <w:spacing w:after="40" w:before="120"/>
      </w:pPr>
      <w:r>
        <w:rPr>
          <w:rFonts w:ascii="David" w:cs="David" w:eastAsia="David" w:hAnsi="David"/>
          <w:sz w:val="22"/>
          <w:szCs w:val="22"/>
        </w:rPr>
        <w:t xml:space="preserve">(צד) סימן רנ״ג – בסוף סעיף ה׳, שם כותב הרמ״א שמותר להחזיר קדרה מבושלת לאש כל עוד היא חמה.</w:t>
      </w:r>
    </w:p>
    <w:p>
      <w:pPr>
        <w:spacing w:after="160" w:before="20"/>
      </w:pPr>
      <w:r>
        <w:rPr>
          <w:rFonts w:ascii="Arial" w:cs="Arial" w:eastAsia="Arial" w:hAnsi="Arial"/>
          <w:sz w:val="21"/>
          <w:szCs w:val="21"/>
        </w:rPr>
        <w:t xml:space="preserve">'And it is dry, etc., opposite the fire' — this requires investigation, for above in seif 5 he brings the opinion of the Ra'em, and see there in the Magen Avraham that according to his view the same applies that there is roasting after cooking — and how does he permit here simply [see Beit Me'ir on Orach Chayyim, and the book Maamar Mordechai also raised this difficulty].</w:t>
      </w:r>
    </w:p>
    <w:p>
      <w:pPr>
        <w:pBdr>
          <w:bottom w:val="single" w:color="999999" w:sz="4"/>
        </w:pBdr>
        <w:spacing w:after="80" w:before="300"/>
      </w:pPr>
      <w:r>
        <w:rPr>
          <w:rFonts w:ascii="Arial" w:cs="Arial" w:eastAsia="Arial" w:hAnsi="Arial"/>
          <w:b/>
          <w:bCs/>
          <w:color w:val="1A3A5C"/>
          <w:sz w:val="26"/>
          <w:szCs w:val="26"/>
        </w:rPr>
        <w:t xml:space="preserve">Magen Avraham</w:t>
      </w:r>
    </w:p>
    <w:p>
      <w:pPr>
        <w:pBdr>
          <w:bottom w:val="single" w:color="999999" w:sz="4"/>
        </w:pBdr>
        <w:spacing w:after="80" w:before="300"/>
      </w:pPr>
      <w:r>
        <w:rPr>
          <w:rFonts w:ascii="Arial" w:cs="Arial" w:eastAsia="Arial" w:hAnsi="Arial"/>
          <w:b/>
          <w:bCs/>
          <w:color w:val="1A3A5C"/>
          <w:sz w:val="26"/>
          <w:szCs w:val="26"/>
        </w:rPr>
        <w:t xml:space="preserve">Taz</w:t>
      </w:r>
    </w:p>
    <w:p>
      <w:pPr>
        <w:pBdr>
          <w:bottom w:val="single" w:color="999999" w:sz="4"/>
        </w:pBdr>
        <w:spacing w:after="80" w:before="300"/>
      </w:pPr>
      <w:r>
        <w:rPr>
          <w:rFonts w:ascii="Arial" w:cs="Arial" w:eastAsia="Arial" w:hAnsi="Arial"/>
          <w:b/>
          <w:bCs/>
          <w:color w:val="1A3A5C"/>
          <w:sz w:val="26"/>
          <w:szCs w:val="26"/>
        </w:rPr>
        <w:t xml:space="preserve">Biur Halacha</w:t>
      </w:r>
    </w:p>
    <w:p>
      <w:pPr>
        <w:bidi/>
        <w:spacing w:after="40" w:before="120"/>
      </w:pPr>
      <w:r>
        <w:rPr>
          <w:rFonts w:ascii="David" w:cs="David" w:eastAsia="David" w:hAnsi="David"/>
          <w:sz w:val="22"/>
          <w:szCs w:val="22"/>
        </w:rPr>
        <w:t xml:space="preserve">והוא יבש וכו׳ כנגד המדורה – צ״ע הא לעיל בס״ה מביא דעת הרא״ם וע״ש במגן אברהם דלדעתו ה״ה דיש צלי אחר בישול ואיך מתיר הכא בסתם [מס׳ בית מאיר על או״ח וכן הקשה בספר מאמר מרדכי ע״ש שנדחק ליישב]:</w:t>
      </w:r>
    </w:p>
    <w:p>
      <w:pPr>
        <w:spacing w:after="160" w:before="20"/>
      </w:pPr>
      <w:r>
        <w:rPr>
          <w:rFonts w:ascii="Arial" w:cs="Arial" w:eastAsia="Arial" w:hAnsi="Arial"/>
          <w:sz w:val="21"/>
          <w:szCs w:val="21"/>
        </w:rPr>
        <w:t xml:space="preserve">And it is dry, etc., opposite the fire: See above in the Mishnah Berurah, where he brings the opinion of the Rama and the Magen Avraham’s explanation his view. Regarding a roasted item after cooking, the Beit Meir questions how the Rama can simply permit placing it opposite the fire. The answer is that the Rama is speaking about a case where the item is fully cooked and dry, and the issue is only reheating, not a new act cooking. Nevertheless, one must be careful not to place it in a place where it appears like cooking or where other Shabbos restrictions apply.</w:t>
      </w:r>
    </w:p>
    <w:p>
      <w:pPr>
        <w:pBdr>
          <w:bottom w:val="single" w:color="999999" w:sz="4"/>
        </w:pBdr>
        <w:spacing w:after="80" w:before="300"/>
      </w:pPr>
      <w:r>
        <w:rPr>
          <w:rFonts w:ascii="Arial" w:cs="Arial" w:eastAsia="Arial" w:hAnsi="Arial"/>
          <w:b/>
          <w:bCs/>
          <w:color w:val="1A3A5C"/>
          <w:sz w:val="26"/>
          <w:szCs w:val="26"/>
        </w:rPr>
        <w:t xml:space="preserve">Shulchan Aruch K'pshuto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2026-05-13T21:54:40.565Z</dcterms:created>
  <dcterms:modified xsi:type="dcterms:W3CDTF">2026-05-13T21:54:40.565Z</dcterms:modified>
</cp:coreProperties>
</file>

<file path=docProps/custom.xml><?xml version="1.0" encoding="utf-8"?>
<Properties xmlns="http://schemas.openxmlformats.org/officeDocument/2006/custom-properties" xmlns:vt="http://schemas.openxmlformats.org/officeDocument/2006/docPropsVTypes"/>
</file>