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18</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(יח) הָאִלְפָּס וְהַקְּדֵרָה שֶׁהֶעֱבִירָן מְרֻתָּחִין מֵעַל גַּבֵּי הָאוּר, אִם לֹא נִתְבַּשֵּׁל כָּל צָרְכּוֹ אֵין מוֹצִיאִין בְּכַף מֵהֶם שֶׁנִּמְצָא מֵגִיס וְאִיכָּא מִשּׁוּם מְבַשֵּׁל וְאִם נִתְבַּשֵּׁל כָּל צָרְכּוֹ מֻתָּר אֲבָל צֶמֶר לְיוֹרָה אַף עַל פִּי שֶׁקָּלַט הָעַיִן אָסוּר לְהָגִיס בּוֹ (פי׳ לְנַעְנֵעַ אוֹתוֹ בְּכַף). {הַגָּה: וּלְכַתְּחִלָּה יֵשׁ לִזָּהֵר אַף בִּקְדֵרָה בְּכָל עִנְיָן (פִּסְקֵי מהרי״ו).}</w:t>
      </w:r>
    </w:p>
    <w:p>
      <w:pPr>
        <w:spacing w:after="180" w:before="40"/>
      </w:pPr>
      <w:r>
        <w:rPr>
          <w:rFonts w:ascii="Arial" w:cs="Arial" w:eastAsia="Arial" w:hAnsi="Arial"/>
          <w:sz w:val="22"/>
          <w:szCs w:val="22"/>
        </w:rPr>
        <w:t xml:space="preserve">(18) The thousand and the pot in which the transgressor is boiled over the top of the candle, if all his needs are not cooked, there is nothing to be extracted from the handful them that we find from a brother-in-law and so on. There is a cook, and if all his food is cooked, it is permitted, but we are dealing with wool over the mouth, and it is forbidden to put the eyeball in it (i.e. shake it with a palm). {הַגָּה: וּלְכַתְּחִלָּה יֵשׁ לִזָּהֵר אַף בִּקְדֵרָה בְּכָל עִנְיָן (פִּסְקֵי מהרי״ו).}</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(כב) אבל צמר כו׳ – דבזה יש משום צובע א״נ שהצמר צריך הרבה בישול כ״כ הרא״ש.</w:t>
      </w:r>
    </w:p>
    <w:p>
      <w:pPr>
        <w:spacing w:after="160" w:before="20"/>
      </w:pPr>
      <w:r>
        <w:rPr>
          <w:rFonts w:ascii="Arial" w:cs="Arial" w:eastAsia="Arial" w:hAnsi="Arial"/>
          <w:sz w:val="21"/>
          <w:szCs w:val="21"/>
        </w:rPr>
        <w:t xml:space="preserve">(23) 'Even in a pot, etc.' — there the Mahariv wrote that one should not pour even a spoonful of water into it because it cooks, as stated in the first chapter of Shabbos regarding an upright cauldron smeared with clay.</w:t>
      </w:r>
    </w:p>
    <w:p>
      <w:pPr>
        <w:bidi/>
        <w:spacing w:after="40" w:before="120"/>
      </w:pPr>
      <w:r>
        <w:rPr>
          <w:rFonts w:ascii="David" w:cs="David" w:eastAsia="David" w:hAnsi="David"/>
          <w:sz w:val="22"/>
          <w:szCs w:val="22"/>
        </w:rPr>
        <w:t xml:space="preserve">(כג) אף בקדירה כו׳ – שם כ׳ מהרי״ו שאין להגיס בה בכף דהוה כמבשל כדאמרינן בפ״ק דשבת ביורה עקורה וטוחה וכן ראיתי בבית מהר״י ז״ל עכ״ל. מ״ש מפ״ק דשבת אין ראיה דשם מיירי מצמר ליורה דחמיר טפי כמ״ש בסמוך אבל כאן כבר נתבשל כ״צ מותר וכ״כ בהדיא בססי׳ שכ״א בעץ פרור בתוך הקדירה דמותר מטעם שכבר נתבשל כ״צ אלא ודאי משום הרחקה יתירה פגע בה וע״כ נלע״ד דהוצא׳ בעלמא בלי שום היפך בקדירה אלא ליקח חתיכה אין כאן זהירות אעפ״י שלא נתבשל כ״צ אסור אפי׳ בהוצאה שנמצא מגיס מ״מ בנגמר כ״צ אין להחמיר בהוצאה רק שיחמי׳ להפוך בקדירה הרוצ׳ להחמיר דהא בס״ס שכ״א מתיר אפילו לכתחלה ע״ש.</w:t>
      </w:r>
    </w:p>
    <w:p>
      <w:pPr>
        <w:spacing w:after="160" w:before="20"/>
      </w:pPr>
      <w:r>
        <w:rPr>
          <w:rFonts w:ascii="Arial" w:cs="Arial" w:eastAsia="Arial" w:hAnsi="Arial"/>
          <w:sz w:val="21"/>
          <w:szCs w:val="21"/>
        </w:rPr>
        <w:t xml:space="preserve">(43) 'Forbidden to stir' — because of dyeing.</w:t>
      </w:r>
    </w:p>
    <w:p>
      <w:pPr>
        <w:bidi/>
        <w:spacing w:after="40" w:before="120"/>
      </w:pPr>
      <w:r>
        <w:rPr>
          <w:rFonts w:ascii="David" w:cs="David" w:eastAsia="David" w:hAnsi="David"/>
          <w:sz w:val="22"/>
          <w:szCs w:val="22"/>
        </w:rPr>
        <w:t xml:space="preserve">(מג) אסור להגיס. משום צובע:</w:t>
      </w:r>
    </w:p>
    <w:p>
      <w:pPr>
        <w:spacing w:after="160" w:before="20"/>
      </w:pPr>
      <w:r>
        <w:rPr>
          <w:rFonts w:ascii="Arial" w:cs="Arial" w:eastAsia="Arial" w:hAnsi="Arial"/>
          <w:sz w:val="21"/>
          <w:szCs w:val="21"/>
        </w:rPr>
        <w:t xml:space="preserve">(44) 'And l'chatchila, etc.' — and the world has the practice of permitting types of legumes that are taken out with a spoon since it is impossible otherwise, and they have those to rely upon — see what was written in siman 253 seif 4.</w:t>
      </w:r>
    </w:p>
    <w:p>
      <w:pPr>
        <w:bidi/>
        <w:spacing w:after="40" w:before="120"/>
      </w:pPr>
      <w:r>
        <w:rPr>
          <w:rFonts w:ascii="David" w:cs="David" w:eastAsia="David" w:hAnsi="David"/>
          <w:sz w:val="22"/>
          <w:szCs w:val="22"/>
        </w:rPr>
        <w:t xml:space="preserve">(מד) ולכתחלה וכו׳. והעולם נהגו היתר במיני קטניות שמוציאין אותן בכף כיון דא״א בע״א ויש להם על מי שיסמכו עמ״ש סי׳ רנ״ג ס״ד:</w:t>
      </w:r>
    </w:p>
    <w:p>
      <w:pPr>
        <w:spacing w:after="160" w:before="20"/>
      </w:pPr>
      <w:r>
        <w:rPr>
          <w:rFonts w:ascii="Arial" w:cs="Arial" w:eastAsia="Arial" w:hAnsi="Arial"/>
          <w:sz w:val="21"/>
          <w:szCs w:val="21"/>
        </w:rPr>
        <w:t xml:space="preserve">(40) 'Forbidden' — for in this there is the concern of dyeing.</w:t>
      </w:r>
    </w:p>
    <w:p>
      <w:pPr>
        <w:bidi/>
        <w:spacing w:after="40" w:before="120"/>
      </w:pPr>
      <w:r>
        <w:rPr>
          <w:rFonts w:ascii="David" w:cs="David" w:eastAsia="David" w:hAnsi="David"/>
          <w:sz w:val="22"/>
          <w:szCs w:val="22"/>
        </w:rPr>
        <w:t xml:space="preserve">(מ) אסור – דבזה יש משום צובע:</w:t>
      </w:r>
    </w:p>
    <w:p>
      <w:pPr>
        <w:spacing w:after="160" w:before="20"/>
      </w:pPr>
      <w:r>
        <w:rPr>
          <w:rFonts w:ascii="Arial" w:cs="Arial" w:eastAsia="Arial" w:hAnsi="Arial"/>
          <w:sz w:val="21"/>
          <w:szCs w:val="21"/>
        </w:rPr>
        <w:t xml:space="preserve">(41) 'And l'chatchila, etc.' — and the world has the practice of permitting types of legumes taken out with a spoon since it is impossible otherwise, and they have those to rely upon — see siman 253.</w:t>
      </w:r>
    </w:p>
    <w:p>
      <w:pPr>
        <w:bidi/>
        <w:spacing w:after="40" w:before="120"/>
      </w:pPr>
      <w:r>
        <w:rPr>
          <w:rFonts w:ascii="David" w:cs="David" w:eastAsia="David" w:hAnsi="David"/>
          <w:sz w:val="22"/>
          <w:szCs w:val="22"/>
        </w:rPr>
        <w:t xml:space="preserve">(נג) ס״יח אם לא – כמ״ש בס״ד:</w:t>
      </w:r>
    </w:p>
    <w:p>
      <w:pPr>
        <w:spacing w:after="160" w:before="20"/>
      </w:pPr>
      <w:r>
        <w:rPr>
          <w:rFonts w:ascii="Arial" w:cs="Arial" w:eastAsia="Arial" w:hAnsi="Arial"/>
          <w:sz w:val="21"/>
          <w:szCs w:val="21"/>
        </w:rPr>
        <w:t xml:space="preserve">(53) 'Seif 18, if not' — as written in seif 4.</w:t>
      </w:r>
    </w:p>
    <w:p>
      <w:pPr>
        <w:bidi/>
        <w:spacing w:after="40" w:before="120"/>
      </w:pPr>
      <w:r>
        <w:rPr>
          <w:rFonts w:ascii="David" w:cs="David" w:eastAsia="David" w:hAnsi="David"/>
          <w:sz w:val="22"/>
          <w:szCs w:val="22"/>
        </w:rPr>
        <w:t xml:space="preserve">(נד) ואם – דאז אין בו משום בישול מדמותר חזרה וכמ״ש בתוספתא כנ״ל:</w:t>
      </w:r>
    </w:p>
    <w:p>
      <w:pPr>
        <w:spacing w:after="160" w:before="20"/>
      </w:pPr>
      <w:r>
        <w:rPr>
          <w:rFonts w:ascii="Arial" w:cs="Arial" w:eastAsia="Arial" w:hAnsi="Arial"/>
          <w:sz w:val="21"/>
          <w:szCs w:val="21"/>
        </w:rPr>
        <w:t xml:space="preserve">(54) 'And if' — then there is no concern of cooking, since returning is permitted, as stated in the Tosefta above.</w:t>
      </w:r>
    </w:p>
    <w:p>
      <w:pPr>
        <w:bidi/>
        <w:spacing w:after="40" w:before="120"/>
      </w:pPr>
      <w:r>
        <w:rPr>
          <w:rFonts w:ascii="David" w:cs="David" w:eastAsia="David" w:hAnsi="David"/>
          <w:sz w:val="22"/>
          <w:szCs w:val="22"/>
        </w:rPr>
        <w:t xml:space="preserve">(נה) אבל צמר – תוס׳ שם ד״ה דלמא:</w:t>
      </w:r>
    </w:p>
    <w:p>
      <w:pPr>
        <w:spacing w:after="160" w:before="20"/>
      </w:pPr>
      <w:r>
        <w:rPr>
          <w:rFonts w:ascii="Arial" w:cs="Arial" w:eastAsia="Arial" w:hAnsi="Arial"/>
          <w:sz w:val="21"/>
          <w:szCs w:val="21"/>
        </w:rPr>
        <w:t xml:space="preserve">(55) 'But wool' — Tosafos there s.v. dilma.</w:t>
      </w:r>
    </w:p>
    <w:p>
      <w:pPr>
        <w:bidi/>
        <w:spacing w:after="40" w:before="120"/>
      </w:pPr>
      <w:r>
        <w:rPr>
          <w:rFonts w:ascii="David" w:cs="David" w:eastAsia="David" w:hAnsi="David"/>
          <w:sz w:val="22"/>
          <w:szCs w:val="22"/>
        </w:rPr>
        <w:t xml:space="preserve">(נו) אע״פ – וכן מוכח בירושלמי ר״ן. ולכן סתמו במתני׳ וב״ה מתירין ולא חילקו בין עקורה וטוחה דבלא״ה מודה לב״ש משום דבלא״ה לא היו ב״ש מתירין משקלט העין:</w:t>
      </w:r>
    </w:p>
    <w:p>
      <w:pPr>
        <w:spacing w:after="160" w:before="20"/>
      </w:pPr>
      <w:r>
        <w:rPr>
          <w:rFonts w:ascii="Arial" w:cs="Arial" w:eastAsia="Arial" w:hAnsi="Arial"/>
          <w:sz w:val="21"/>
          <w:szCs w:val="21"/>
        </w:rPr>
        <w:t xml:space="preserve">(56) 'Even though' — and so it is proven in the Jerusalem Talmud — Ran. That is why they left it unattributed in the Mishnah and Beit Hillel permits, and they did not distinguish between upright and smeared.</w:t>
      </w:r>
    </w:p>
    <w:p>
      <w:pPr>
        <w:bidi/>
        <w:spacing w:after="40" w:before="120"/>
      </w:pPr>
      <w:r>
        <w:rPr>
          <w:rFonts w:ascii="David" w:cs="David" w:eastAsia="David" w:hAnsi="David"/>
          <w:sz w:val="22"/>
          <w:szCs w:val="22"/>
        </w:rPr>
        <w:t xml:space="preserve">(קיג) שהעבירן מרותחין – נקט שהעבירן לרבותא דאפי׳ בזה אסור כשלא נתבשל כל צרכו ובנתבשל כל צרכו אפי׳ עומד ע״ג האור מותר להוציא בכף כן משמע בב״י אבל בא״ר מסיק דיש לאסור בזה:</w:t>
      </w:r>
    </w:p>
    <w:p>
      <w:pPr>
        <w:spacing w:after="160" w:before="20"/>
      </w:pPr>
      <w:r>
        <w:rPr>
          <w:rFonts w:ascii="Arial" w:cs="Arial" w:eastAsia="Arial" w:hAnsi="Arial"/>
          <w:sz w:val="21"/>
          <w:szCs w:val="21"/>
        </w:rPr>
        <w:t xml:space="preserve">(113) 'That they were removed while fully boiling' — he specified 'removed' to teach us the novel point that even in this case it is forbidden when they are not fully cooked. And when they are fully cooked, even if standing on the fire it is permitted to stir as stated in seif 4.</w:t>
      </w:r>
    </w:p>
    <w:p>
      <w:pPr>
        <w:bidi/>
        <w:spacing w:after="40" w:before="120"/>
      </w:pPr>
      <w:r>
        <w:rPr>
          <w:rFonts w:ascii="David" w:cs="David" w:eastAsia="David" w:hAnsi="David"/>
          <w:sz w:val="22"/>
          <w:szCs w:val="22"/>
        </w:rPr>
        <w:t xml:space="preserve">(קיד) שנמצא מגיס וכו׳ – וכ״ש להגיס ממש דאסור ויש חיוב חטאת בזה לפי מה שפסק השו״ע לעיל בס״ד דבזה מסייע ומקרב להבישול וחשיב כמבשל:</w:t>
      </w:r>
    </w:p>
    <w:p>
      <w:pPr>
        <w:spacing w:after="160" w:before="20"/>
      </w:pPr>
      <w:r>
        <w:rPr>
          <w:rFonts w:ascii="Arial" w:cs="Arial" w:eastAsia="Arial" w:hAnsi="Arial"/>
          <w:sz w:val="21"/>
          <w:szCs w:val="21"/>
        </w:rPr>
        <w:t xml:space="preserve">(114) 'That is found stirring, etc.' — for stirring the pot is a real prohibition, and one who stirs is liable to a chatas according to what the Shulchan Aruch ruled above in seif 4: that in this he assists and hastens the cooking.</w:t>
      </w:r>
    </w:p>
    <w:p>
      <w:pPr>
        <w:bidi/>
        <w:spacing w:after="40" w:before="120"/>
      </w:pPr>
      <w:r>
        <w:rPr>
          <w:rFonts w:ascii="David" w:cs="David" w:eastAsia="David" w:hAnsi="David"/>
          <w:sz w:val="22"/>
          <w:szCs w:val="22"/>
        </w:rPr>
        <w:t xml:space="preserve">(קטו) כל צרכו מותר – אפי׳ להגיס בו דאין בישול אחר בישול וכדלעיל בס״ד:</w:t>
      </w:r>
    </w:p>
    <w:p>
      <w:pPr>
        <w:spacing w:after="160" w:before="20"/>
      </w:pPr>
      <w:r>
        <w:rPr>
          <w:rFonts w:ascii="Arial" w:cs="Arial" w:eastAsia="Arial" w:hAnsi="Arial"/>
          <w:sz w:val="21"/>
          <w:szCs w:val="21"/>
        </w:rPr>
        <w:t xml:space="preserve">(115) 'All its consumption is permitted' — even to stir in it, since there is no cooking after cooking, as stated above in seif 4.</w:t>
      </w:r>
    </w:p>
    <w:p>
      <w:pPr>
        <w:bidi/>
        <w:spacing w:after="40" w:before="120"/>
      </w:pPr>
      <w:r>
        <w:rPr>
          <w:rFonts w:ascii="David" w:cs="David" w:eastAsia="David" w:hAnsi="David"/>
          <w:sz w:val="22"/>
          <w:szCs w:val="22"/>
        </w:rPr>
        <w:t xml:space="preserve">(קטז) אסור להגיס בו – משום צובע שכן הוא מלאכת הצביעה להגיס תמיד כדי שלא יתחרך גם ע״י הגסה נקלט הצבע בצמר יותר:</w:t>
      </w:r>
    </w:p>
    <w:p>
      <w:pPr>
        <w:spacing w:after="160" w:before="20"/>
      </w:pPr>
      <w:r>
        <w:rPr>
          <w:rFonts w:ascii="Arial" w:cs="Arial" w:eastAsia="Arial" w:hAnsi="Arial"/>
          <w:sz w:val="21"/>
          <w:szCs w:val="21"/>
        </w:rPr>
        <w:t xml:space="preserve">(116) 'Forbidden to stir in it' — because of dyeing, for the act of dyeing is always to stir so that it does not scorch; and through stirring the dye is absorbed into the wool more.</w:t>
      </w:r>
    </w:p>
    <w:p>
      <w:pPr>
        <w:bidi/>
        <w:spacing w:after="40" w:before="120"/>
      </w:pPr>
      <w:r>
        <w:rPr>
          <w:rFonts w:ascii="David" w:cs="David" w:eastAsia="David" w:hAnsi="David"/>
          <w:sz w:val="22"/>
          <w:szCs w:val="22"/>
        </w:rPr>
        <w:t xml:space="preserve">(קיז) אף בקדירה וכו׳ – אלא יהפוך הקדירה לקערה ולא יוציא בכף ועיין באחרונים דלא נהיגין להחמיר בזה דבאמת העיקר כמו שכתבנו מתחלה דמבושל כל צרכו אפי׳ להגיס מותר וכמבואר לקמן בסימן שכ״א סוף סי״ט והרוצה להחמיר יחמיר בהגסה ממש אבל להוציא בכף אין להחמיר כלל בנתבשלה כל צרכה ואינה על האש:</w:t>
      </w:r>
    </w:p>
    <w:p>
      <w:pPr>
        <w:spacing w:after="160" w:before="20"/>
      </w:pPr>
      <w:r>
        <w:rPr>
          <w:rFonts w:ascii="Arial" w:cs="Arial" w:eastAsia="Arial" w:hAnsi="Arial"/>
          <w:sz w:val="21"/>
          <w:szCs w:val="21"/>
        </w:rPr>
        <w:t xml:space="preserve">(117) 'Even in a pot, etc.' — rather, he should overturn the pot into a bowl and not take out with a spoon. And see the later authorities who say the practice is not to be stringent in this.</w:t>
      </w:r>
    </w:p>
    <w:p>
      <w:pPr>
        <w:pBdr>
          <w:bottom w:val="single" w:color="999999" w:sz="4"/>
        </w:pBdr>
        <w:spacing w:after="80" w:before="300"/>
      </w:pPr>
      <w:r>
        <w:rPr>
          <w:rFonts w:ascii="Arial" w:cs="Arial" w:eastAsia="Arial" w:hAnsi="Arial"/>
          <w:b/>
          <w:bCs/>
          <w:color w:val="1A3A5C"/>
          <w:sz w:val="26"/>
          <w:szCs w:val="26"/>
        </w:rPr>
        <w:t xml:space="preserve">Magen Avraham</w:t>
      </w:r>
    </w:p>
    <w:p>
      <w:pPr>
        <w:bidi/>
        <w:spacing w:after="40" w:before="120"/>
      </w:pPr>
      <w:r>
        <w:rPr>
          <w:rFonts w:ascii="David" w:cs="David" w:eastAsia="David" w:hAnsi="David"/>
          <w:sz w:val="22"/>
          <w:szCs w:val="22"/>
        </w:rPr>
        <w:t xml:space="preserve">(מא) ולכתחלה וכו׳ – והעולם נהגו היתר במיני קטניות שמוציאין אותו בכף כיון דא״א בענין אחר ויש להם על מי שיסמוכו עיין מ״ש סי׳ רנ״ג סעיף ד׳ מ״א. וט״ז כתב נלע״ד דהוצאה בעלמא בלי שום היפך בקדירה אלא ליקח חתיכה אין כאן זהירות אף ע״פ שלא נתבשל כל צרכו אסור אפילו בהוצאה שנמצא מגיס מ״מ בנגמר כל צרכו אין להחמיר בהוצאה רק שיחמיר להפוך בקדרה הרוצה להחמיר ועיין סוף סי׳ שכ״א ועיין בפנים מאירות סי׳ פ״ד:</w:t>
      </w:r>
    </w:p>
    <w:p>
      <w:pPr>
        <w:spacing w:after="160" w:before="20"/>
      </w:pPr>
      <w:r>
        <w:rPr>
          <w:rFonts w:ascii="Arial" w:cs="Arial" w:eastAsia="Arial" w:hAnsi="Arial"/>
          <w:sz w:val="21"/>
          <w:szCs w:val="21"/>
        </w:rPr>
        <w:t xml:space="preserve">'Even in a pot, etc.' — see the Mishna Berurah in the name of the later authorities — and they are the Taz, the Eliyah Rabbah, the Chayei Adam, and the Gra. And the later authorities conclude that b'dieved one should not forbid.</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אף בקדרה וכו׳ – עיין במ״ב במ״ש בשם האחרונים והם הט״ז וא״ר והח״א והגר״ז [ולפלא שראיתי בפמ״ג שכתב דהגסה ממש במבושל כ״צ יש בו איסור דרבנן והמעיין בט״ז יראה להדיא דאין בו איסור כמבואר לקמן בסוף סימן שכ״א אלא הרחקה יתירה כתב הרמ״א הכא אבל אין בו חשש איסור וכן ראיתי בכמה אחרונים שסתמו כן] ומשמע דכל המינים שוים להקל בזה ובמגן אברהם משמע דבשאר מינים חוץ מן קטניות שיכול לשפוך בקל מן הקדרה לקערה ישפוך ולא יוציא בכף לכתחלה אבל אין העולם נוהגין כן:</w:t>
      </w:r>
    </w:p>
    <w:p>
      <w:pPr>
        <w:spacing w:after="160" w:before="20"/>
      </w:pPr>
      <w:r>
        <w:rPr>
          <w:rFonts w:ascii="Arial" w:cs="Arial" w:eastAsia="Arial" w:hAnsi="Arial"/>
          <w:sz w:val="21"/>
          <w:szCs w:val="21"/>
        </w:rPr>
        <w:t xml:space="preserve">(104) Introduction to the seif — part of the cooking process is stirring; therefore stirring an uncooked dish that is on the fire constitutes a Torah-level prohibition of cooking. And also stirring wool in a cauldron of dye — even after the dye has been absorbed, it is forbidden to stir it on Shabbos because of the prohibition of dyeing.</w:t>
      </w:r>
    </w:p>
    <w:p>
      <w:pPr>
        <w:pBdr>
          <w:bottom w:val="single" w:color="999999" w:sz="4"/>
        </w:pBdr>
        <w:spacing w:after="80" w:before="300"/>
      </w:pPr>
      <w:r>
        <w:rPr>
          <w:rFonts w:ascii="Arial" w:cs="Arial" w:eastAsia="Arial" w:hAnsi="Arial"/>
          <w:b/>
          <w:bCs/>
          <w:color w:val="1A3A5C"/>
          <w:sz w:val="26"/>
          <w:szCs w:val="26"/>
        </w:rPr>
        <w:t xml:space="preserve">Shulchan Aruch K'pshuto</w:t>
      </w:r>
    </w:p>
    <w:p>
      <w:pPr>
        <w:bidi/>
        <w:spacing w:after="40" w:before="120"/>
      </w:pPr>
      <w:r>
        <w:rPr>
          <w:rFonts w:ascii="David" w:cs="David" w:eastAsia="David" w:hAnsi="David"/>
          <w:sz w:val="22"/>
          <w:szCs w:val="22"/>
        </w:rPr>
        <w:t xml:space="preserve">(קד) הקדמה לסעיף – חלק מתהליך בישול האוכל הוא הערבוב, לכן בהגסת תבשיל שאינו מבושל הנמצא על האש יש איסור בישול מהתורה. וגזרו חכמים גם שלא להוציא את האוכל עם מצקת, שמא יגיס. בתבשיל המבושל כל צרכו אין איסור בישול, ולדעת המחבר מותר גם להגיסו, אלא שלשיטת הרמ״א אסרו זאת חכמים. ופרטי דיני מגיס מובאים בסעיף זה.</w:t>
      </w:r>
    </w:p>
    <w:p>
      <w:pPr>
        <w:spacing w:after="160" w:before="20"/>
      </w:pPr>
      <w:r>
        <w:rPr>
          <w:rFonts w:ascii="Arial" w:cs="Arial" w:eastAsia="Arial" w:hAnsi="Arial"/>
          <w:sz w:val="21"/>
          <w:szCs w:val="21"/>
        </w:rPr>
        <w:t xml:space="preserve">(Ked) Introduction to the seif - Part of the process cooking food is the mixing, therefore, when cooking an uncooked cooked dish that is on the fire, there is a Torah prohibition cooking. And sages also decreed not to take the food out with a ladle, lest it boil. There is no prohibition cooking in a cooked dish that is fully boiled, and in the author's opinion it is also permissible to sear it, but according to the Rama's method the sages forbade it. And legal details from brother-in-law are given in this section.</w:t>
      </w:r>
    </w:p>
    <w:p>
      <w:pPr>
        <w:bidi/>
        <w:spacing w:after="40" w:before="120"/>
      </w:pPr>
      <w:r>
        <w:rPr>
          <w:rFonts w:ascii="David" w:cs="David" w:eastAsia="David" w:hAnsi="David"/>
          <w:sz w:val="22"/>
          <w:szCs w:val="22"/>
        </w:rPr>
        <w:t xml:space="preserve">(קה) משום מבשל – כלומר: ערבוב האוכל מקרב את הבישול, ולכן אסור מהתורה.</w:t>
      </w:r>
    </w:p>
    <w:p>
      <w:pPr>
        <w:spacing w:after="160" w:before="20"/>
      </w:pPr>
      <w:r>
        <w:rPr>
          <w:rFonts w:ascii="Arial" w:cs="Arial" w:eastAsia="Arial" w:hAnsi="Arial"/>
          <w:sz w:val="21"/>
          <w:szCs w:val="21"/>
        </w:rPr>
        <w:t xml:space="preserve">(ka) because cooking - that is: mixing the food brings the cooking closer, and is therefore forbidden by the Torah.</w:t>
      </w:r>
    </w:p>
    <w:p>
      <w:pPr>
        <w:bidi/>
        <w:spacing w:after="40" w:before="120"/>
      </w:pPr>
      <w:r>
        <w:rPr>
          <w:rFonts w:ascii="David" w:cs="David" w:eastAsia="David" w:hAnsi="David"/>
          <w:sz w:val="22"/>
          <w:szCs w:val="22"/>
        </w:rPr>
        <w:t xml:space="preserve">(קו) מותר – כיוון שאין בישול אחר בישול. ואפילו אם ״מצטמק ויפה לו״, כלומר שתוספת הבישול משפרת את האוכל.</w:t>
      </w:r>
    </w:p>
    <w:p>
      <w:pPr>
        <w:spacing w:after="160" w:before="20"/>
      </w:pPr>
      <w:r>
        <w:rPr>
          <w:rFonts w:ascii="Arial" w:cs="Arial" w:eastAsia="Arial" w:hAnsi="Arial"/>
          <w:sz w:val="21"/>
          <w:szCs w:val="21"/>
        </w:rPr>
        <w:t xml:space="preserve">(line) permitted - because there is no prohibition cooking after cooking (for fully cooked items). And even if it "shrinks and looks good", meaning that the addition cooking improves the food.</w:t>
      </w:r>
    </w:p>
    <w:p>
      <w:pPr>
        <w:bidi/>
        <w:spacing w:after="40" w:before="120"/>
      </w:pPr>
      <w:r>
        <w:rPr>
          <w:rFonts w:ascii="David" w:cs="David" w:eastAsia="David" w:hAnsi="David"/>
          <w:sz w:val="22"/>
          <w:szCs w:val="22"/>
        </w:rPr>
        <w:t xml:space="preserve">(קז) צמר ליורה – כלומר: כשאין מדובר בסיר עם אוכל, אלא בסיר שמחממים בו צמר עם צבע כדי שהצמר ייצבע, ולעשות כן בשבת אסור מהתורה משום מלאכת צובע.</w:t>
      </w:r>
    </w:p>
    <w:p>
      <w:pPr>
        <w:spacing w:after="160" w:before="20"/>
      </w:pPr>
      <w:r>
        <w:rPr>
          <w:rFonts w:ascii="Arial" w:cs="Arial" w:eastAsia="Arial" w:hAnsi="Arial"/>
          <w:sz w:val="21"/>
          <w:szCs w:val="21"/>
        </w:rPr>
        <w:t xml:space="preserve">(Kaz) Wool to shoot - that is: when it is not a pot with food, but a pot in which wool is heated with dye so that the wool will be dyed, and doing so on Shabbos is forbidden by the Torah because it is a dyer's melacha.</w:t>
      </w:r>
    </w:p>
    <w:p>
      <w:pPr>
        <w:bidi/>
        <w:spacing w:after="40" w:before="120"/>
      </w:pPr>
      <w:r>
        <w:rPr>
          <w:rFonts w:ascii="David" w:cs="David" w:eastAsia="David" w:hAnsi="David"/>
          <w:sz w:val="22"/>
          <w:szCs w:val="22"/>
        </w:rPr>
        <w:t xml:space="preserve">(קח) אסור להגיס בו – שבמלאכת צובע אין היתר של צביעה לאחר שהצבע נקלט, אלא כל עוד הצמר ביורה יש בערבובו משום צביעה. הלכה זו אינה שכיחה בימינו.</w:t>
      </w:r>
    </w:p>
    <w:p>
      <w:pPr>
        <w:spacing w:after="160" w:before="20"/>
      </w:pPr>
      <w:r>
        <w:rPr>
          <w:rFonts w:ascii="Arial" w:cs="Arial" w:eastAsia="Arial" w:hAnsi="Arial"/>
          <w:sz w:val="21"/>
          <w:szCs w:val="21"/>
        </w:rPr>
        <w:t xml:space="preserve">(take) It is forbidden to cast in it - in the dyer's melacha there is no permission to dye after the color has been absorbed, but as long as the wool in the yarn is mixed with it for dyeing purposes. This law is not common these days.</w:t>
      </w:r>
    </w:p>
    <w:p>
      <w:pPr>
        <w:bidi/>
        <w:spacing w:after="40" w:before="120"/>
      </w:pPr>
      <w:r>
        <w:rPr>
          <w:rFonts w:ascii="David" w:cs="David" w:eastAsia="David" w:hAnsi="David"/>
          <w:sz w:val="22"/>
          <w:szCs w:val="22"/>
        </w:rPr>
        <w:t xml:space="preserve">(קט) בכל עניין – אף שהתבשיל מבושל, כיוון שחוששים שמא המאכל לא נתבשל כל צורכו. בדעת הרמ״א יש לשאול כיצד אפשר להוציא את התבשיל, אם אסור להכניס לסיר מצקת גם כשהאוכל כבר מוכן. וכנראה כוונתו היא שיש להטות את הקדירה ולשפוך ממנה, בלי להכניס פנימה מצקת. והמשנה ברורה כתב שאין נוהגים כחומרה זו, וגם האשכנזים נוהגים כדברי המחבר; ואם כן האיסור להוציא במצקת כאשר הכלי אינו על האש קיים רק בתבשיל שאינו מבושל לגמרי.</w:t>
      </w:r>
    </w:p>
    <w:p>
      <w:pPr>
        <w:spacing w:after="160" w:before="20"/>
      </w:pPr>
      <w:r>
        <w:rPr>
          <w:rFonts w:ascii="Arial" w:cs="Arial" w:eastAsia="Arial" w:hAnsi="Arial"/>
          <w:sz w:val="21"/>
          <w:szCs w:val="21"/>
        </w:rPr>
        <w:t xml:space="preserve">(Kat) In any matter - even if the cooked dish is cooked, because they fear that the food will not be cooked all the way through. In the Rama's opinion, one should ask how the cooked dish / the cooked dish can be taken out, if it is forbidden to put a ladle into the pot even when the food is already ready. And probably his intention is that the pot should be tilted and poured from, without putting a ladle inside. And the Mishna Berura wrote that they do not practice this harshness, and the Ashkenazim also practice according to the author's words; And if so, the prohibition to take out with a ladle when the vessel is not on the fire exists only in a cooked dish that is not fully cooked.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2026-05-13T21:54:40.601Z</dcterms:created>
  <dcterms:modified xsi:type="dcterms:W3CDTF">2026-05-13T21:54:40.601Z</dcterms:modified>
</cp:coreProperties>
</file>

<file path=docProps/custom.xml><?xml version="1.0" encoding="utf-8"?>
<Properties xmlns="http://schemas.openxmlformats.org/officeDocument/2006/custom-properties" xmlns:vt="http://schemas.openxmlformats.org/officeDocument/2006/docPropsVTypes"/>
</file>