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7</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(ז) יֵשׁ מְפָרְשִׁים דְּהָא דְּשָׁרֵי לְהַנִּיחַ כְּלִי שֶׁיֵּשׁ בּוֹ דָּבָר חַם עַל גַּבֵּי קְדֵרָה הַטְּמוּנָה, אֲפִלּוּ כְּלִי הַתַּחְתּוֹן עַל הָאֵשׁ שָׁרֵי. וְיֵשׁ מְפָרְשִׁים שֶׁאִם כְּלִי הַתַּחְתּוֹן עַל הָאֵשׁ, לְעוֹלָם אָסוּר.</w:t>
      </w:r>
    </w:p>
    <w:p>
      <w:pPr>
        <w:spacing w:after="180" w:before="40"/>
      </w:pPr>
      <w:r>
        <w:rPr>
          <w:rFonts w:ascii="Arial" w:cs="Arial" w:eastAsia="Arial" w:hAnsi="Arial"/>
          <w:sz w:val="22"/>
          <w:szCs w:val="22"/>
        </w:rPr>
        <w:t xml:space="preserve">(g) There are commentators saying that it is permissible to place a vessel containing a cooking substance on top of the hidden pot, even if the lower vessel is still on the fire. And there are interpretations that if the underwear is on the fire, it is forever forbidden.</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(יא) אפי׳ כלי התחתון על האש – הטעם כתב ה׳ המגיד שכיון שהקדירה מפסקת ה״ז כמחמם נגד המדורה ומותר עכ״ל. ונראה דגם זה במקום שא״א לבא לידי בישול גמור דאל״כ הא אפי׳ ברותח יש בו משום בישול אחר בישול כל שלא נתבשל כ״צ וכאן לא חילק בין נתבשל כל צרכו או לא.</w:t>
      </w:r>
    </w:p>
    <w:p>
      <w:pPr>
        <w:spacing w:after="160" w:before="20"/>
      </w:pPr>
      <w:r>
        <w:rPr>
          <w:rFonts w:ascii="Arial" w:cs="Arial" w:eastAsia="Arial" w:hAnsi="Arial"/>
          <w:sz w:val="21"/>
          <w:szCs w:val="21"/>
        </w:rPr>
        <w:t xml:space="preserve">(11) 'Forbidden' — for it is comparable to placing on a stove l'chatchila on Shabbos — Rabbeinu Yeruham. And therefore based on what is written in siman 253 seif 2, if one removed it from on top of the stove after nightfall, it is permitted to place it on a pot — see there.</w:t>
      </w:r>
    </w:p>
    <w:p>
      <w:pPr>
        <w:bidi/>
        <w:spacing w:after="40" w:before="120"/>
      </w:pPr>
      <w:r>
        <w:rPr>
          <w:rFonts w:ascii="David" w:cs="David" w:eastAsia="David" w:hAnsi="David"/>
          <w:sz w:val="22"/>
          <w:szCs w:val="22"/>
        </w:rPr>
        <w:t xml:space="preserve">(כד) לעולם אסור. דהוי כמניח ע״ג כירה לכתחלה בשבת (רי״ו) וא״כ לפמ״ש סי׳ רנ״ג ס״ב אם נטלו מע״ג כירה משחשיכה שרי ליתנו ע״ג קדירה ע״ש:</w:t>
      </w:r>
    </w:p>
    <w:p>
      <w:pPr>
        <w:spacing w:after="160" w:before="20"/>
      </w:pPr>
      <w:r>
        <w:rPr>
          <w:rFonts w:ascii="Arial" w:cs="Arial" w:eastAsia="Arial" w:hAnsi="Arial"/>
          <w:sz w:val="21"/>
          <w:szCs w:val="21"/>
        </w:rPr>
        <w:t xml:space="preserve">(23) 'Oil and water' — the rule is that anything for which cooking is permitted opposite the fire is also permitted with toldos ha'or, as stated in Shabbos 40b: 'according to the one who says oil has no concern of cooking, it is permitted opposite the fire.'</w:t>
      </w:r>
    </w:p>
    <w:p>
      <w:pPr>
        <w:bidi/>
        <w:spacing w:after="40" w:before="120"/>
      </w:pPr>
      <w:r>
        <w:rPr>
          <w:rFonts w:ascii="David" w:cs="David" w:eastAsia="David" w:hAnsi="David"/>
          <w:sz w:val="22"/>
          <w:szCs w:val="22"/>
        </w:rPr>
        <w:t xml:space="preserve">(כא) אסור – דהוי כמניח ע״ג כירה לכתחלה בשבת רי״ו. וא״כ לפי מ״ש סי׳ רנ״ג ס״ב אם נטלו מע״ג כירה משחשיכה שרי ליתנו ע״ג קדרה ע״ש. מ״א:</w:t>
      </w:r>
    </w:p>
    <w:p>
      <w:pPr>
        <w:spacing w:after="160" w:before="20"/>
      </w:pPr>
      <w:r>
        <w:rPr>
          <w:rFonts w:ascii="Arial" w:cs="Arial" w:eastAsia="Arial" w:hAnsi="Arial"/>
          <w:sz w:val="21"/>
          <w:szCs w:val="21"/>
        </w:rPr>
        <w:t xml:space="preserve">(55) 'Even the lower vessel, etc.' — the reason is that since the pot interrupts, there is a recognizable distinction and it does not appear as if he is cooking. And we are speaking of a vessel that was fully cooked.</w:t>
      </w:r>
    </w:p>
    <w:p>
      <w:pPr>
        <w:bidi/>
        <w:spacing w:after="40" w:before="120"/>
      </w:pPr>
      <w:r>
        <w:rPr>
          <w:rFonts w:ascii="David" w:cs="David" w:eastAsia="David" w:hAnsi="David"/>
          <w:sz w:val="22"/>
          <w:szCs w:val="22"/>
        </w:rPr>
        <w:t xml:space="preserve">(כג) ס״ז י״מ כו׳ וי״מ – שהכלל כ״ד שאין בו משום בישול מותר נגד המדורה כמ״ש מ׳ ב׳ למ״ד שמן אין בו משום בישול מותר נגד המדורה וכן בתולדות האור כגון ע״ג מיחם כמ״ש בס״ו או בחמין כמ״ש בס״ד אבל ע״ג כירה ודאי אסור דלא התירו אלא חזרה ובתנאים שנתבארו בסי׳ רנג ס״ב וכ״ש ע״ג האש ולא התירו אלא נגד המדורה שהוא כסומך. מ״מ פכ״ב ור״ן פ׳ כירה אהא דמניח קיתון של מים נגד המדורה דלא כרא״ש שם שדחה סברא זו דסומך שאמר דל״ד לסמוך לכירה וכן תוס׳ לד א׳ ד״ה ת״ש וכמ״ש בס״ח וסט״ו וכ״כ הרמב״ן ורשב״א ודבר שאין בו משום בישול הוא דבר שנתבשל כ״צ ויבש אפילו נצטנן או רוטב ורותח כמ״ש ס״ד ועתה לס׳ ראשונה דס״ל דאפילו המיחם ע״ג האש אינו כעל האש וע״ג כירה מותר באלו ב׳ דברים ולס׳ שניה שהוא כעל גבי האש אסור ובס״ז כ׳ דבר חם ובס״ח כ׳ דבר קר והוא יבש דחד דינא אית להו ועמ״א ס״ק כד בשם רי״ו וס״ק כו בשם מ״מ והמ״מ והר״ן פ׳ כס׳ ראשונה בפשיטות וכן כ׳ רי״ו וש״ע ס״ח וראשון כו׳ וכ״פ בש״ע סי׳ רנג ס״ג דלא כמ״א ס״ק כו שרוצה לחלק שלא מ׳ כן בהר״ן ומ״מ:</w:t>
      </w:r>
    </w:p>
    <w:p>
      <w:pPr>
        <w:spacing w:after="160" w:before="20"/>
      </w:pPr>
      <w:r>
        <w:rPr>
          <w:rFonts w:ascii="Arial" w:cs="Arial" w:eastAsia="Arial" w:hAnsi="Arial"/>
          <w:sz w:val="21"/>
          <w:szCs w:val="21"/>
        </w:rPr>
        <w:t xml:space="preserve">(56) 'On the fire, etc.' — he holds that a pot that interrupts is like a swept-out stove, which it is forbidden to place food on l'chatchila, and see what we wrote below that the halacha follows the first view.</w:t>
      </w:r>
    </w:p>
    <w:p>
      <w:pPr>
        <w:bidi/>
        <w:spacing w:after="40" w:before="120"/>
      </w:pPr>
      <w:r>
        <w:rPr>
          <w:rFonts w:ascii="David" w:cs="David" w:eastAsia="David" w:hAnsi="David"/>
          <w:sz w:val="22"/>
          <w:szCs w:val="22"/>
        </w:rPr>
        <w:t xml:space="preserve">(נה) אפילו כלי התחתון וכו׳ – הטעם דכיון שהקדרה מפסקת איכא היכרא טובא ואינו נראה כמבשל ומיירי שהיה הכלי מבושל כל צרכה:</w:t>
      </w:r>
    </w:p>
    <w:p>
      <w:pPr>
        <w:spacing w:after="160" w:before="20"/>
      </w:pPr>
      <w:r>
        <w:rPr>
          <w:rFonts w:ascii="Arial" w:cs="Arial" w:eastAsia="Arial" w:hAnsi="Arial"/>
          <w:sz w:val="21"/>
          <w:szCs w:val="21"/>
        </w:rPr>
        <w:t xml:space="preserve">(47) 'The buried pot' — this is the permission we saw at the beginning of the previous seif.</w:t>
      </w:r>
    </w:p>
    <w:p>
      <w:pPr>
        <w:bidi/>
        <w:spacing w:after="40" w:before="120"/>
      </w:pPr>
      <w:r>
        <w:rPr>
          <w:rFonts w:ascii="David" w:cs="David" w:eastAsia="David" w:hAnsi="David"/>
          <w:sz w:val="22"/>
          <w:szCs w:val="22"/>
        </w:rPr>
        <w:t xml:space="preserve">(נו) על האש וכו׳ – ס״ל דע״י קדרה המפסקת הוי כמו כירה גרופה דאסור להניח עליה לכתחלה ועיין מה שכתבנו לקמיה דהלכה כדעה הראשונה:</w:t>
      </w:r>
    </w:p>
    <w:p>
      <w:pPr>
        <w:spacing w:after="160" w:before="20"/>
      </w:pPr>
      <w:r>
        <w:rPr>
          <w:rFonts w:ascii="Arial" w:cs="Arial" w:eastAsia="Arial" w:hAnsi="Arial"/>
          <w:sz w:val="21"/>
          <w:szCs w:val="21"/>
        </w:rPr>
        <w:t xml:space="preserve">(48) 'Permitted' — according to this view there is no prohibition of cooking, since we are dealing with a hot cooked dish and there is no cooking after cooking. There is also no concern of appearing to cook.</w:t>
      </w:r>
    </w:p>
    <w:p>
      <w:pPr>
        <w:bidi/>
        <w:spacing w:after="40" w:before="120"/>
      </w:pPr>
      <w:r>
        <w:rPr>
          <w:rFonts w:ascii="David" w:cs="David" w:eastAsia="David" w:hAnsi="David"/>
          <w:sz w:val="22"/>
          <w:szCs w:val="22"/>
        </w:rPr>
        <w:t xml:space="preserve">(מז) קדרה הטמונה – זהו ההיתר שראינו בתחילת הסעיף הקודם.</w:t>
      </w:r>
    </w:p>
    <w:p>
      <w:pPr>
        <w:spacing w:after="160" w:before="20"/>
      </w:pPr>
      <w:r>
        <w:rPr>
          <w:rFonts w:ascii="Arial" w:cs="Arial" w:eastAsia="Arial" w:hAnsi="Arial"/>
          <w:sz w:val="21"/>
          <w:szCs w:val="21"/>
        </w:rPr>
        <w:t xml:space="preserve">(49) 'It is never forbidden' — according to this method, since the lower pot is on the fire, placing on it is like placing on a stove on Shabbos, which is forbidden even if the stove is swept out.</w:t>
      </w:r>
    </w:p>
    <w:p>
      <w:pPr>
        <w:bidi/>
        <w:spacing w:after="40" w:before="120"/>
      </w:pPr>
      <w:r>
        <w:rPr>
          <w:rFonts w:ascii="David" w:cs="David" w:eastAsia="David" w:hAnsi="David"/>
          <w:sz w:val="22"/>
          <w:szCs w:val="22"/>
        </w:rPr>
        <w:t xml:space="preserve">(מח) שרי – לדעה זו אין בכך איסור בישול, שהלא מדובר בתבשיל מבושל חם, ואין בישול אחר בישול. גם אין כאן איסור של ״נראה כמבשל״, כי אין זו הדרך לבשל.</w:t>
      </w:r>
    </w:p>
    <w:p>
      <w:pPr>
        <w:spacing w:after="160" w:before="20"/>
      </w:pPr>
      <w:r>
        <w:rPr>
          <w:rFonts w:ascii="Arial" w:cs="Arial" w:eastAsia="Arial" w:hAnsi="Arial"/>
          <w:sz w:val="21"/>
          <w:szCs w:val="21"/>
        </w:rPr>
        <w:t xml:space="preserve">(mh) Sherry - this opinion does not prohibit cooking, as long as it is not a cooking cooked dish, and there is no prohibition cooking after cooking (for fully cooked items). There is also no prohibition here "appearing to be cooking", because this is not the way to cook.</w:t>
      </w:r>
    </w:p>
    <w:p>
      <w:pPr>
        <w:bidi/>
        <w:spacing w:after="40" w:before="120"/>
      </w:pPr>
      <w:r>
        <w:rPr>
          <w:rFonts w:ascii="David" w:cs="David" w:eastAsia="David" w:hAnsi="David"/>
          <w:sz w:val="22"/>
          <w:szCs w:val="22"/>
        </w:rPr>
        <w:t xml:space="preserve">(מט) לעולם אסור – לשיטה זו כיוון שהקדרה התחתונה על האש – הנחה עליה היא כנתינה בשבת על כירה, שאסורה אפילו אם הכירה גרופה וקטומה, משום שנראה כמבשל. וכתבו הפוסקים שהלכה כדעה ראשונה.</w:t>
      </w:r>
    </w:p>
    <w:p>
      <w:pPr>
        <w:spacing w:after="160" w:before="20"/>
      </w:pPr>
      <w:r>
        <w:rPr>
          <w:rFonts w:ascii="Arial" w:cs="Arial" w:eastAsia="Arial" w:hAnsi="Arial"/>
          <w:sz w:val="21"/>
          <w:szCs w:val="21"/>
        </w:rPr>
        <w:t xml:space="preserve">(Matt) It is never forbidden - for this method because the lower pot is on the fire - it is assumed that it is given on Shabbos on a kira, which is forbidden even if the kira is lumpy and cut, because it is seen as cooking. And the judges wrote that it was the first opinion.</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2026-05-13T21:54:40.456Z</dcterms:created>
  <dcterms:modified xsi:type="dcterms:W3CDTF">2026-05-13T21:54:40.456Z</dcterms:modified>
</cp:coreProperties>
</file>

<file path=docProps/custom.xml><?xml version="1.0" encoding="utf-8"?>
<Properties xmlns="http://schemas.openxmlformats.org/officeDocument/2006/custom-properties" xmlns:vt="http://schemas.openxmlformats.org/officeDocument/2006/docPropsVTypes"/>
</file>