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8</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(ח) לְהַנִּיחַ דָּבָר קַר שֶׁנִּתְבַּשֵּׁל כָּל צָרְכּוֹ עַל גַּבֵּי מֵחַם שֶׁעַל הָאֵשׁ, יֵשׁ אוֹמְרִים שֶׁדִּינוֹ כְּמַנִּיחוֹ כְּנֶגֶד הַמְּדוּרָה וְכָל דָּבָר שֶׁמֻּתָּר לְהַנִּיחוֹ כְּנֶגֶד הַמְּדוּרָה בְּמָקוֹם שֶׁהַיָּד סוֹלֶדֶת בּוֹ, כְּגוֹן שֶׁיָּבֵשׁ, מֻתָּר לְהַנִּיחוֹ עַל גַּבֵּי מֵחַם שֶׁעַל גַּבֵּי הָאֵשׁ. וְיֵשׁ אוֹמְרִים דְּהָוֵי כְּמַנִּיחַ עַל גַּבֵּי כִּירָה לְכַתְּחִלָּה וְאָסוּר אֲפִלּוּ אִם נִתְבַּשֵּׁל כָּל צָרְכּוֹ וַאֲפִלּוּ אִם מִצְטַמֵּק וְרַע לוֹ וַאֲפִלּוּ אִם נוֹתְנוֹ שָׁם לִשְׁמֹר חֻמּוֹ; וְרִאשׁוֹן נִרְאֶה עִקָּר. וּמִכָּל מָקוֹם אִם הוּא תַּבְשִׁיל שֶׁיֵּשׁ בּוֹ רֹטֶב וּמִצְטַמֵּק וְיָפֶה לוֹ, אָסוּר לְדִבְרֵי הַכֹּל.</w:t>
      </w:r>
    </w:p>
    <w:p>
      <w:pPr>
        <w:spacing w:after="180" w:before="40"/>
      </w:pPr>
      <w:r>
        <w:rPr>
          <w:rFonts w:ascii="Arial" w:cs="Arial" w:eastAsia="Arial" w:hAnsi="Arial"/>
          <w:sz w:val="22"/>
          <w:szCs w:val="22"/>
        </w:rPr>
        <w:t xml:space="preserve">(25) 'Like placing on a stove' — even for something that has no concern of cooking it is forbidden to place it on the stove, since we decree lest he rake the coals.</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(כז) ומצטמק ויפה לו. ז״ל רי״ו והוא מ״ש רמ״א בהג״ה ס״ד וצ״ע מאחר שהרב״י סתם בס״ד דלא כוותיה משמע דס״ל דאפי׳ מצטמק ורע לו יש בו בישול אם נצטנן וא״כ אסור להניחו ע״ג מיחם ולמה כתב כאן מצטמק ויפה לו וצ״ע, ואפשר דסמך על מ״ש כאן:</w:t>
      </w:r>
    </w:p>
    <w:p>
      <w:pPr>
        <w:spacing w:after="160" w:before="20"/>
      </w:pPr>
      <w:r>
        <w:rPr>
          <w:rFonts w:ascii="Arial" w:cs="Arial" w:eastAsia="Arial" w:hAnsi="Arial"/>
          <w:sz w:val="21"/>
          <w:szCs w:val="21"/>
        </w:rPr>
        <w:t xml:space="preserve">(27) And it is mitzamek v'yafeh lo — continued cooking improves it. See Rabbeinu Yerucham. This is also implied by the Rama in his gloss, since the Rama rules stringently only where the continued cooking improves the food. If it cooled, the issue cooking may return according to the stricter view.</w:t>
      </w:r>
    </w:p>
    <w:p>
      <w:pPr>
        <w:bidi/>
        <w:spacing w:after="40" w:before="120"/>
      </w:pPr>
      <w:r>
        <w:rPr>
          <w:rFonts w:ascii="David" w:cs="David" w:eastAsia="David" w:hAnsi="David"/>
          <w:sz w:val="22"/>
          <w:szCs w:val="22"/>
        </w:rPr>
        <w:t xml:space="preserve">(כב) כירה – דאפי׳ בדבר שאין בו משום בישול אסור להניחו ע״ג כירה דגזרינן שמא יחתה:</w:t>
      </w:r>
    </w:p>
    <w:p>
      <w:pPr>
        <w:spacing w:after="160" w:before="20"/>
      </w:pPr>
      <w:r>
        <w:rPr>
          <w:rFonts w:ascii="Arial" w:cs="Arial" w:eastAsia="Arial" w:hAnsi="Arial"/>
          <w:sz w:val="21"/>
          <w:szCs w:val="21"/>
        </w:rPr>
        <w:t xml:space="preserve">(22) Kira - Dafi' in a thing that does not involve cooking, it is forbidden to put it down because Kira Dagzerinan, lest it be eaten:</w:t>
      </w:r>
    </w:p>
    <w:p>
      <w:pPr>
        <w:bidi/>
        <w:spacing w:after="40" w:before="120"/>
      </w:pPr>
      <w:r>
        <w:rPr>
          <w:rFonts w:ascii="David" w:cs="David" w:eastAsia="David" w:hAnsi="David"/>
          <w:sz w:val="22"/>
          <w:szCs w:val="22"/>
        </w:rPr>
        <w:t xml:space="preserve">(כג) עיקר – כיון שהקדירה מפסקת ל״ד לכירה דהתם הקדירה עומדת ע״ג האש ממש. מ״מ פכ״ב. ועיין מ״א:</w:t>
      </w:r>
    </w:p>
    <w:p>
      <w:pPr>
        <w:spacing w:after="160" w:before="20"/>
      </w:pPr>
      <w:r>
        <w:rPr>
          <w:rFonts w:ascii="Arial" w:cs="Arial" w:eastAsia="Arial" w:hAnsi="Arial"/>
          <w:sz w:val="21"/>
          <w:szCs w:val="21"/>
        </w:rPr>
        <w:t xml:space="preserve">(23) The main thing - since the pot stops at the end of the fire, the pot is right in front of the fire. Maggid Mishneh FCB. And see Magen Avraham:</w:t>
      </w:r>
    </w:p>
    <w:p>
      <w:pPr>
        <w:bidi/>
        <w:spacing w:after="40" w:before="120"/>
      </w:pPr>
      <w:r>
        <w:rPr>
          <w:rFonts w:ascii="David" w:cs="David" w:eastAsia="David" w:hAnsi="David"/>
          <w:sz w:val="22"/>
          <w:szCs w:val="22"/>
        </w:rPr>
        <w:t xml:space="preserve">(כד) ס״ח וכ״ד שמותר כו׳ – כנ״ל שנלמד משמן:</w:t>
      </w:r>
    </w:p>
    <w:p>
      <w:pPr>
        <w:spacing w:after="160" w:before="20"/>
      </w:pPr>
      <w:r>
        <w:rPr>
          <w:rFonts w:ascii="Arial" w:cs="Arial" w:eastAsia="Arial" w:hAnsi="Arial"/>
          <w:sz w:val="21"/>
          <w:szCs w:val="21"/>
        </w:rPr>
        <w:t xml:space="preserve">(24) sah and khad that is permitted (20) - the same as what is learned from oil:</w:t>
      </w:r>
    </w:p>
    <w:p>
      <w:pPr>
        <w:bidi/>
        <w:spacing w:after="40" w:before="120"/>
      </w:pPr>
      <w:r>
        <w:rPr>
          <w:rFonts w:ascii="David" w:cs="David" w:eastAsia="David" w:hAnsi="David"/>
          <w:sz w:val="22"/>
          <w:szCs w:val="22"/>
        </w:rPr>
        <w:t xml:space="preserve">(כה) אפי׳ אם – כמ״ש בסי׳ רנג דאם לא נתבשל כ״צ אסור חזרה כמ״ש שם ס״ב ומצטמק ורע לו נלמד מחמין כמש״ש וכן לשמור חומו וכמ״ש ל״ח ב׳:</w:t>
      </w:r>
    </w:p>
    <w:p>
      <w:pPr>
        <w:spacing w:after="160" w:before="20"/>
      </w:pPr>
      <w:r>
        <w:rPr>
          <w:rFonts w:ascii="Arial" w:cs="Arial" w:eastAsia="Arial" w:hAnsi="Arial"/>
          <w:sz w:val="21"/>
          <w:szCs w:val="21"/>
        </w:rPr>
        <w:t xml:space="preserve">(so) Efi' Am - Kmash B. Rang Dam we will not cook KC It is forbidden to repeat Kmsh there sb and shriveling and bad for him we are taught to cooked dish Kmshsh as a healthy person as to keep its sun Kmsh LH (2):</w:t>
      </w:r>
    </w:p>
    <w:p>
      <w:pPr>
        <w:bidi/>
        <w:spacing w:after="40" w:before="120"/>
      </w:pPr>
      <w:r>
        <w:rPr>
          <w:rFonts w:ascii="David" w:cs="David" w:eastAsia="David" w:hAnsi="David"/>
          <w:sz w:val="22"/>
          <w:szCs w:val="22"/>
        </w:rPr>
        <w:t xml:space="preserve">(כו) ומצטמק – לשיטתו כמ״ש בס״ד בהגה״ה ועמ״א:</w:t>
      </w:r>
    </w:p>
    <w:p>
      <w:pPr>
        <w:spacing w:after="160" w:before="20"/>
      </w:pPr>
      <w:r>
        <w:rPr>
          <w:rFonts w:ascii="Arial" w:cs="Arial" w:eastAsia="Arial" w:hAnsi="Arial"/>
          <w:sz w:val="21"/>
          <w:szCs w:val="21"/>
        </w:rPr>
        <w:t xml:space="preserve">(20) and shrinks - according to his method as a rabbi in the S.D.</w:t>
      </w:r>
    </w:p>
    <w:p>
      <w:pPr>
        <w:bidi/>
        <w:spacing w:after="40" w:before="120"/>
      </w:pPr>
      <w:r>
        <w:rPr>
          <w:rFonts w:ascii="David" w:cs="David" w:eastAsia="David" w:hAnsi="David"/>
          <w:sz w:val="22"/>
          <w:szCs w:val="22"/>
        </w:rPr>
        <w:t xml:space="preserve">(נז) להניח דבר קר – סעיף זה וסעיף זיי״ן ענין אחד הוא ואלו השתי דעות שבסעיף זה הם עצמן שבסעיף זיי״ן אלא דשם מיירי בדבר לח דאם היה מצטנן יש בו משום בישול לכך כתב כלי שיש בו דבר חם והכא איירי בדבר יבש דאפילו נצטנן אין בו עוד משום בישול וכדלעיל בס״ד:</w:t>
      </w:r>
    </w:p>
    <w:p>
      <w:pPr>
        <w:spacing w:after="160" w:before="20"/>
      </w:pPr>
      <w:r>
        <w:rPr>
          <w:rFonts w:ascii="Arial" w:cs="Arial" w:eastAsia="Arial" w:hAnsi="Arial"/>
          <w:sz w:val="21"/>
          <w:szCs w:val="21"/>
        </w:rPr>
        <w:t xml:space="preserve">(Nz) To assume a cold thing - this section and the Zain section are one issue and these two opinions in this section are the same as in the Zain section, except for Meiri in the case of a cold dam, if he had a cold, there is a sense cooking in it, for this he wrote a vessel that has a cooking thing in it, and in a dry thing, even if he caught a cold, there is no longer any sense cooking in it, and as above in the SAD:</w:t>
      </w:r>
    </w:p>
    <w:p>
      <w:pPr>
        <w:bidi/>
        <w:spacing w:after="40" w:before="120"/>
      </w:pPr>
      <w:r>
        <w:rPr>
          <w:rFonts w:ascii="David" w:cs="David" w:eastAsia="David" w:hAnsi="David"/>
          <w:sz w:val="22"/>
          <w:szCs w:val="22"/>
        </w:rPr>
        <w:t xml:space="preserve">(נח) וכל דבר שמותר להניחו וכו׳ – דהיינו כל מה שנתבאר בסעיף ד׳ דאין בו משום בישול כגון ביבש אפילו נצטנן ומותר לשרותו בכלי ראשון ה״ה דמותר להניחו נגד המדורה רחוק קצת דלא חיישינן לחיתוי וכמבואר בסט״ו:</w:t>
      </w:r>
    </w:p>
    <w:p>
      <w:pPr>
        <w:spacing w:after="160" w:before="20"/>
      </w:pPr>
      <w:r>
        <w:rPr>
          <w:rFonts w:ascii="Arial" w:cs="Arial" w:eastAsia="Arial" w:hAnsi="Arial"/>
          <w:sz w:val="21"/>
          <w:szCs w:val="21"/>
        </w:rPr>
        <w:t xml:space="preserve">(Nah) And everything that is permitted to be placed, etc. - i.e., everything that is described in section D is considered for cooking, such as when dry, even if it is cooled, and it is permitted to be served in the kli rishon of the 5th, when it is permitted to be placed against the fire, a little far away from its sensor for incense, and as explained in ST5:</w:t>
      </w:r>
    </w:p>
    <w:p>
      <w:pPr>
        <w:bidi/>
        <w:spacing w:after="40" w:before="120"/>
      </w:pPr>
      <w:r>
        <w:rPr>
          <w:rFonts w:ascii="David" w:cs="David" w:eastAsia="David" w:hAnsi="David"/>
          <w:sz w:val="22"/>
          <w:szCs w:val="22"/>
        </w:rPr>
        <w:t xml:space="preserve">(נט) מיחם שעל גבי האש – ואע״ג דאפילו בכירה גרופה מן האש לא שרי בסימן רנ״ג אלא חזרה אבל להניח לכתחלה אסור כמבואר שם בס״ה בהג״ה וא״כ הכא אע״פ שהמיחם שלמטה מפסיק בין הכלי ובין האש מאי הוי צ״ל דס״ל לדעה זו דהפסקת המיחם אפי׳ באינה גרופה עדיף מכירה גרופה דהתם הקדרה עומדת ע״ג כירה שהוא מקום שדרך לבשל תמיד ונראה כמבשל אבל בכאן שעומדת ע״ג קדרה שאין דרך בישול בכך ולכן שרי אף להניח לכתחלה:</w:t>
      </w:r>
    </w:p>
    <w:p>
      <w:pPr>
        <w:spacing w:after="160" w:before="20"/>
      </w:pPr>
      <w:r>
        <w:rPr>
          <w:rFonts w:ascii="Arial" w:cs="Arial" w:eastAsia="Arial" w:hAnsi="Arial"/>
          <w:sz w:val="21"/>
          <w:szCs w:val="21"/>
        </w:rPr>
        <w:t xml:space="preserve">(59) From on top of the fire. Even if it was removed from the fire, it is not permitted initially in chapter 253 except as a return, but it is forbidden to place it there initially, as explained there in the seif and in the Rama’s gloss. See there.</w:t>
      </w:r>
    </w:p>
    <w:p>
      <w:pPr>
        <w:bidi/>
        <w:spacing w:after="40" w:before="120"/>
      </w:pPr>
      <w:r>
        <w:rPr>
          <w:rFonts w:ascii="David" w:cs="David" w:eastAsia="David" w:hAnsi="David"/>
          <w:sz w:val="22"/>
          <w:szCs w:val="22"/>
        </w:rPr>
        <w:t xml:space="preserve">(ס) וראשון נראה עיקר – וכן פסק הא״ר והגר״א וקאי גם על הא דסעיף זיי״ן דענין אחד הוא וכמו שכתבנו למעלה:</w:t>
      </w:r>
    </w:p>
    <w:p>
      <w:pPr>
        <w:spacing w:after="160" w:before="20"/>
      </w:pPr>
      <w:r>
        <w:rPr>
          <w:rFonts w:ascii="Arial" w:cs="Arial" w:eastAsia="Arial" w:hAnsi="Arial"/>
          <w:sz w:val="21"/>
          <w:szCs w:val="21"/>
        </w:rPr>
        <w:t xml:space="preserve">(S) The first view appears to be the principal position, as held by the Ateres Zekenim and the Biur HaGra. This is the same issue as in seif 57, as we wrote above.</w:t>
      </w:r>
    </w:p>
    <w:p>
      <w:pPr>
        <w:bidi/>
        <w:spacing w:after="40" w:before="120"/>
      </w:pPr>
      <w:r>
        <w:rPr>
          <w:rFonts w:ascii="David" w:cs="David" w:eastAsia="David" w:hAnsi="David"/>
          <w:sz w:val="22"/>
          <w:szCs w:val="22"/>
        </w:rPr>
        <w:t xml:space="preserve">(סא) רוטב – דכיון שיש בו רוטב כבר פסק המחבר לעיל בס״ד דבנצטנן יש בישול אחר בישול וממילא אסור ליתנו ע״ג מיחם חם אף אם אינו ע״ג האש וכנ״ל בס״ו:</w:t>
      </w:r>
    </w:p>
    <w:p>
      <w:pPr>
        <w:spacing w:after="160" w:before="20"/>
      </w:pPr>
      <w:r>
        <w:rPr>
          <w:rFonts w:ascii="Arial" w:cs="Arial" w:eastAsia="Arial" w:hAnsi="Arial"/>
          <w:sz w:val="21"/>
          <w:szCs w:val="21"/>
        </w:rPr>
        <w:t xml:space="preserve">(Shulchan Aruch) sauce - a cooked dish that has sauce already ruled by the above author in S.D. Devantztanen there is cooking after cooking and in any case it is forbidden to give cooking food even if it is not cooking food and likewise in SO:</w:t>
      </w:r>
    </w:p>
    <w:p>
      <w:pPr>
        <w:bidi/>
        <w:spacing w:after="40" w:before="120"/>
      </w:pPr>
      <w:r>
        <w:rPr>
          <w:rFonts w:ascii="David" w:cs="David" w:eastAsia="David" w:hAnsi="David"/>
          <w:sz w:val="22"/>
          <w:szCs w:val="22"/>
        </w:rPr>
        <w:t xml:space="preserve">(סב) ומצטמק ויפה לו – דע דכל לשון הסעיף הזה הוא מלשון רי״ו ואזיל לשיטתיה הנזכר לעיל בס״ד בהג״ה דדוקא במצטמק ויפה לו אז יש בישול אחר בישול ולדינא כבר כתבנו לעיל בס״ד דהלכה כשאר פוסקים דאין מחלקין בזה ואף המחבר אפשר דסובר כן כמו שסתם שם אלא דלישנא דרי״ו נקיט ואזיל:</w:t>
      </w:r>
    </w:p>
    <w:p>
      <w:pPr>
        <w:spacing w:after="160" w:before="20"/>
      </w:pPr>
      <w:r>
        <w:rPr>
          <w:rFonts w:ascii="Arial" w:cs="Arial" w:eastAsia="Arial" w:hAnsi="Arial"/>
          <w:sz w:val="21"/>
          <w:szCs w:val="21"/>
        </w:rPr>
        <w:t xml:space="preserve">(Sav) and it shrinks and it is beautiful to him - know that the language of this clause is from the language Riu Vazil according to its methods mentioned above in the S. S. B. Haga Dadoka in Tzamka and it is beautiful to him then there is a cooking after a cooking and we have already written above in the S. D. Dahalakha when other rulings are valid from some parts it and even the author can argue yes as it is just there but a dilishna D. R. O. Nkit and Azil:</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(כה) כמניח ע״ג כירה. דאפי׳ בדבר שאין בו משום בישול אסור להניחו ע״ג כירה דגזרינן שמא יחתה:</w:t>
      </w:r>
    </w:p>
    <w:p>
      <w:pPr>
        <w:spacing w:after="160" w:before="20"/>
      </w:pPr>
      <w:r>
        <w:rPr>
          <w:rFonts w:ascii="Arial" w:cs="Arial" w:eastAsia="Arial" w:hAnsi="Arial"/>
          <w:sz w:val="21"/>
          <w:szCs w:val="21"/>
        </w:rPr>
        <w:t xml:space="preserve">(like this) as assumed by EG Kira. Dafi' in a matter that does not involve cooking, it is forbidden to put it down because Kira Dagazrinan, lest it be eaten:</w:t>
      </w:r>
    </w:p>
    <w:p>
      <w:pPr>
        <w:bidi/>
        <w:spacing w:after="40" w:before="120"/>
      </w:pPr>
      <w:r>
        <w:rPr>
          <w:rFonts w:ascii="David" w:cs="David" w:eastAsia="David" w:hAnsi="David"/>
          <w:sz w:val="22"/>
          <w:szCs w:val="22"/>
        </w:rPr>
        <w:t xml:space="preserve">(כו) וראשון נראה עיקר. כיון שהקדירה מפסקת ל״ד לכירה דהתם הקדיר׳ עומדת ע״ג האש ממש (מ״מ פכ״ב) וצ״ע למה לא הכריע הרב״י בס״ז להתיר דהא הוא בעצמו כ״כ בסי׳ רנ״ג ס״ג וי״ל דוקא צלי מותר ליתנו לכתחלה ע״ג כירה גרופה אבל מבושל אסור ליתנו ע״ג (קדירה דעדיף מכירה, ת״ש) כירה אפי׳ הוא חם שאין בו משום בישול דגזרינן שמא יתן עליו כשהוא קר ואין מותר אלא חזרה וכן צ״ל לדברי רי״ו ומ״מ יש להקל דמשמע במ״מ דכיון דהקדירה מפסקת עדיף מכירה גרופה ושרי ליתן עליה תבשיל חם:</w:t>
      </w:r>
    </w:p>
    <w:p>
      <w:pPr>
        <w:spacing w:after="160" w:before="20"/>
      </w:pPr>
      <w:r>
        <w:rPr>
          <w:rFonts w:ascii="Arial" w:cs="Arial" w:eastAsia="Arial" w:hAnsi="Arial"/>
          <w:sz w:val="21"/>
          <w:szCs w:val="21"/>
        </w:rPr>
        <w:t xml:space="preserve">(20) And the first seems to be the main thing. Since the pot is interrupted by LD for stove dahatm hakadir, it still on the fire against the fire itself (Maggid Mishneh 122) and ZA why didn't the rabbi decide in the SZ to allow it, he himself is the same as in C. RNG, sg and 1l, specifically if roast is permitted to be given to the pot because of a lump kira, but boiled is not permitted to a g (Kadira Dedyf sells, 3S) kira afi' It is cooking, and there is no concern to cook it, lest it be put on it when it is cold, and it is not permitted but to repeat it, and also, according to Riu and M.M., it should be lightened according to M.M.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וי״א דהוי כמניח ע״ג הכירה – ולדעה זו אפילו יבש והיה רותח ג״כ אסור:</w:t>
      </w:r>
    </w:p>
    <w:p>
      <w:pPr>
        <w:spacing w:after="160" w:before="20"/>
      </w:pPr>
      <w:r>
        <w:rPr>
          <w:rFonts w:ascii="Arial" w:cs="Arial" w:eastAsia="Arial" w:hAnsi="Arial"/>
          <w:sz w:val="21"/>
          <w:szCs w:val="21"/>
        </w:rPr>
        <w:t xml:space="preserve">YA is faded as it assumes because of the familiarity - and for this opinion it is even dry and it would be cooking because it is forbidden:</w:t>
      </w:r>
    </w:p>
    <w:p>
      <w:pPr>
        <w:bidi/>
        <w:spacing w:after="40" w:before="120"/>
      </w:pPr>
      <w:r>
        <w:rPr>
          <w:rFonts w:ascii="David" w:cs="David" w:eastAsia="David" w:hAnsi="David"/>
          <w:sz w:val="22"/>
          <w:szCs w:val="22"/>
        </w:rPr>
        <w:t xml:space="preserve">ומצטמק וכו׳ אסור לדברי הכל – ר״ל אף לסברא ראשונה וכ״ז לדעת הרא״ש ושו״ע ס״ד אבל לדעת המ״מ המובא בסט״ו בהג״ה שאפילו דבר שיש בו רוטב ונצטנן אין בו משום בשול כאן ג״כ מותר [הגר״א בביאורו]:</w:t>
      </w:r>
    </w:p>
    <w:p>
      <w:pPr>
        <w:spacing w:after="160" w:before="20"/>
      </w:pPr>
      <w:r>
        <w:rPr>
          <w:rFonts w:ascii="Arial" w:cs="Arial" w:eastAsia="Arial" w:hAnsi="Arial"/>
          <w:sz w:val="21"/>
          <w:szCs w:val="21"/>
        </w:rPr>
        <w:t xml:space="preserve">And shriveling, etc. is forbidden according to everything - RL, even for the first reading and (27), in the opinion of the Rabbis and Shu'a SD, but in the opinion of the M.M. quoted in the STU in the Haga that even something that has a sauce and is chilled has no reason to be a shul here in the GAC is permitted [the Hagra in its commentary]:</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(נ) הקדמה לסעיף – גם סעיף זה, כסעיף הקודם, עוסק בהנחת מאכל על גבי קדרה שעל האש; אלא שהסעיף הקודם עוסק בהנחה על גבי קדרה טמונה, וכאן מדובר בהנחה על סיר שאינו טמון, הניצב על האש.</w:t>
      </w:r>
    </w:p>
    <w:p>
      <w:pPr>
        <w:spacing w:after="160" w:before="20"/>
      </w:pPr>
      <w:r>
        <w:rPr>
          <w:rFonts w:ascii="Arial" w:cs="Arial" w:eastAsia="Arial" w:hAnsi="Arial"/>
          <w:sz w:val="21"/>
          <w:szCs w:val="21"/>
        </w:rPr>
        <w:t xml:space="preserve">(52) 'Like placing opposite the fire' — in seifs 14-15 below it will be explained that it is permitted to place a dry item opposite the fire, while it is forbidden to place a wet item in a place where it can reach yad soledet bo.</w:t>
      </w:r>
    </w:p>
    <w:p>
      <w:pPr>
        <w:bidi/>
        <w:spacing w:after="40" w:before="120"/>
      </w:pPr>
      <w:r>
        <w:rPr>
          <w:rFonts w:ascii="David" w:cs="David" w:eastAsia="David" w:hAnsi="David"/>
          <w:sz w:val="22"/>
          <w:szCs w:val="22"/>
        </w:rPr>
        <w:t xml:space="preserve">(נא) שנתבשל כל צרכו – ועל כן אין בו איסור בישול מהתורה.</w:t>
      </w:r>
    </w:p>
    <w:p>
      <w:pPr>
        <w:spacing w:after="160" w:before="20"/>
      </w:pPr>
      <w:r>
        <w:rPr>
          <w:rFonts w:ascii="Arial" w:cs="Arial" w:eastAsia="Arial" w:hAnsi="Arial"/>
          <w:sz w:val="21"/>
          <w:szCs w:val="21"/>
        </w:rPr>
        <w:t xml:space="preserve">(53) 'Such as it is dry' — and then there is no prohibition of cooking after cooking.</w:t>
      </w:r>
    </w:p>
    <w:p>
      <w:pPr>
        <w:bidi/>
        <w:spacing w:after="40" w:before="120"/>
      </w:pPr>
      <w:r>
        <w:rPr>
          <w:rFonts w:ascii="David" w:cs="David" w:eastAsia="David" w:hAnsi="David"/>
          <w:sz w:val="22"/>
          <w:szCs w:val="22"/>
        </w:rPr>
        <w:t xml:space="preserve">(נב) כמניחו נגד המדורה – בסעיפים יד-טו להלן יתבאר שדבר יבש מותר להניחו כנגד המדורה, ואילו דבר לח אסור להניחו במקום שיכול להגיע לידי יד סולדת, אפילו אם מניחו שם לזמן קצר רק כדי להפיג צינתו.</w:t>
      </w:r>
    </w:p>
    <w:p>
      <w:pPr>
        <w:spacing w:after="160" w:before="20"/>
      </w:pPr>
      <w:r>
        <w:rPr>
          <w:rFonts w:ascii="Arial" w:cs="Arial" w:eastAsia="Arial" w:hAnsi="Arial"/>
          <w:sz w:val="21"/>
          <w:szCs w:val="21"/>
        </w:rPr>
        <w:t xml:space="preserve">(54) 'On the fire' — there is no concern here of appearing to cook, because there is no way to cook on top of a full pot.</w:t>
      </w:r>
    </w:p>
    <w:p>
      <w:pPr>
        <w:bidi/>
        <w:spacing w:after="40" w:before="120"/>
      </w:pPr>
      <w:r>
        <w:rPr>
          <w:rFonts w:ascii="David" w:cs="David" w:eastAsia="David" w:hAnsi="David"/>
          <w:sz w:val="22"/>
          <w:szCs w:val="22"/>
        </w:rPr>
        <w:t xml:space="preserve">(נג) כגון שיבש – ואז אין בו איסור בישול אחר בישול.</w:t>
      </w:r>
    </w:p>
    <w:p>
      <w:pPr>
        <w:spacing w:after="160" w:before="20"/>
      </w:pPr>
      <w:r>
        <w:rPr>
          <w:rFonts w:ascii="Arial" w:cs="Arial" w:eastAsia="Arial" w:hAnsi="Arial"/>
          <w:sz w:val="21"/>
          <w:szCs w:val="21"/>
        </w:rPr>
        <w:t xml:space="preserve">(55) 'To preserve its heat' — the opinion of those who say it is forbidden: even though the lower pot is full of water and not empty, the one who places a pot on top of it appears to be cooking.</w:t>
      </w:r>
    </w:p>
    <w:p>
      <w:pPr>
        <w:bidi/>
        <w:spacing w:after="40" w:before="120"/>
      </w:pPr>
      <w:r>
        <w:rPr>
          <w:rFonts w:ascii="David" w:cs="David" w:eastAsia="David" w:hAnsi="David"/>
          <w:sz w:val="22"/>
          <w:szCs w:val="22"/>
        </w:rPr>
        <w:t xml:space="preserve">(נד) שעל גבי האש – ואין כאן חשש שנראה כמבשל, כי אין דרך לבשל על גבי קדרה מליאה.</w:t>
      </w:r>
    </w:p>
    <w:p>
      <w:pPr>
        <w:spacing w:after="160" w:before="20"/>
      </w:pPr>
      <w:r>
        <w:rPr>
          <w:rFonts w:ascii="Arial" w:cs="Arial" w:eastAsia="Arial" w:hAnsi="Arial"/>
          <w:sz w:val="21"/>
          <w:szCs w:val="21"/>
        </w:rPr>
        <w:t xml:space="preserve">(56) 'And the first view appears to be the primary one' — to permit placing on Shabbos on top of a meicham that is on the fire. And in a rabbinic doubt we follow the lenient view.</w:t>
      </w:r>
    </w:p>
    <w:p>
      <w:pPr>
        <w:bidi/>
        <w:spacing w:after="40" w:before="120"/>
      </w:pPr>
      <w:r>
        <w:rPr>
          <w:rFonts w:ascii="David" w:cs="David" w:eastAsia="David" w:hAnsi="David"/>
          <w:sz w:val="22"/>
          <w:szCs w:val="22"/>
        </w:rPr>
        <w:t xml:space="preserve">(נה) לשמור חומו – דעת ה״יש אומרים״ היא שאף שהקדרה התחתונה אינה ריקה אלא מלאה מים, המניח קדרה על גבה נראה כמבשל.</w:t>
      </w:r>
    </w:p>
    <w:p>
      <w:pPr>
        <w:spacing w:after="160" w:before="20"/>
      </w:pPr>
      <w:r>
        <w:rPr>
          <w:rFonts w:ascii="Arial" w:cs="Arial" w:eastAsia="Arial" w:hAnsi="Arial"/>
          <w:sz w:val="21"/>
          <w:szCs w:val="21"/>
        </w:rPr>
        <w:t xml:space="preserve">(57) 'That has sauce in it' — and it cooled.</w:t>
      </w:r>
    </w:p>
    <w:p>
      <w:pPr>
        <w:bidi/>
        <w:spacing w:after="40" w:before="120"/>
      </w:pPr>
      <w:r>
        <w:rPr>
          <w:rFonts w:ascii="David" w:cs="David" w:eastAsia="David" w:hAnsi="David"/>
          <w:sz w:val="22"/>
          <w:szCs w:val="22"/>
        </w:rPr>
        <w:t xml:space="preserve">(נו) וראשון נראה עיקר – להתיר להניח בשבת על גבי מיחם שעל האש. ובאיסור דרבנן שומעים למקל.</w:t>
      </w:r>
    </w:p>
    <w:p>
      <w:pPr>
        <w:spacing w:after="160" w:before="20"/>
      </w:pPr>
      <w:r>
        <w:rPr>
          <w:rFonts w:ascii="Arial" w:cs="Arial" w:eastAsia="Arial" w:hAnsi="Arial"/>
          <w:sz w:val="21"/>
          <w:szCs w:val="21"/>
        </w:rPr>
        <w:t xml:space="preserve">(58) 'And mitzamek v'yafeh lo' — meaning that the cooked dish with the sauce cooled, and moreover the continued cooking improves it.</w:t>
      </w:r>
    </w:p>
    <w:p>
      <w:pPr>
        <w:bidi/>
        <w:spacing w:after="40" w:before="120"/>
      </w:pPr>
      <w:r>
        <w:rPr>
          <w:rFonts w:ascii="David" w:cs="David" w:eastAsia="David" w:hAnsi="David"/>
          <w:sz w:val="22"/>
          <w:szCs w:val="22"/>
        </w:rPr>
        <w:t xml:space="preserve">(נז) שיש בו רוטב – ונצטנן.</w:t>
      </w:r>
    </w:p>
    <w:p>
      <w:pPr>
        <w:spacing w:after="160" w:before="20"/>
      </w:pPr>
      <w:r>
        <w:rPr>
          <w:rFonts w:ascii="Arial" w:cs="Arial" w:eastAsia="Arial" w:hAnsi="Arial"/>
          <w:sz w:val="21"/>
          <w:szCs w:val="21"/>
        </w:rPr>
        <w:t xml:space="preserve">(59) 'According to all' — because of the Torah prohibition of cooking.</w:t>
      </w:r>
    </w:p>
    <w:p>
      <w:pPr>
        <w:bidi/>
        <w:spacing w:after="40" w:before="120"/>
      </w:pPr>
      <w:r>
        <w:rPr>
          <w:rFonts w:ascii="David" w:cs="David" w:eastAsia="David" w:hAnsi="David"/>
          <w:sz w:val="22"/>
          <w:szCs w:val="22"/>
        </w:rPr>
        <w:t xml:space="preserve">(נח) ומצטמק ויפה לו – כלומר שהתבשיל עם הרוטב הצטנן, ונוסף על כך המשך הבישול מיטיב עמו.</w:t>
      </w:r>
    </w:p>
    <w:p>
      <w:pPr>
        <w:spacing w:after="160" w:before="20"/>
      </w:pPr>
      <w:r>
        <w:rPr>
          <w:rFonts w:ascii="Arial" w:cs="Arial" w:eastAsia="Arial" w:hAnsi="Arial"/>
          <w:sz w:val="21"/>
          <w:szCs w:val="21"/>
        </w:rPr>
        <w:t xml:space="preserve">(Nah) and shrinks nicely - meaning that the cooked dish / the cooked dish with the sauce has it cooled, and on top of that, the continued cooking is good for it.</w:t>
      </w:r>
    </w:p>
    <w:p>
      <w:pPr>
        <w:bidi/>
        <w:spacing w:after="40" w:before="120"/>
      </w:pPr>
      <w:r>
        <w:rPr>
          <w:rFonts w:ascii="David" w:cs="David" w:eastAsia="David" w:hAnsi="David"/>
          <w:sz w:val="22"/>
          <w:szCs w:val="22"/>
        </w:rPr>
        <w:t xml:space="preserve">(נט) לדברי הכל – משום איסור בישול מהתורה.</w:t>
      </w:r>
    </w:p>
    <w:p>
      <w:pPr>
        <w:spacing w:after="160" w:before="20"/>
      </w:pPr>
      <w:r>
        <w:rPr>
          <w:rFonts w:ascii="Arial" w:cs="Arial" w:eastAsia="Arial" w:hAnsi="Arial"/>
          <w:sz w:val="21"/>
          <w:szCs w:val="21"/>
        </w:rPr>
        <w:t xml:space="preserve">(9) A kli rishon — meaning the vessel that was used on the fire — cooks even after it has been removed from the fire, as long as it is yad soledet bo. Therefore it is forbidden to place spices in it, or even salted meat; but bull's meat [meaning meat that is hard to cook] is permitted. And salted meat — because of the blood in it — is forbidden. And one who puts salt in a kli rishon — even though it was removed from the fire — a blessing comes upon him if he did not violate a prohibition. {Rama: And the more stringent one is praiseworthy. And one who places salted meat in it when it is on the fire — even if not salted — is also forbidden.}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2026-05-13T21:54:40.470Z</dcterms:created>
  <dcterms:modified xsi:type="dcterms:W3CDTF">2026-05-13T21:54:40.470Z</dcterms:modified>
</cp:coreProperties>
</file>

<file path=docProps/custom.xml><?xml version="1.0" encoding="utf-8"?>
<Properties xmlns="http://schemas.openxmlformats.org/officeDocument/2006/custom-properties" xmlns:vt="http://schemas.openxmlformats.org/officeDocument/2006/docPropsVTypes"/>
</file>